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500" w:lineRule="atLeast"/>
        <w:ind w:firstLine="260" w:firstLineChars="200"/>
        <w:rPr>
          <w:rFonts w:ascii="仿宋" w:hAnsi="仿宋" w:eastAsia="仿宋" w:cs="仿宋"/>
          <w:color w:val="auto"/>
          <w:sz w:val="13"/>
          <w:szCs w:val="13"/>
          <w:highlight w:val="none"/>
        </w:rPr>
      </w:pPr>
    </w:p>
    <w:p>
      <w:pPr>
        <w:spacing w:line="500" w:lineRule="atLeast"/>
        <w:jc w:val="center"/>
        <w:rPr>
          <w:rFonts w:ascii="仿宋" w:hAnsi="仿宋" w:eastAsia="仿宋" w:cs="仿宋"/>
          <w:b/>
          <w:bCs/>
          <w:color w:val="auto"/>
          <w:sz w:val="56"/>
          <w:szCs w:val="56"/>
          <w:highlight w:val="none"/>
          <w:lang w:val="zh-CN"/>
        </w:rPr>
      </w:pPr>
      <w:r>
        <w:rPr>
          <w:rFonts w:hint="eastAsia" w:ascii="仿宋" w:hAnsi="仿宋" w:eastAsia="仿宋" w:cs="仿宋"/>
          <w:b/>
          <w:bCs/>
          <w:color w:val="auto"/>
          <w:sz w:val="56"/>
          <w:szCs w:val="56"/>
          <w:highlight w:val="none"/>
          <w:lang w:val="zh-CN"/>
        </w:rPr>
        <w:t>济南市公安消防支队历城区大队黄台</w:t>
      </w:r>
    </w:p>
    <w:p>
      <w:pPr>
        <w:spacing w:line="500" w:lineRule="atLeast"/>
        <w:jc w:val="center"/>
        <w:rPr>
          <w:rFonts w:ascii="仿宋" w:hAnsi="仿宋" w:eastAsia="仿宋" w:cs="仿宋"/>
          <w:b/>
          <w:bCs/>
          <w:color w:val="auto"/>
          <w:sz w:val="56"/>
          <w:szCs w:val="56"/>
          <w:highlight w:val="none"/>
          <w:lang w:val="zh-CN"/>
        </w:rPr>
      </w:pPr>
      <w:r>
        <w:rPr>
          <w:rFonts w:hint="eastAsia" w:ascii="仿宋" w:hAnsi="仿宋" w:eastAsia="仿宋" w:cs="仿宋"/>
          <w:b/>
          <w:bCs/>
          <w:color w:val="auto"/>
          <w:sz w:val="56"/>
          <w:szCs w:val="56"/>
          <w:highlight w:val="none"/>
          <w:lang w:val="zh-CN"/>
        </w:rPr>
        <w:t>中队屋面防水维修工程</w:t>
      </w:r>
    </w:p>
    <w:p>
      <w:pPr>
        <w:spacing w:line="500" w:lineRule="atLeast"/>
        <w:jc w:val="center"/>
        <w:rPr>
          <w:rFonts w:ascii="仿宋" w:hAnsi="仿宋" w:eastAsia="仿宋" w:cs="仿宋"/>
          <w:b/>
          <w:bCs/>
          <w:color w:val="auto"/>
          <w:sz w:val="56"/>
          <w:szCs w:val="56"/>
          <w:highlight w:val="none"/>
          <w:lang w:val="zh-CN"/>
        </w:rPr>
      </w:pPr>
    </w:p>
    <w:p>
      <w:pPr>
        <w:spacing w:line="500" w:lineRule="atLeast"/>
        <w:jc w:val="both"/>
        <w:rPr>
          <w:rFonts w:ascii="仿宋" w:hAnsi="仿宋" w:eastAsia="仿宋" w:cs="仿宋"/>
          <w:b/>
          <w:bCs/>
          <w:color w:val="auto"/>
          <w:sz w:val="48"/>
          <w:szCs w:val="48"/>
          <w:highlight w:val="none"/>
        </w:rPr>
      </w:pPr>
      <w:bookmarkStart w:id="335" w:name="_GoBack"/>
      <w:bookmarkEnd w:id="335"/>
    </w:p>
    <w:p>
      <w:pPr>
        <w:spacing w:line="500" w:lineRule="atLeast"/>
        <w:jc w:val="center"/>
        <w:rPr>
          <w:rFonts w:ascii="仿宋" w:hAnsi="仿宋" w:eastAsia="仿宋" w:cs="仿宋"/>
          <w:b/>
          <w:bCs/>
          <w:color w:val="auto"/>
          <w:sz w:val="56"/>
          <w:szCs w:val="56"/>
          <w:highlight w:val="none"/>
          <w:lang w:val="zh-CN"/>
        </w:rPr>
      </w:pPr>
      <w:r>
        <w:rPr>
          <w:rFonts w:hint="eastAsia" w:ascii="仿宋" w:hAnsi="仿宋" w:eastAsia="仿宋" w:cs="仿宋"/>
          <w:b/>
          <w:bCs/>
          <w:color w:val="auto"/>
          <w:sz w:val="56"/>
          <w:szCs w:val="56"/>
          <w:highlight w:val="none"/>
          <w:lang w:val="zh-CN"/>
        </w:rPr>
        <w:t>竞争性磋商文件</w:t>
      </w:r>
    </w:p>
    <w:p>
      <w:pPr>
        <w:spacing w:line="500" w:lineRule="atLeast"/>
        <w:jc w:val="center"/>
        <w:rPr>
          <w:rFonts w:ascii="仿宋" w:hAnsi="仿宋" w:eastAsia="仿宋" w:cs="仿宋"/>
          <w:color w:val="auto"/>
          <w:sz w:val="72"/>
          <w:szCs w:val="72"/>
          <w:highlight w:val="none"/>
        </w:rPr>
      </w:pPr>
    </w:p>
    <w:p>
      <w:pPr>
        <w:spacing w:line="500" w:lineRule="atLeas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drawing>
          <wp:inline distT="0" distB="0" distL="0" distR="0">
            <wp:extent cx="2579370" cy="2501900"/>
            <wp:effectExtent l="0" t="0" r="0" b="0"/>
            <wp:docPr id="1"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LOGO"/>
                    <pic:cNvPicPr>
                      <a:picLocks noChangeAspect="1" noChangeArrowheads="1"/>
                    </pic:cNvPicPr>
                  </pic:nvPicPr>
                  <pic:blipFill>
                    <a:blip r:embed="rId7" cstate="print"/>
                    <a:srcRect/>
                    <a:stretch>
                      <a:fillRect/>
                    </a:stretch>
                  </pic:blipFill>
                  <pic:spPr>
                    <a:xfrm>
                      <a:off x="0" y="0"/>
                      <a:ext cx="2579370" cy="2501900"/>
                    </a:xfrm>
                    <a:prstGeom prst="rect">
                      <a:avLst/>
                    </a:prstGeom>
                    <a:noFill/>
                    <a:ln w="9525" cmpd="sng">
                      <a:noFill/>
                      <a:miter lim="800000"/>
                      <a:headEnd/>
                      <a:tailEnd/>
                    </a:ln>
                    <a:effectLst/>
                  </pic:spPr>
                </pic:pic>
              </a:graphicData>
            </a:graphic>
          </wp:inline>
        </w:drawing>
      </w:r>
      <w:r>
        <w:rPr>
          <w:rFonts w:hint="eastAsia" w:ascii="仿宋" w:hAnsi="仿宋" w:eastAsia="仿宋" w:cs="仿宋"/>
          <w:b/>
          <w:color w:val="auto"/>
          <w:sz w:val="32"/>
          <w:szCs w:val="32"/>
          <w:highlight w:val="none"/>
        </w:rPr>
        <w:t xml:space="preserve">       </w:t>
      </w:r>
    </w:p>
    <w:p>
      <w:pPr>
        <w:spacing w:line="500" w:lineRule="atLeast"/>
        <w:ind w:firstLine="16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p>
    <w:p>
      <w:pPr>
        <w:spacing w:line="500" w:lineRule="atLeast"/>
        <w:ind w:firstLine="161"/>
        <w:jc w:val="both"/>
        <w:rPr>
          <w:rFonts w:ascii="仿宋" w:hAnsi="仿宋" w:eastAsia="仿宋" w:cs="仿宋"/>
          <w:b/>
          <w:color w:val="auto"/>
          <w:sz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b/>
          <w:bCs/>
          <w:color w:val="auto"/>
          <w:sz w:val="32"/>
          <w:szCs w:val="32"/>
          <w:highlight w:val="none"/>
        </w:rPr>
        <w:t>项目编号：SDLD-2018-CS-015</w:t>
      </w:r>
    </w:p>
    <w:p>
      <w:pPr>
        <w:spacing w:line="500" w:lineRule="atLeast"/>
        <w:rPr>
          <w:rFonts w:ascii="仿宋" w:hAnsi="仿宋" w:eastAsia="仿宋" w:cs="仿宋"/>
          <w:b/>
          <w:color w:val="auto"/>
          <w:sz w:val="32"/>
          <w:highlight w:val="none"/>
        </w:rPr>
      </w:pPr>
    </w:p>
    <w:p>
      <w:pPr>
        <w:spacing w:line="500" w:lineRule="atLeast"/>
        <w:rPr>
          <w:rFonts w:ascii="仿宋" w:hAnsi="仿宋" w:eastAsia="仿宋" w:cs="仿宋"/>
          <w:b/>
          <w:color w:val="auto"/>
          <w:sz w:val="32"/>
          <w:highlight w:val="none"/>
        </w:rPr>
      </w:pPr>
    </w:p>
    <w:p>
      <w:pPr>
        <w:spacing w:line="500" w:lineRule="atLeast"/>
        <w:rPr>
          <w:rFonts w:ascii="仿宋" w:hAnsi="仿宋" w:eastAsia="仿宋" w:cs="仿宋"/>
          <w:b/>
          <w:color w:val="auto"/>
          <w:sz w:val="32"/>
          <w:highlight w:val="none"/>
        </w:rPr>
      </w:pPr>
    </w:p>
    <w:p>
      <w:pPr>
        <w:spacing w:line="500" w:lineRule="atLeast"/>
        <w:rPr>
          <w:rFonts w:ascii="仿宋" w:hAnsi="仿宋" w:eastAsia="仿宋" w:cs="仿宋"/>
          <w:b/>
          <w:color w:val="auto"/>
          <w:sz w:val="36"/>
          <w:szCs w:val="36"/>
          <w:highlight w:val="none"/>
        </w:rPr>
      </w:pPr>
    </w:p>
    <w:p>
      <w:pPr>
        <w:spacing w:line="500" w:lineRule="atLeast"/>
        <w:rPr>
          <w:rFonts w:ascii="仿宋" w:hAnsi="仿宋" w:eastAsia="仿宋" w:cs="仿宋"/>
          <w:b/>
          <w:color w:val="auto"/>
          <w:sz w:val="32"/>
          <w:szCs w:val="32"/>
          <w:highlight w:val="none"/>
        </w:rPr>
      </w:pPr>
      <w:r>
        <w:rPr>
          <w:rFonts w:hint="eastAsia" w:ascii="仿宋" w:hAnsi="仿宋" w:eastAsia="仿宋" w:cs="仿宋"/>
          <w:b/>
          <w:color w:val="auto"/>
          <w:sz w:val="36"/>
          <w:szCs w:val="36"/>
          <w:highlight w:val="none"/>
        </w:rPr>
        <w:t xml:space="preserve">        </w:t>
      </w:r>
      <w:r>
        <w:rPr>
          <w:rFonts w:hint="eastAsia" w:ascii="仿宋" w:hAnsi="仿宋" w:eastAsia="仿宋" w:cs="仿宋"/>
          <w:b/>
          <w:color w:val="auto"/>
          <w:sz w:val="32"/>
          <w:szCs w:val="32"/>
          <w:highlight w:val="none"/>
        </w:rPr>
        <w:t xml:space="preserve"> 采   购   人：济南市公安消防支队历城区大队</w:t>
      </w:r>
    </w:p>
    <w:p>
      <w:pPr>
        <w:spacing w:line="500" w:lineRule="atLeas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采购代理单位：山东蓝盾招标代理有限公司</w:t>
      </w:r>
    </w:p>
    <w:p>
      <w:pPr>
        <w:widowControl w:val="0"/>
        <w:spacing w:after="240" w:line="500" w:lineRule="atLeast"/>
        <w:jc w:val="both"/>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二零一八年八月</w:t>
      </w:r>
    </w:p>
    <w:p>
      <w:pPr>
        <w:widowControl w:val="0"/>
        <w:tabs>
          <w:tab w:val="left" w:pos="8080"/>
        </w:tabs>
        <w:adjustRightInd w:val="0"/>
        <w:snapToGrid w:val="0"/>
        <w:spacing w:after="240" w:line="500" w:lineRule="atLeast"/>
        <w:jc w:val="center"/>
        <w:rPr>
          <w:rFonts w:ascii="仿宋" w:hAnsi="仿宋" w:eastAsia="仿宋" w:cs="仿宋"/>
          <w:b/>
          <w:bCs/>
          <w:color w:val="auto"/>
          <w:kern w:val="2"/>
          <w:sz w:val="44"/>
          <w:highlight w:val="none"/>
        </w:rPr>
        <w:sectPr>
          <w:headerReference r:id="rId3" w:type="default"/>
          <w:footerReference r:id="rId4" w:type="default"/>
          <w:pgSz w:w="11907" w:h="16840"/>
          <w:pgMar w:top="1247" w:right="882" w:bottom="1134" w:left="1418" w:header="851" w:footer="720" w:gutter="0"/>
          <w:pgNumType w:start="1"/>
          <w:cols w:space="720" w:num="1"/>
        </w:sectPr>
      </w:pPr>
    </w:p>
    <w:p>
      <w:pPr>
        <w:pStyle w:val="26"/>
        <w:tabs>
          <w:tab w:val="right" w:leader="dot" w:pos="9607"/>
        </w:tabs>
        <w:jc w:val="center"/>
        <w:rPr>
          <w:rFonts w:ascii="仿宋" w:hAnsi="仿宋" w:eastAsia="仿宋" w:cs="仿宋"/>
          <w:b/>
          <w:color w:val="auto"/>
          <w:sz w:val="36"/>
          <w:szCs w:val="36"/>
          <w:highlight w:val="none"/>
        </w:rPr>
      </w:pPr>
      <w:bookmarkStart w:id="0" w:name="_Toc372"/>
      <w:bookmarkStart w:id="1" w:name="_Toc25549"/>
      <w:bookmarkStart w:id="2" w:name="_Toc17167"/>
      <w:bookmarkStart w:id="3" w:name="_Toc18592"/>
      <w:bookmarkStart w:id="4" w:name="_Toc23491"/>
      <w:bookmarkStart w:id="5" w:name="_Toc1034"/>
      <w:bookmarkStart w:id="6" w:name="_Toc17428"/>
      <w:bookmarkStart w:id="7" w:name="_Toc11161"/>
      <w:bookmarkStart w:id="8" w:name="_Toc5056"/>
      <w:bookmarkStart w:id="9" w:name="_Toc10842"/>
      <w:bookmarkStart w:id="10" w:name="_Toc757"/>
      <w:bookmarkStart w:id="11" w:name="_Toc4472"/>
      <w:bookmarkStart w:id="12" w:name="_Toc28219"/>
      <w:bookmarkStart w:id="13" w:name="_Toc6567"/>
      <w:bookmarkStart w:id="14" w:name="_Toc21188"/>
      <w:bookmarkStart w:id="15" w:name="_Toc183264282"/>
      <w:bookmarkStart w:id="16" w:name="_Toc181180296"/>
      <w:r>
        <w:rPr>
          <w:rFonts w:hint="eastAsia" w:ascii="仿宋" w:hAnsi="仿宋" w:eastAsia="仿宋" w:cs="仿宋"/>
          <w:b/>
          <w:color w:val="auto"/>
          <w:sz w:val="36"/>
          <w:szCs w:val="36"/>
          <w:highlight w:val="none"/>
        </w:rPr>
        <w:t>目    录</w:t>
      </w:r>
    </w:p>
    <w:p>
      <w:pPr>
        <w:pStyle w:val="26"/>
        <w:tabs>
          <w:tab w:val="right" w:leader="dot" w:pos="9607"/>
        </w:tabs>
        <w:rPr>
          <w:rFonts w:ascii="仿宋" w:hAnsi="仿宋" w:eastAsia="仿宋" w:cs="仿宋"/>
          <w:b/>
          <w:color w:val="auto"/>
          <w:sz w:val="36"/>
          <w:szCs w:val="36"/>
          <w:highlight w:val="none"/>
        </w:rPr>
      </w:pPr>
    </w:p>
    <w:p>
      <w:pPr>
        <w:pStyle w:val="26"/>
        <w:tabs>
          <w:tab w:val="right" w:leader="dot" w:pos="9607"/>
        </w:tabs>
        <w:spacing w:line="560" w:lineRule="atLeas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TOC \o "1-1" \h \u </w:instrText>
      </w:r>
      <w:r>
        <w:rPr>
          <w:rFonts w:hint="eastAsia" w:ascii="仿宋" w:hAnsi="仿宋" w:eastAsia="仿宋" w:cs="仿宋"/>
          <w:b/>
          <w:color w:val="auto"/>
          <w:sz w:val="24"/>
          <w:szCs w:val="24"/>
          <w:highlight w:val="none"/>
        </w:rPr>
        <w:fldChar w:fldCharType="separate"/>
      </w:r>
      <w:r>
        <w:rPr>
          <w:color w:val="auto"/>
          <w:highlight w:val="none"/>
        </w:rPr>
        <w:fldChar w:fldCharType="begin"/>
      </w:r>
      <w:r>
        <w:rPr>
          <w:color w:val="auto"/>
          <w:highlight w:val="none"/>
        </w:rPr>
        <w:instrText xml:space="preserve"> HYPERLINK \l "_Toc30227" </w:instrText>
      </w:r>
      <w:r>
        <w:rPr>
          <w:color w:val="auto"/>
          <w:highlight w:val="none"/>
        </w:rPr>
        <w:fldChar w:fldCharType="separate"/>
      </w:r>
      <w:r>
        <w:rPr>
          <w:rFonts w:hint="eastAsia" w:ascii="仿宋" w:hAnsi="仿宋" w:eastAsia="仿宋" w:cs="仿宋"/>
          <w:color w:val="auto"/>
          <w:sz w:val="24"/>
          <w:szCs w:val="24"/>
          <w:highlight w:val="none"/>
        </w:rPr>
        <w:t>第一部分  竞争性磋商公告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_Toc30227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607"/>
        </w:tabs>
        <w:spacing w:line="560" w:lineRule="atLeast"/>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"_Toc23570" </w:instrText>
      </w:r>
      <w:r>
        <w:rPr>
          <w:color w:val="auto"/>
          <w:highlight w:val="none"/>
        </w:rPr>
        <w:fldChar w:fldCharType="separate"/>
      </w:r>
      <w:r>
        <w:rPr>
          <w:rFonts w:hint="eastAsia" w:ascii="仿宋" w:hAnsi="仿宋" w:eastAsia="仿宋" w:cs="仿宋"/>
          <w:color w:val="auto"/>
          <w:sz w:val="24"/>
          <w:szCs w:val="24"/>
          <w:highlight w:val="none"/>
        </w:rPr>
        <w:t>第二部分  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_Toc23570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607"/>
        </w:tabs>
        <w:spacing w:line="560" w:lineRule="atLeast"/>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"_Toc17414" </w:instrText>
      </w:r>
      <w:r>
        <w:rPr>
          <w:color w:val="auto"/>
          <w:highlight w:val="none"/>
        </w:rPr>
        <w:fldChar w:fldCharType="separate"/>
      </w:r>
      <w:r>
        <w:rPr>
          <w:rFonts w:hint="eastAsia" w:ascii="仿宋" w:hAnsi="仿宋" w:eastAsia="仿宋" w:cs="仿宋"/>
          <w:color w:val="auto"/>
          <w:sz w:val="24"/>
          <w:szCs w:val="24"/>
          <w:highlight w:val="none"/>
        </w:rPr>
        <w:t>第三部分  项目基本情况</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_Toc17414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607"/>
        </w:tabs>
        <w:spacing w:line="560" w:lineRule="atLeast"/>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"_Toc6787" </w:instrText>
      </w:r>
      <w:r>
        <w:rPr>
          <w:color w:val="auto"/>
          <w:highlight w:val="none"/>
        </w:rPr>
        <w:fldChar w:fldCharType="separate"/>
      </w:r>
      <w:r>
        <w:rPr>
          <w:rFonts w:hint="eastAsia" w:ascii="仿宋" w:hAnsi="仿宋" w:eastAsia="仿宋" w:cs="仿宋"/>
          <w:color w:val="auto"/>
          <w:sz w:val="24"/>
          <w:szCs w:val="24"/>
          <w:highlight w:val="none"/>
        </w:rPr>
        <w:t>第四部分  开标、评标、定标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_Toc6787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607"/>
        </w:tabs>
        <w:spacing w:line="560" w:lineRule="atLeast"/>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"_Toc5426" </w:instrText>
      </w:r>
      <w:r>
        <w:rPr>
          <w:color w:val="auto"/>
          <w:highlight w:val="none"/>
        </w:rPr>
        <w:fldChar w:fldCharType="separate"/>
      </w:r>
      <w:r>
        <w:rPr>
          <w:rFonts w:hint="eastAsia" w:ascii="仿宋" w:hAnsi="仿宋" w:eastAsia="仿宋" w:cs="仿宋"/>
          <w:color w:val="auto"/>
          <w:sz w:val="24"/>
          <w:szCs w:val="24"/>
          <w:highlight w:val="none"/>
        </w:rPr>
        <w:t>第五部分  合同格式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_Toc5426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607"/>
        </w:tabs>
        <w:spacing w:line="560" w:lineRule="atLeast"/>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"_Toc28451" </w:instrText>
      </w:r>
      <w:r>
        <w:rPr>
          <w:color w:val="auto"/>
          <w:highlight w:val="none"/>
        </w:rPr>
        <w:fldChar w:fldCharType="separate"/>
      </w:r>
      <w:r>
        <w:rPr>
          <w:rFonts w:hint="eastAsia" w:ascii="仿宋" w:hAnsi="仿宋" w:eastAsia="仿宋" w:cs="仿宋"/>
          <w:color w:val="auto"/>
          <w:sz w:val="24"/>
          <w:szCs w:val="24"/>
          <w:highlight w:val="none"/>
        </w:rPr>
        <w:t>第六部分  报价函部分格式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_Toc28451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607"/>
        </w:tabs>
        <w:spacing w:line="560" w:lineRule="atLeast"/>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"_Toc30217" </w:instrText>
      </w:r>
      <w:r>
        <w:rPr>
          <w:color w:val="auto"/>
          <w:highlight w:val="none"/>
        </w:rPr>
        <w:fldChar w:fldCharType="separate"/>
      </w:r>
      <w:r>
        <w:rPr>
          <w:rFonts w:hint="eastAsia" w:ascii="仿宋" w:hAnsi="仿宋" w:eastAsia="仿宋" w:cs="仿宋"/>
          <w:color w:val="auto"/>
          <w:sz w:val="24"/>
          <w:szCs w:val="24"/>
          <w:highlight w:val="none"/>
        </w:rPr>
        <w:t>第七部分  附件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_Toc30217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607"/>
        </w:tabs>
        <w:spacing w:line="560" w:lineRule="atLeast"/>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"_Toc22216" </w:instrText>
      </w:r>
      <w:r>
        <w:rPr>
          <w:color w:val="auto"/>
          <w:highlight w:val="none"/>
        </w:rPr>
        <w:fldChar w:fldCharType="separate"/>
      </w:r>
      <w:r>
        <w:rPr>
          <w:rFonts w:hint="eastAsia" w:ascii="仿宋" w:hAnsi="仿宋" w:eastAsia="仿宋" w:cs="仿宋"/>
          <w:color w:val="auto"/>
          <w:sz w:val="24"/>
          <w:szCs w:val="24"/>
          <w:highlight w:val="none"/>
        </w:rPr>
        <w:t>第八部分  报价文件商务部分格式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_Toc22216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607"/>
        </w:tabs>
        <w:spacing w:line="560" w:lineRule="atLeast"/>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"_Toc17578" </w:instrText>
      </w:r>
      <w:r>
        <w:rPr>
          <w:color w:val="auto"/>
          <w:highlight w:val="none"/>
        </w:rPr>
        <w:fldChar w:fldCharType="separate"/>
      </w:r>
      <w:r>
        <w:rPr>
          <w:rFonts w:hint="eastAsia" w:ascii="仿宋" w:hAnsi="仿宋" w:eastAsia="仿宋" w:cs="仿宋"/>
          <w:color w:val="auto"/>
          <w:sz w:val="24"/>
          <w:szCs w:val="24"/>
          <w:highlight w:val="none"/>
        </w:rPr>
        <w:t>第九部分  报价文件技术部分格式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_Toc17578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607"/>
        </w:tabs>
        <w:spacing w:line="560" w:lineRule="atLeast"/>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"_Toc10522" </w:instrText>
      </w:r>
      <w:r>
        <w:rPr>
          <w:color w:val="auto"/>
          <w:highlight w:val="none"/>
        </w:rPr>
        <w:fldChar w:fldCharType="separate"/>
      </w:r>
      <w:r>
        <w:rPr>
          <w:rFonts w:hint="eastAsia" w:ascii="仿宋" w:hAnsi="仿宋" w:eastAsia="仿宋" w:cs="仿宋"/>
          <w:color w:val="auto"/>
          <w:sz w:val="24"/>
          <w:szCs w:val="24"/>
          <w:highlight w:val="none"/>
        </w:rPr>
        <w:t>第十部分 评分办法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_Toc10522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607"/>
        </w:tabs>
        <w:spacing w:line="560" w:lineRule="atLeast"/>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"_Toc19046" </w:instrText>
      </w:r>
      <w:r>
        <w:rPr>
          <w:color w:val="auto"/>
          <w:highlight w:val="none"/>
        </w:rPr>
        <w:fldChar w:fldCharType="separate"/>
      </w:r>
      <w:r>
        <w:rPr>
          <w:rFonts w:hint="eastAsia" w:ascii="仿宋" w:hAnsi="仿宋" w:eastAsia="仿宋" w:cs="仿宋"/>
          <w:color w:val="auto"/>
          <w:sz w:val="24"/>
          <w:szCs w:val="24"/>
          <w:highlight w:val="none"/>
        </w:rPr>
        <w:t>第十一部分 工程量清单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_Toc19046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61"/>
        <w:spacing w:line="560" w:lineRule="atLeas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end"/>
      </w:r>
    </w:p>
    <w:p>
      <w:pPr>
        <w:pStyle w:val="61"/>
        <w:spacing w:line="560" w:lineRule="atLeast"/>
        <w:outlineLvl w:val="0"/>
        <w:rPr>
          <w:rFonts w:ascii="仿宋" w:hAnsi="仿宋" w:eastAsia="仿宋" w:cs="仿宋"/>
          <w:color w:val="auto"/>
          <w:szCs w:val="36"/>
          <w:highlight w:val="none"/>
        </w:rPr>
      </w:pPr>
    </w:p>
    <w:p>
      <w:pPr>
        <w:pStyle w:val="61"/>
        <w:spacing w:line="560" w:lineRule="atLeast"/>
        <w:outlineLvl w:val="0"/>
        <w:rPr>
          <w:rFonts w:ascii="仿宋" w:hAnsi="仿宋" w:eastAsia="仿宋" w:cs="仿宋"/>
          <w:color w:val="auto"/>
          <w:szCs w:val="36"/>
          <w:highlight w:val="none"/>
        </w:rPr>
      </w:pPr>
    </w:p>
    <w:p>
      <w:pPr>
        <w:pStyle w:val="61"/>
        <w:spacing w:line="560" w:lineRule="atLeast"/>
        <w:outlineLvl w:val="0"/>
        <w:rPr>
          <w:rFonts w:ascii="仿宋" w:hAnsi="仿宋" w:eastAsia="仿宋" w:cs="仿宋"/>
          <w:color w:val="auto"/>
          <w:szCs w:val="36"/>
          <w:highlight w:val="none"/>
        </w:rPr>
      </w:pPr>
    </w:p>
    <w:p>
      <w:pPr>
        <w:pStyle w:val="61"/>
        <w:spacing w:line="560" w:lineRule="atLeast"/>
        <w:outlineLvl w:val="0"/>
        <w:rPr>
          <w:rFonts w:ascii="仿宋" w:hAnsi="仿宋" w:eastAsia="仿宋" w:cs="仿宋"/>
          <w:color w:val="auto"/>
          <w:szCs w:val="36"/>
          <w:highlight w:val="none"/>
        </w:rPr>
      </w:pPr>
    </w:p>
    <w:p>
      <w:pPr>
        <w:pStyle w:val="61"/>
        <w:spacing w:line="560" w:lineRule="atLeast"/>
        <w:outlineLvl w:val="0"/>
        <w:rPr>
          <w:rFonts w:ascii="仿宋" w:hAnsi="仿宋" w:eastAsia="仿宋" w:cs="仿宋"/>
          <w:color w:val="auto"/>
          <w:szCs w:val="36"/>
          <w:highlight w:val="none"/>
        </w:rPr>
      </w:pPr>
    </w:p>
    <w:p>
      <w:pPr>
        <w:pStyle w:val="61"/>
        <w:spacing w:line="560" w:lineRule="atLeast"/>
        <w:outlineLvl w:val="0"/>
        <w:rPr>
          <w:rFonts w:ascii="仿宋" w:hAnsi="仿宋" w:eastAsia="仿宋" w:cs="仿宋"/>
          <w:color w:val="auto"/>
          <w:szCs w:val="36"/>
          <w:highlight w:val="none"/>
        </w:rPr>
      </w:pPr>
    </w:p>
    <w:p>
      <w:pPr>
        <w:pStyle w:val="61"/>
        <w:spacing w:line="560" w:lineRule="atLeast"/>
        <w:outlineLvl w:val="0"/>
        <w:rPr>
          <w:rFonts w:ascii="仿宋" w:hAnsi="仿宋" w:eastAsia="仿宋" w:cs="仿宋"/>
          <w:color w:val="auto"/>
          <w:szCs w:val="36"/>
          <w:highlight w:val="none"/>
        </w:rPr>
      </w:pPr>
    </w:p>
    <w:p>
      <w:pPr>
        <w:pStyle w:val="61"/>
        <w:spacing w:line="560" w:lineRule="atLeast"/>
        <w:outlineLvl w:val="0"/>
        <w:rPr>
          <w:rFonts w:ascii="仿宋" w:hAnsi="仿宋" w:eastAsia="仿宋" w:cs="仿宋"/>
          <w:color w:val="auto"/>
          <w:szCs w:val="36"/>
          <w:highlight w:val="none"/>
        </w:rPr>
      </w:pPr>
    </w:p>
    <w:p>
      <w:pPr>
        <w:pStyle w:val="61"/>
        <w:spacing w:line="560" w:lineRule="atLeast"/>
        <w:outlineLvl w:val="0"/>
        <w:rPr>
          <w:rFonts w:ascii="仿宋" w:hAnsi="仿宋" w:eastAsia="仿宋" w:cs="仿宋"/>
          <w:color w:val="auto"/>
          <w:szCs w:val="36"/>
          <w:highlight w:val="none"/>
        </w:rPr>
      </w:pPr>
    </w:p>
    <w:p>
      <w:pPr>
        <w:pStyle w:val="61"/>
        <w:spacing w:line="560" w:lineRule="atLeast"/>
        <w:outlineLvl w:val="0"/>
        <w:rPr>
          <w:rFonts w:ascii="仿宋" w:hAnsi="仿宋" w:eastAsia="仿宋" w:cs="仿宋"/>
          <w:color w:val="auto"/>
          <w:szCs w:val="36"/>
          <w:highlight w:val="none"/>
        </w:rPr>
      </w:pPr>
    </w:p>
    <w:p>
      <w:pPr>
        <w:pStyle w:val="2"/>
        <w:spacing w:line="460" w:lineRule="exact"/>
        <w:jc w:val="center"/>
        <w:rPr>
          <w:rFonts w:ascii="仿宋" w:hAnsi="仿宋" w:eastAsia="仿宋" w:cs="仿宋"/>
          <w:color w:val="auto"/>
          <w:szCs w:val="44"/>
          <w:highlight w:val="none"/>
        </w:rPr>
      </w:pPr>
      <w:bookmarkStart w:id="17" w:name="_Toc30227"/>
      <w:r>
        <w:rPr>
          <w:rFonts w:hint="eastAsia" w:ascii="仿宋" w:hAnsi="仿宋" w:eastAsia="仿宋" w:cs="仿宋"/>
          <w:color w:val="auto"/>
          <w:szCs w:val="44"/>
          <w:highlight w:val="none"/>
        </w:rPr>
        <w:t>第一部分  竞争性磋商公告</w:t>
      </w:r>
      <w:bookmarkEnd w:id="0"/>
      <w:bookmarkEnd w:id="1"/>
      <w:bookmarkEnd w:id="2"/>
      <w:bookmarkEnd w:id="3"/>
      <w:bookmarkEnd w:id="4"/>
      <w:bookmarkEnd w:id="5"/>
      <w:bookmarkEnd w:id="6"/>
      <w:bookmarkEnd w:id="7"/>
      <w:bookmarkEnd w:id="17"/>
    </w:p>
    <w:bookmarkEnd w:id="8"/>
    <w:bookmarkEnd w:id="9"/>
    <w:bookmarkEnd w:id="10"/>
    <w:bookmarkEnd w:id="11"/>
    <w:bookmarkEnd w:id="12"/>
    <w:bookmarkEnd w:id="13"/>
    <w:bookmarkEnd w:id="14"/>
    <w:p>
      <w:pPr>
        <w:pStyle w:val="2"/>
        <w:spacing w:line="460" w:lineRule="exact"/>
        <w:jc w:val="center"/>
        <w:rPr>
          <w:rFonts w:ascii="仿宋" w:hAnsi="仿宋" w:eastAsia="仿宋" w:cs="仿宋"/>
          <w:color w:val="auto"/>
          <w:sz w:val="28"/>
          <w:szCs w:val="28"/>
          <w:highlight w:val="none"/>
        </w:rPr>
      </w:pPr>
      <w:bookmarkStart w:id="18" w:name="_Toc19282"/>
      <w:r>
        <w:rPr>
          <w:rFonts w:hint="eastAsia" w:ascii="仿宋" w:hAnsi="仿宋" w:eastAsia="仿宋" w:cs="仿宋"/>
          <w:color w:val="auto"/>
          <w:sz w:val="28"/>
          <w:szCs w:val="28"/>
          <w:highlight w:val="none"/>
        </w:rPr>
        <w:t>济南市公安消防支队历城区大队黄台中队屋面防水维修工程竞争性磋商公告</w:t>
      </w:r>
      <w:bookmarkEnd w:id="18"/>
    </w:p>
    <w:p>
      <w:pPr>
        <w:numPr>
          <w:ilvl w:val="0"/>
          <w:numId w:val="1"/>
        </w:num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 购 人： </w:t>
      </w:r>
      <w:r>
        <w:rPr>
          <w:rFonts w:hint="eastAsia" w:ascii="仿宋" w:hAnsi="仿宋" w:eastAsia="仿宋" w:cs="仿宋"/>
          <w:color w:val="auto"/>
          <w:sz w:val="24"/>
          <w:szCs w:val="24"/>
          <w:highlight w:val="none"/>
          <w:lang w:val="zh-CN"/>
        </w:rPr>
        <w:t xml:space="preserve"> 济南市公安消防支队历城区大队  </w:t>
      </w:r>
      <w:r>
        <w:rPr>
          <w:rFonts w:hint="eastAsia" w:ascii="仿宋" w:hAnsi="仿宋" w:eastAsia="仿宋" w:cs="仿宋"/>
          <w:color w:val="auto"/>
          <w:sz w:val="24"/>
          <w:szCs w:val="24"/>
          <w:highlight w:val="none"/>
        </w:rPr>
        <w:t xml:space="preserve">          </w:t>
      </w:r>
    </w:p>
    <w:p>
      <w:pPr>
        <w:adjustRightInd w:val="0"/>
        <w:snapToGrid w:val="0"/>
        <w:spacing w:line="360" w:lineRule="auto"/>
        <w:ind w:left="480" w:leftChars="2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  济南市历城区全福立交桥东北角</w:t>
      </w:r>
    </w:p>
    <w:p>
      <w:pPr>
        <w:adjustRightInd w:val="0"/>
        <w:snapToGrid w:val="0"/>
        <w:spacing w:line="360" w:lineRule="auto"/>
        <w:ind w:left="480" w:leftChars="2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联系方式：  李工</w:t>
      </w:r>
      <w:r>
        <w:rPr>
          <w:rFonts w:hint="eastAsia" w:ascii="仿宋" w:hAnsi="仿宋" w:eastAsia="仿宋" w:cs="仿宋"/>
          <w:color w:val="auto"/>
          <w:sz w:val="24"/>
          <w:szCs w:val="24"/>
          <w:highlight w:val="none"/>
        </w:rPr>
        <w:t xml:space="preserve">    0531-88079119</w:t>
      </w:r>
    </w:p>
    <w:p>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lang w:val="zh-CN"/>
        </w:rPr>
        <w:t xml:space="preserve">山东蓝盾招标代理有限公司 </w:t>
      </w:r>
      <w:r>
        <w:rPr>
          <w:rFonts w:hint="eastAsia" w:ascii="仿宋" w:hAnsi="仿宋" w:eastAsia="仿宋" w:cs="仿宋"/>
          <w:color w:val="auto"/>
          <w:sz w:val="24"/>
          <w:szCs w:val="24"/>
          <w:highlight w:val="none"/>
        </w:rPr>
        <w:t xml:space="preserve">     </w:t>
      </w:r>
    </w:p>
    <w:p>
      <w:pPr>
        <w:adjustRightInd w:val="0"/>
        <w:snapToGri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zh-CN"/>
        </w:rPr>
        <w:t xml:space="preserve">济南市高新区工业南路59号中铁财智中心6号楼15层                                  </w:t>
      </w:r>
    </w:p>
    <w:p>
      <w:pPr>
        <w:adjustRightInd w:val="0"/>
        <w:snapToGri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式：</w:t>
      </w:r>
      <w:r>
        <w:rPr>
          <w:rFonts w:hint="eastAsia" w:ascii="仿宋" w:hAnsi="仿宋" w:eastAsia="仿宋" w:cs="仿宋"/>
          <w:color w:val="auto"/>
          <w:sz w:val="24"/>
          <w:szCs w:val="24"/>
          <w:highlight w:val="none"/>
        </w:rPr>
        <w:t xml:space="preserve"> 张越    18596098658    </w:t>
      </w:r>
      <w:r>
        <w:rPr>
          <w:rFonts w:hint="eastAsia" w:ascii="仿宋" w:hAnsi="仿宋" w:eastAsia="仿宋" w:cs="仿宋"/>
          <w:color w:val="auto"/>
          <w:sz w:val="24"/>
          <w:szCs w:val="24"/>
          <w:highlight w:val="none"/>
          <w:lang w:val="zh-CN"/>
        </w:rPr>
        <w:t>0531-88809762 转80</w:t>
      </w: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val="zh-CN"/>
        </w:rPr>
        <w:t xml:space="preserve">  </w:t>
      </w:r>
    </w:p>
    <w:p>
      <w:pPr>
        <w:adjustRightInd w:val="0"/>
        <w:snapToGrid w:val="0"/>
        <w:spacing w:line="360" w:lineRule="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二、采购项目名称：</w:t>
      </w:r>
      <w:r>
        <w:rPr>
          <w:rFonts w:hint="eastAsia" w:ascii="仿宋" w:hAnsi="仿宋" w:eastAsia="仿宋" w:cs="仿宋"/>
          <w:color w:val="auto"/>
          <w:sz w:val="24"/>
          <w:szCs w:val="24"/>
          <w:highlight w:val="none"/>
          <w:lang w:val="zh-CN"/>
        </w:rPr>
        <w:t xml:space="preserve">济南市公安消防支队历城区大队黄台中队屋面防水维修工程           </w:t>
      </w:r>
    </w:p>
    <w:p>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采购项目编号：SDLD-2018-CS-015</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 xml:space="preserve">   </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采购项目分包情况：</w:t>
      </w:r>
      <w:r>
        <w:rPr>
          <w:rFonts w:hint="eastAsia" w:ascii="仿宋" w:hAnsi="仿宋" w:eastAsia="仿宋" w:cs="仿宋"/>
          <w:color w:val="auto"/>
          <w:sz w:val="24"/>
          <w:szCs w:val="24"/>
          <w:highlight w:val="none"/>
          <w:lang w:val="zh-CN"/>
        </w:rPr>
        <w:t xml:space="preserve">                  </w:t>
      </w:r>
    </w:p>
    <w:tbl>
      <w:tblPr>
        <w:tblStyle w:val="41"/>
        <w:tblW w:w="1098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1225"/>
        <w:gridCol w:w="600"/>
        <w:gridCol w:w="825"/>
        <w:gridCol w:w="6954"/>
        <w:gridCol w:w="8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9"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标包</w:t>
            </w: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用途</w:t>
            </w:r>
          </w:p>
        </w:tc>
        <w:tc>
          <w:tcPr>
            <w:tcW w:w="69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供应商资格要求</w:t>
            </w:r>
          </w:p>
        </w:tc>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济南市公安消防支队历城区大队黄台中队屋面防水维修工程采购项目</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详见招标文件</w:t>
            </w:r>
          </w:p>
        </w:tc>
        <w:tc>
          <w:tcPr>
            <w:tcW w:w="695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1、在中国境内注册，具有独立法人资格；</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2、具有</w:t>
            </w:r>
            <w:r>
              <w:rPr>
                <w:rFonts w:hint="eastAsia" w:ascii="仿宋" w:hAnsi="仿宋" w:eastAsia="仿宋" w:cs="仿宋"/>
                <w:color w:val="auto"/>
                <w:sz w:val="24"/>
                <w:szCs w:val="24"/>
                <w:highlight w:val="none"/>
              </w:rPr>
              <w:t>建筑装修装饰工程专业承包贰级及以上资质或防水防腐保温工程专业贰级及以上资质</w:t>
            </w:r>
            <w:r>
              <w:rPr>
                <w:rFonts w:hint="eastAsia" w:ascii="仿宋" w:hAnsi="仿宋" w:eastAsia="仿宋" w:cs="仿宋"/>
                <w:color w:val="auto"/>
                <w:sz w:val="24"/>
                <w:szCs w:val="24"/>
                <w:highlight w:val="none"/>
              </w:rPr>
              <w:t>，并且在人员、设备、资金等方面具有承担本项目的能力和经验；</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3、项目经理资格要求：</w:t>
            </w:r>
            <w:r>
              <w:rPr>
                <w:rFonts w:hint="eastAsia" w:ascii="仿宋" w:hAnsi="仿宋" w:eastAsia="仿宋" w:cs="仿宋"/>
                <w:color w:val="auto"/>
                <w:sz w:val="24"/>
                <w:szCs w:val="24"/>
                <w:highlight w:val="none"/>
              </w:rPr>
              <w:t>贰级及以上注册建造师（建筑工程专业，注册单位名称与投标人名称一致），有效的安全生产考核合格证书（B类），</w:t>
            </w:r>
            <w:r>
              <w:rPr>
                <w:rFonts w:hint="eastAsia" w:ascii="仿宋" w:hAnsi="仿宋" w:eastAsia="仿宋" w:cs="仿宋"/>
                <w:color w:val="auto"/>
                <w:sz w:val="24"/>
                <w:szCs w:val="24"/>
                <w:highlight w:val="none"/>
              </w:rPr>
              <w:t>且不得兼职其他工程项目；</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4、具有有效的安全生产许可证;</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5、本项目不接受联合体投标；</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6、法律法规对合格投标人的其他要求、规定。 </w:t>
            </w:r>
          </w:p>
        </w:tc>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224703.11元</w:t>
            </w:r>
          </w:p>
        </w:tc>
      </w:tr>
    </w:tbl>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三、获取磋商文件</w:t>
      </w:r>
    </w:p>
    <w:p>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1.时间：</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u w:val="single"/>
        </w:rPr>
        <w:t>2018</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13</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8</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分至</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u w:val="single"/>
        </w:rPr>
        <w:t>2018</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17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16</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rPr>
        <w:t>（北京时间，法定节假日除外）</w:t>
      </w:r>
    </w:p>
    <w:p>
      <w:pPr>
        <w:adjustRightInd w:val="0"/>
        <w:snapToGri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 2.地点：济南市高新区工业南路59号中铁财智中心6号楼15楼财务部</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3.方式：报名同时需携带请携带法人授权委托书、营业执照副本、税务登记证副本、组织机构代码证副本、资质证书副本、项目经理注册建造师证、安全生产考核合格证书（B类）、安全生产许可证副本。</w:t>
      </w:r>
    </w:p>
    <w:p>
      <w:pPr>
        <w:adjustRightInd w:val="0"/>
        <w:snapToGrid w:val="0"/>
        <w:spacing w:line="360" w:lineRule="auto"/>
        <w:ind w:firstLine="482" w:firstLineChars="200"/>
        <w:rPr>
          <w:rFonts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 xml:space="preserve">以上证件需提供原件及复印件加盖单位公章一份，否则不予办理报名手续。报名时提交的资料查验不代表资格审查的最终通过或合格。【注：营业执照副本、税务登记证副本、组织机构代码证副本已经办理三证合一的单位，仅须提供合格的营业执照副本证件资料即可】                                                      </w:t>
      </w:r>
    </w:p>
    <w:p>
      <w:pPr>
        <w:adjustRightInd w:val="0"/>
        <w:snapToGrid w:val="0"/>
        <w:spacing w:line="360" w:lineRule="auto"/>
        <w:ind w:firstLine="960" w:firstLineChars="4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4.售价：500元/份 ，售后不退。 </w:t>
      </w:r>
      <w:r>
        <w:rPr>
          <w:rFonts w:hint="eastAsia" w:ascii="仿宋" w:hAnsi="仿宋" w:eastAsia="仿宋" w:cs="仿宋"/>
          <w:color w:val="auto"/>
          <w:sz w:val="24"/>
          <w:szCs w:val="24"/>
          <w:highlight w:val="none"/>
          <w:u w:val="single"/>
        </w:rPr>
        <w:t xml:space="preserve">                                                      </w:t>
      </w:r>
    </w:p>
    <w:p>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四、公告期限：</w:t>
      </w:r>
      <w:r>
        <w:rPr>
          <w:rFonts w:hint="eastAsia" w:ascii="仿宋" w:hAnsi="仿宋" w:eastAsia="仿宋" w:cs="仿宋"/>
          <w:color w:val="auto"/>
          <w:sz w:val="24"/>
          <w:szCs w:val="24"/>
          <w:highlight w:val="none"/>
          <w:u w:val="single"/>
        </w:rPr>
        <w:t>2018</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rPr>
        <w:t xml:space="preserve">日 至 </w:t>
      </w:r>
      <w:r>
        <w:rPr>
          <w:rFonts w:hint="eastAsia" w:ascii="仿宋" w:hAnsi="仿宋" w:eastAsia="仿宋" w:cs="仿宋"/>
          <w:color w:val="auto"/>
          <w:sz w:val="24"/>
          <w:szCs w:val="24"/>
          <w:highlight w:val="none"/>
          <w:u w:val="single"/>
        </w:rPr>
        <w:t>2018</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17</w:t>
      </w:r>
      <w:r>
        <w:rPr>
          <w:rFonts w:hint="eastAsia" w:ascii="仿宋" w:hAnsi="仿宋" w:eastAsia="仿宋" w:cs="仿宋"/>
          <w:color w:val="auto"/>
          <w:sz w:val="24"/>
          <w:szCs w:val="24"/>
          <w:highlight w:val="none"/>
        </w:rPr>
        <w:t>日</w:t>
      </w:r>
    </w:p>
    <w:p>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五、递交响应文件时间及地点</w:t>
      </w:r>
    </w:p>
    <w:p>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zh-CN"/>
        </w:rPr>
        <w:t>时间：</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u w:val="single"/>
        </w:rPr>
        <w:t>2018</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rPr>
        <w:t>分至</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u w:val="single"/>
        </w:rPr>
        <w:t>2018</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rPr>
        <w:t>（北京时间）</w:t>
      </w:r>
    </w:p>
    <w:p>
      <w:pPr>
        <w:adjustRightInd w:val="0"/>
        <w:snapToGri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    2.地点：济南市高新区工业南路59号中铁财智中心6号楼15楼</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pPr>
        <w:adjustRightInd w:val="0"/>
        <w:snapToGrid w:val="0"/>
        <w:spacing w:line="360" w:lineRule="auto"/>
        <w:ind w:left="456" w:leftChars="22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六、磋商时间及地点</w:t>
      </w:r>
    </w:p>
    <w:p>
      <w:pPr>
        <w:adjustRightInd w:val="0"/>
        <w:snapToGrid w:val="0"/>
        <w:spacing w:line="360" w:lineRule="auto"/>
        <w:ind w:left="456" w:leftChars="22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1.时间：</w:t>
      </w:r>
      <w:r>
        <w:rPr>
          <w:rFonts w:hint="eastAsia" w:ascii="仿宋" w:hAnsi="仿宋" w:eastAsia="仿宋" w:cs="仿宋"/>
          <w:color w:val="auto"/>
          <w:sz w:val="24"/>
          <w:szCs w:val="24"/>
          <w:highlight w:val="none"/>
        </w:rPr>
        <w:t>2018年</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rPr>
        <w:t>分（北京时间）</w:t>
      </w:r>
    </w:p>
    <w:p>
      <w:pPr>
        <w:adjustRightInd w:val="0"/>
        <w:snapToGrid w:val="0"/>
        <w:spacing w:line="360" w:lineRule="auto"/>
        <w:ind w:left="456" w:leftChars="228"/>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    2.地点</w:t>
      </w:r>
      <w:r>
        <w:rPr>
          <w:rFonts w:hint="eastAsia" w:ascii="仿宋" w:hAnsi="仿宋" w:eastAsia="仿宋" w:cs="仿宋"/>
          <w:color w:val="auto"/>
          <w:sz w:val="24"/>
          <w:szCs w:val="24"/>
          <w:highlight w:val="none"/>
          <w:lang w:val="zh-CN"/>
        </w:rPr>
        <w:t xml:space="preserve">： 济南市高新区工业南路59号中铁财智中心6号楼15楼 </w:t>
      </w:r>
      <w:r>
        <w:rPr>
          <w:rFonts w:hint="eastAsia" w:ascii="仿宋" w:hAnsi="仿宋" w:eastAsia="仿宋" w:cs="仿宋"/>
          <w:color w:val="auto"/>
          <w:sz w:val="24"/>
          <w:szCs w:val="24"/>
          <w:highlight w:val="none"/>
          <w:u w:val="single"/>
          <w:lang w:val="zh-CN"/>
        </w:rPr>
        <w:t xml:space="preserve">                                                                              </w:t>
      </w:r>
    </w:p>
    <w:p>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七、采购项目联系方式</w:t>
      </w:r>
    </w:p>
    <w:p>
      <w:pPr>
        <w:adjustRightInd w:val="0"/>
        <w:snapToGri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    联系人：</w:t>
      </w:r>
      <w:r>
        <w:rPr>
          <w:rFonts w:hint="eastAsia" w:ascii="仿宋" w:hAnsi="仿宋" w:eastAsia="仿宋" w:cs="仿宋"/>
          <w:color w:val="auto"/>
          <w:sz w:val="24"/>
          <w:szCs w:val="24"/>
          <w:highlight w:val="none"/>
          <w:u w:val="single"/>
          <w:lang w:val="zh-CN"/>
        </w:rPr>
        <w:t xml:space="preserve"> 张越  </w:t>
      </w:r>
      <w:r>
        <w:rPr>
          <w:rFonts w:hint="eastAsia" w:ascii="仿宋" w:hAnsi="仿宋" w:eastAsia="仿宋" w:cs="仿宋"/>
          <w:color w:val="auto"/>
          <w:sz w:val="24"/>
          <w:szCs w:val="24"/>
          <w:highlight w:val="none"/>
          <w:lang w:val="zh-CN"/>
        </w:rPr>
        <w:t>联系方式：</w:t>
      </w:r>
      <w:r>
        <w:rPr>
          <w:rFonts w:hint="eastAsia" w:ascii="仿宋" w:hAnsi="仿宋" w:eastAsia="仿宋" w:cs="仿宋"/>
          <w:color w:val="auto"/>
          <w:sz w:val="24"/>
          <w:szCs w:val="24"/>
          <w:highlight w:val="none"/>
          <w:u w:val="single"/>
          <w:lang w:val="zh-CN"/>
        </w:rPr>
        <w:t xml:space="preserve"> 18596098658    0531-88809762 转8014                              </w:t>
      </w:r>
      <w:r>
        <w:rPr>
          <w:rFonts w:hint="eastAsia" w:ascii="仿宋" w:hAnsi="仿宋" w:eastAsia="仿宋" w:cs="仿宋"/>
          <w:color w:val="auto"/>
          <w:sz w:val="24"/>
          <w:szCs w:val="24"/>
          <w:highlight w:val="none"/>
          <w:lang w:val="zh-CN"/>
        </w:rPr>
        <w:t xml:space="preserve"> </w:t>
      </w:r>
    </w:p>
    <w:p>
      <w:pPr>
        <w:numPr>
          <w:ilvl w:val="0"/>
          <w:numId w:val="2"/>
        </w:num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采购项目的用途、数量、简要技术要求等</w:t>
      </w:r>
    </w:p>
    <w:p>
      <w:pPr>
        <w:adjustRightInd w:val="0"/>
        <w:snapToGrid w:val="0"/>
        <w:spacing w:line="360" w:lineRule="auto"/>
        <w:ind w:firstLine="1200" w:firstLineChars="5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详见竞争性磋商文件</w:t>
      </w:r>
    </w:p>
    <w:p>
      <w:pPr>
        <w:numPr>
          <w:ilvl w:val="0"/>
          <w:numId w:val="2"/>
        </w:num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采购项目需要落实的政府采购政策</w:t>
      </w:r>
    </w:p>
    <w:p>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详见竞争性磋商文件</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adjustRightInd w:val="0"/>
        <w:snapToGrid w:val="0"/>
        <w:spacing w:line="360" w:lineRule="auto"/>
        <w:ind w:firstLine="4560" w:firstLineChars="1900"/>
        <w:rPr>
          <w:rFonts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发 布 人：山东蓝盾招标代理有限公司</w:t>
      </w:r>
      <w:r>
        <w:rPr>
          <w:rFonts w:hint="eastAsia" w:ascii="仿宋" w:hAnsi="仿宋" w:eastAsia="仿宋" w:cs="仿宋"/>
          <w:color w:val="auto"/>
          <w:sz w:val="24"/>
          <w:szCs w:val="24"/>
          <w:highlight w:val="none"/>
          <w:u w:val="single"/>
          <w:lang w:val="zh-CN"/>
        </w:rPr>
        <w:t xml:space="preserve">                        </w:t>
      </w:r>
    </w:p>
    <w:p>
      <w:pPr>
        <w:adjustRightInd w:val="0"/>
        <w:snapToGrid w:val="0"/>
        <w:spacing w:line="360" w:lineRule="auto"/>
        <w:ind w:right="105" w:firstLine="9000" w:firstLineChars="3750"/>
        <w:rPr>
          <w:rFonts w:ascii="仿宋" w:hAnsi="仿宋" w:eastAsia="仿宋" w:cs="仿宋"/>
          <w:color w:val="auto"/>
          <w:sz w:val="24"/>
          <w:szCs w:val="24"/>
          <w:highlight w:val="none"/>
          <w:lang w:val="zh-CN"/>
        </w:rPr>
      </w:pPr>
    </w:p>
    <w:p>
      <w:pPr>
        <w:ind w:firstLine="4560" w:firstLineChars="19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发布时间：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rPr>
        <w:t>2018</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rPr>
        <w:t>日</w:t>
      </w:r>
    </w:p>
    <w:p>
      <w:pPr>
        <w:adjustRightInd w:val="0"/>
        <w:snapToGrid w:val="0"/>
        <w:spacing w:line="360" w:lineRule="auto"/>
        <w:ind w:right="105" w:firstLine="4560" w:firstLineChars="1900"/>
        <w:rPr>
          <w:rFonts w:ascii="仿宋" w:hAnsi="仿宋" w:eastAsia="仿宋" w:cs="仿宋"/>
          <w:color w:val="auto"/>
          <w:sz w:val="24"/>
          <w:szCs w:val="24"/>
          <w:highlight w:val="none"/>
        </w:rPr>
      </w:pPr>
    </w:p>
    <w:p>
      <w:pPr>
        <w:adjustRightInd w:val="0"/>
        <w:snapToGrid w:val="0"/>
        <w:spacing w:line="360" w:lineRule="auto"/>
        <w:ind w:right="105" w:firstLine="4560" w:firstLineChars="1900"/>
        <w:rPr>
          <w:rFonts w:ascii="仿宋" w:hAnsi="仿宋" w:eastAsia="仿宋" w:cs="仿宋"/>
          <w:color w:val="auto"/>
          <w:sz w:val="24"/>
          <w:szCs w:val="24"/>
          <w:highlight w:val="none"/>
        </w:rPr>
      </w:pPr>
    </w:p>
    <w:p>
      <w:pPr>
        <w:adjustRightInd w:val="0"/>
        <w:snapToGrid w:val="0"/>
        <w:spacing w:line="360" w:lineRule="auto"/>
        <w:ind w:right="105" w:firstLine="4560" w:firstLineChars="1900"/>
        <w:rPr>
          <w:rFonts w:ascii="仿宋" w:hAnsi="仿宋" w:eastAsia="仿宋" w:cs="仿宋"/>
          <w:color w:val="auto"/>
          <w:sz w:val="24"/>
          <w:szCs w:val="24"/>
          <w:highlight w:val="none"/>
        </w:rPr>
      </w:pPr>
    </w:p>
    <w:p>
      <w:pPr>
        <w:adjustRightInd w:val="0"/>
        <w:snapToGrid w:val="0"/>
        <w:spacing w:line="360" w:lineRule="auto"/>
        <w:ind w:right="105" w:firstLine="4560" w:firstLineChars="1900"/>
        <w:rPr>
          <w:rFonts w:ascii="仿宋" w:hAnsi="仿宋" w:eastAsia="仿宋" w:cs="仿宋"/>
          <w:color w:val="auto"/>
          <w:sz w:val="24"/>
          <w:szCs w:val="24"/>
          <w:highlight w:val="none"/>
        </w:rPr>
      </w:pPr>
    </w:p>
    <w:p>
      <w:pPr>
        <w:adjustRightInd w:val="0"/>
        <w:snapToGrid w:val="0"/>
        <w:spacing w:line="360" w:lineRule="auto"/>
        <w:ind w:right="105"/>
        <w:rPr>
          <w:rFonts w:ascii="仿宋" w:hAnsi="仿宋" w:eastAsia="仿宋" w:cs="仿宋"/>
          <w:color w:val="auto"/>
          <w:sz w:val="24"/>
          <w:szCs w:val="24"/>
          <w:highlight w:val="none"/>
        </w:rPr>
      </w:pPr>
    </w:p>
    <w:p>
      <w:pPr>
        <w:spacing w:line="500" w:lineRule="atLeast"/>
        <w:jc w:val="center"/>
        <w:outlineLvl w:val="0"/>
        <w:rPr>
          <w:rStyle w:val="44"/>
          <w:rFonts w:ascii="仿宋" w:hAnsi="仿宋" w:eastAsia="仿宋" w:cs="仿宋"/>
          <w:color w:val="auto"/>
          <w:highlight w:val="none"/>
        </w:rPr>
      </w:pPr>
      <w:r>
        <w:rPr>
          <w:rFonts w:hint="eastAsia" w:ascii="仿宋" w:hAnsi="仿宋" w:eastAsia="仿宋" w:cs="仿宋"/>
          <w:color w:val="auto"/>
          <w:highlight w:val="none"/>
        </w:rPr>
        <w:t xml:space="preserve"> </w:t>
      </w:r>
      <w:r>
        <w:rPr>
          <w:rStyle w:val="44"/>
          <w:rFonts w:hint="eastAsia" w:ascii="仿宋" w:hAnsi="仿宋" w:eastAsia="仿宋" w:cs="仿宋"/>
          <w:color w:val="auto"/>
          <w:highlight w:val="none"/>
        </w:rPr>
        <w:t xml:space="preserve">  </w:t>
      </w:r>
      <w:bookmarkStart w:id="19" w:name="_Toc19754"/>
      <w:bookmarkStart w:id="20" w:name="_Toc21062"/>
      <w:bookmarkStart w:id="21" w:name="_Toc12262"/>
      <w:bookmarkStart w:id="22" w:name="_Toc8134"/>
      <w:bookmarkStart w:id="23" w:name="_Toc23570"/>
      <w:bookmarkStart w:id="24" w:name="_Toc5178"/>
      <w:bookmarkStart w:id="25" w:name="_Toc25360"/>
      <w:bookmarkStart w:id="26" w:name="_Toc6000"/>
      <w:bookmarkStart w:id="27" w:name="_Toc27223"/>
      <w:bookmarkStart w:id="28" w:name="_Toc11981"/>
      <w:bookmarkStart w:id="29" w:name="_Toc11964"/>
      <w:bookmarkStart w:id="30" w:name="_Toc28014"/>
      <w:bookmarkStart w:id="31" w:name="_Toc29265"/>
      <w:r>
        <w:rPr>
          <w:rStyle w:val="44"/>
          <w:rFonts w:hint="eastAsia" w:ascii="仿宋" w:hAnsi="仿宋" w:eastAsia="仿宋" w:cs="仿宋"/>
          <w:color w:val="auto"/>
          <w:highlight w:val="none"/>
        </w:rPr>
        <w:t>第二部分  投标人须知</w:t>
      </w:r>
      <w:bookmarkEnd w:id="19"/>
      <w:bookmarkEnd w:id="20"/>
      <w:bookmarkEnd w:id="21"/>
      <w:bookmarkEnd w:id="22"/>
      <w:bookmarkEnd w:id="23"/>
      <w:bookmarkEnd w:id="24"/>
    </w:p>
    <w:p>
      <w:pPr>
        <w:spacing w:line="500" w:lineRule="atLeast"/>
        <w:jc w:val="center"/>
        <w:outlineLvl w:val="1"/>
        <w:rPr>
          <w:rFonts w:ascii="仿宋" w:hAnsi="仿宋" w:eastAsia="仿宋" w:cs="仿宋"/>
          <w:b/>
          <w:color w:val="auto"/>
          <w:sz w:val="32"/>
          <w:szCs w:val="32"/>
          <w:highlight w:val="none"/>
        </w:rPr>
      </w:pPr>
      <w:bookmarkStart w:id="32" w:name="_Toc31665"/>
      <w:r>
        <w:rPr>
          <w:rFonts w:hint="eastAsia" w:ascii="仿宋" w:hAnsi="仿宋" w:eastAsia="仿宋" w:cs="仿宋"/>
          <w:b/>
          <w:color w:val="auto"/>
          <w:sz w:val="32"/>
          <w:szCs w:val="32"/>
          <w:highlight w:val="none"/>
        </w:rPr>
        <w:t>前 附 表</w:t>
      </w:r>
      <w:bookmarkEnd w:id="32"/>
    </w:p>
    <w:tbl>
      <w:tblPr>
        <w:tblStyle w:val="41"/>
        <w:tblW w:w="982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5"/>
        <w:gridCol w:w="1793"/>
        <w:gridCol w:w="71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865" w:type="dxa"/>
            <w:tcBorders>
              <w:bottom w:val="single" w:color="auto" w:sz="8" w:space="0"/>
            </w:tcBorders>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序号</w:t>
            </w:r>
          </w:p>
        </w:tc>
        <w:tc>
          <w:tcPr>
            <w:tcW w:w="1793" w:type="dxa"/>
            <w:tcBorders>
              <w:left w:val="single" w:color="auto" w:sz="4" w:space="0"/>
              <w:bottom w:val="single" w:color="auto" w:sz="8" w:space="0"/>
            </w:tcBorders>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内容</w:t>
            </w:r>
          </w:p>
        </w:tc>
        <w:tc>
          <w:tcPr>
            <w:tcW w:w="7165" w:type="dxa"/>
            <w:tcBorders>
              <w:bottom w:val="single" w:color="auto" w:sz="8" w:space="0"/>
            </w:tcBorders>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说明与要求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865" w:type="dxa"/>
            <w:tcBorders>
              <w:bottom w:val="single" w:color="auto" w:sz="4" w:space="0"/>
            </w:tcBorders>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w:t>
            </w:r>
          </w:p>
        </w:tc>
        <w:tc>
          <w:tcPr>
            <w:tcW w:w="1793" w:type="dxa"/>
            <w:tcBorders>
              <w:left w:val="single" w:color="auto" w:sz="4" w:space="0"/>
              <w:bottom w:val="single" w:color="auto" w:sz="4" w:space="0"/>
            </w:tcBorders>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工程名称</w:t>
            </w:r>
          </w:p>
        </w:tc>
        <w:tc>
          <w:tcPr>
            <w:tcW w:w="7165" w:type="dxa"/>
            <w:tcBorders>
              <w:bottom w:val="single" w:color="auto" w:sz="4" w:space="0"/>
            </w:tcBorders>
            <w:vAlign w:val="center"/>
          </w:tcPr>
          <w:p>
            <w:pPr>
              <w:spacing w:line="500" w:lineRule="atLeast"/>
              <w:jc w:val="both"/>
              <w:rPr>
                <w:rFonts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济南市公安消防支队历城区大队黄台中队屋面防水维修工程采购项目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865" w:type="dxa"/>
            <w:vMerge w:val="restart"/>
            <w:tcBorders>
              <w:bottom w:val="single" w:color="auto" w:sz="4" w:space="0"/>
            </w:tcBorders>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w:t>
            </w:r>
          </w:p>
        </w:tc>
        <w:tc>
          <w:tcPr>
            <w:tcW w:w="1793" w:type="dxa"/>
            <w:vMerge w:val="restart"/>
            <w:tcBorders>
              <w:left w:val="single" w:color="auto" w:sz="4" w:space="0"/>
              <w:bottom w:val="single" w:color="auto" w:sz="4" w:space="0"/>
            </w:tcBorders>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建设单位</w:t>
            </w:r>
          </w:p>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及建设地点</w:t>
            </w:r>
          </w:p>
        </w:tc>
        <w:tc>
          <w:tcPr>
            <w:tcW w:w="7165" w:type="dxa"/>
            <w:tcBorders>
              <w:bottom w:val="single" w:color="auto" w:sz="4" w:space="0"/>
            </w:tcBorders>
            <w:vAlign w:val="center"/>
          </w:tcPr>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济南市公安消防支队历城区大队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865" w:type="dxa"/>
            <w:vMerge w:val="continue"/>
            <w:tcBorders>
              <w:bottom w:val="single" w:color="auto" w:sz="4" w:space="0"/>
            </w:tcBorders>
            <w:vAlign w:val="center"/>
          </w:tcPr>
          <w:p>
            <w:pPr>
              <w:spacing w:line="500" w:lineRule="atLeast"/>
              <w:jc w:val="center"/>
              <w:rPr>
                <w:rFonts w:ascii="仿宋" w:hAnsi="仿宋" w:eastAsia="仿宋" w:cs="仿宋"/>
                <w:color w:val="auto"/>
                <w:spacing w:val="6"/>
                <w:sz w:val="24"/>
                <w:szCs w:val="24"/>
                <w:highlight w:val="none"/>
              </w:rPr>
            </w:pPr>
          </w:p>
        </w:tc>
        <w:tc>
          <w:tcPr>
            <w:tcW w:w="1793" w:type="dxa"/>
            <w:vMerge w:val="continue"/>
            <w:tcBorders>
              <w:left w:val="single" w:color="auto" w:sz="4" w:space="0"/>
              <w:bottom w:val="single" w:color="auto" w:sz="4" w:space="0"/>
            </w:tcBorders>
            <w:vAlign w:val="center"/>
          </w:tcPr>
          <w:p>
            <w:pPr>
              <w:spacing w:line="500" w:lineRule="atLeast"/>
              <w:jc w:val="center"/>
              <w:rPr>
                <w:rFonts w:ascii="仿宋" w:hAnsi="仿宋" w:eastAsia="仿宋" w:cs="仿宋"/>
                <w:color w:val="auto"/>
                <w:spacing w:val="6"/>
                <w:sz w:val="24"/>
                <w:szCs w:val="24"/>
                <w:highlight w:val="none"/>
              </w:rPr>
            </w:pPr>
          </w:p>
        </w:tc>
        <w:tc>
          <w:tcPr>
            <w:tcW w:w="7165" w:type="dxa"/>
            <w:tcBorders>
              <w:bottom w:val="single" w:color="auto" w:sz="4" w:space="0"/>
            </w:tcBorders>
            <w:vAlign w:val="center"/>
          </w:tcPr>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山东省济南市历城区全福立交桥东北角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08" w:hRule="atLeast"/>
          <w:jc w:val="center"/>
        </w:trPr>
        <w:tc>
          <w:tcPr>
            <w:tcW w:w="865" w:type="dxa"/>
            <w:tcBorders>
              <w:top w:val="single" w:color="auto" w:sz="4" w:space="0"/>
            </w:tcBorders>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w:t>
            </w:r>
          </w:p>
        </w:tc>
        <w:tc>
          <w:tcPr>
            <w:tcW w:w="1793" w:type="dxa"/>
            <w:tcBorders>
              <w:top w:val="single" w:color="auto" w:sz="4" w:space="0"/>
              <w:left w:val="single" w:color="auto" w:sz="4" w:space="0"/>
            </w:tcBorders>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项目概况</w:t>
            </w:r>
          </w:p>
        </w:tc>
        <w:tc>
          <w:tcPr>
            <w:tcW w:w="7165" w:type="dxa"/>
            <w:tcBorders>
              <w:top w:val="single" w:color="auto" w:sz="4" w:space="0"/>
            </w:tcBorders>
            <w:vAlign w:val="center"/>
          </w:tcPr>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本项目为</w:t>
            </w:r>
            <w:r>
              <w:rPr>
                <w:rFonts w:hint="eastAsia" w:ascii="仿宋" w:hAnsi="仿宋" w:eastAsia="仿宋" w:cs="仿宋"/>
                <w:color w:val="auto"/>
                <w:sz w:val="24"/>
                <w:szCs w:val="24"/>
                <w:highlight w:val="none"/>
              </w:rPr>
              <w:t>济南市公安消防支队历城区大队黄台中队屋面防水维修工程采购项目，具体详见工程量清单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865" w:type="dxa"/>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w:t>
            </w:r>
          </w:p>
        </w:tc>
        <w:tc>
          <w:tcPr>
            <w:tcW w:w="1793" w:type="dxa"/>
            <w:tcBorders>
              <w:left w:val="single" w:color="auto" w:sz="4" w:space="0"/>
            </w:tcBorders>
            <w:vAlign w:val="center"/>
          </w:tcPr>
          <w:p>
            <w:pPr>
              <w:autoSpaceDE w:val="0"/>
              <w:autoSpaceDN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质量标准</w:t>
            </w:r>
          </w:p>
        </w:tc>
        <w:tc>
          <w:tcPr>
            <w:tcW w:w="7165" w:type="dxa"/>
            <w:vAlign w:val="center"/>
          </w:tcPr>
          <w:p>
            <w:pPr>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865" w:type="dxa"/>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5</w:t>
            </w:r>
          </w:p>
        </w:tc>
        <w:tc>
          <w:tcPr>
            <w:tcW w:w="1793" w:type="dxa"/>
            <w:tcBorders>
              <w:left w:val="single" w:color="auto" w:sz="4" w:space="0"/>
            </w:tcBorders>
            <w:vAlign w:val="center"/>
          </w:tcPr>
          <w:p>
            <w:pPr>
              <w:pStyle w:val="47"/>
              <w:ind w:left="1260" w:hanging="1260" w:hangingChars="500"/>
              <w:jc w:val="center"/>
              <w:rPr>
                <w:rFonts w:ascii="仿宋" w:hAnsi="仿宋" w:eastAsia="仿宋" w:cs="仿宋"/>
                <w:color w:val="auto"/>
                <w:szCs w:val="24"/>
                <w:highlight w:val="none"/>
              </w:rPr>
            </w:pPr>
            <w:r>
              <w:rPr>
                <w:rFonts w:hint="eastAsia" w:ascii="仿宋" w:hAnsi="仿宋" w:eastAsia="仿宋" w:cs="仿宋"/>
                <w:color w:val="auto"/>
                <w:szCs w:val="24"/>
                <w:highlight w:val="none"/>
              </w:rPr>
              <w:t>质保期</w:t>
            </w:r>
          </w:p>
        </w:tc>
        <w:tc>
          <w:tcPr>
            <w:tcW w:w="7165" w:type="dxa"/>
            <w:vAlign w:val="center"/>
          </w:tcPr>
          <w:p>
            <w:pPr>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五年，符合国家相关质量标准。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865" w:type="dxa"/>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6</w:t>
            </w:r>
          </w:p>
        </w:tc>
        <w:tc>
          <w:tcPr>
            <w:tcW w:w="1793" w:type="dxa"/>
            <w:tcBorders>
              <w:left w:val="single" w:color="auto" w:sz="4" w:space="0"/>
            </w:tcBorders>
            <w:vAlign w:val="center"/>
          </w:tcPr>
          <w:p>
            <w:pPr>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工程报价方式</w:t>
            </w:r>
          </w:p>
        </w:tc>
        <w:tc>
          <w:tcPr>
            <w:tcW w:w="7165" w:type="dxa"/>
            <w:vAlign w:val="center"/>
          </w:tcPr>
          <w:p>
            <w:pPr>
              <w:spacing w:line="500" w:lineRule="atLeast"/>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 xml:space="preserve">工程量清单报价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865" w:type="dxa"/>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7</w:t>
            </w:r>
          </w:p>
        </w:tc>
        <w:tc>
          <w:tcPr>
            <w:tcW w:w="1793" w:type="dxa"/>
            <w:tcBorders>
              <w:left w:val="single" w:color="auto" w:sz="4" w:space="0"/>
            </w:tcBorders>
            <w:vAlign w:val="center"/>
          </w:tcPr>
          <w:p>
            <w:pPr>
              <w:autoSpaceDE w:val="0"/>
              <w:autoSpaceDN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工期</w:t>
            </w:r>
          </w:p>
        </w:tc>
        <w:tc>
          <w:tcPr>
            <w:tcW w:w="7165" w:type="dxa"/>
            <w:vAlign w:val="center"/>
          </w:tcPr>
          <w:p>
            <w:pPr>
              <w:spacing w:line="500" w:lineRule="atLeast"/>
              <w:rPr>
                <w:rFonts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20日历天，以甲方开工令为准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0" w:hRule="atLeast"/>
          <w:jc w:val="center"/>
        </w:trPr>
        <w:tc>
          <w:tcPr>
            <w:tcW w:w="865" w:type="dxa"/>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8</w:t>
            </w:r>
          </w:p>
        </w:tc>
        <w:tc>
          <w:tcPr>
            <w:tcW w:w="1793" w:type="dxa"/>
            <w:tcBorders>
              <w:left w:val="single" w:color="auto" w:sz="4" w:space="0"/>
            </w:tcBorders>
            <w:vAlign w:val="center"/>
          </w:tcPr>
          <w:p>
            <w:pPr>
              <w:autoSpaceDE w:val="0"/>
              <w:autoSpaceDN w:val="0"/>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投标人资要求</w:t>
            </w:r>
          </w:p>
        </w:tc>
        <w:tc>
          <w:tcPr>
            <w:tcW w:w="7165" w:type="dxa"/>
            <w:vAlign w:val="center"/>
          </w:tcPr>
          <w:p>
            <w:pPr>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1、在中国境内注册，具有独立法人资格；</w:t>
            </w:r>
          </w:p>
          <w:p>
            <w:pPr>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2、具有</w:t>
            </w:r>
            <w:r>
              <w:rPr>
                <w:rFonts w:hint="eastAsia" w:ascii="仿宋" w:hAnsi="仿宋" w:eastAsia="仿宋" w:cs="仿宋"/>
                <w:color w:val="auto"/>
                <w:sz w:val="24"/>
                <w:szCs w:val="24"/>
                <w:highlight w:val="none"/>
              </w:rPr>
              <w:t>建筑装修装饰工程专业承包贰级及以上资质或防水防腐保温工程专业贰级及以上资质</w:t>
            </w:r>
            <w:r>
              <w:rPr>
                <w:rFonts w:hint="eastAsia" w:ascii="仿宋" w:hAnsi="仿宋" w:eastAsia="仿宋" w:cs="仿宋"/>
                <w:color w:val="auto"/>
                <w:sz w:val="24"/>
                <w:szCs w:val="24"/>
                <w:highlight w:val="none"/>
              </w:rPr>
              <w:t>，并且在人员、设备、资金等方面具有承担本项目的能力和经验；</w:t>
            </w:r>
          </w:p>
          <w:p>
            <w:pPr>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3、项目经理资格要求：贰</w:t>
            </w:r>
            <w:r>
              <w:rPr>
                <w:rFonts w:hint="eastAsia" w:ascii="仿宋" w:hAnsi="仿宋" w:eastAsia="仿宋" w:cs="仿宋"/>
                <w:color w:val="auto"/>
                <w:sz w:val="24"/>
                <w:szCs w:val="24"/>
                <w:highlight w:val="none"/>
              </w:rPr>
              <w:t>级及以上注册建造师（建筑工程专业，注册单位名称与投标人名称一致），</w:t>
            </w:r>
            <w:r>
              <w:rPr>
                <w:rFonts w:hint="eastAsia" w:ascii="仿宋" w:hAnsi="仿宋" w:eastAsia="仿宋" w:cs="仿宋"/>
                <w:color w:val="auto"/>
                <w:sz w:val="24"/>
                <w:szCs w:val="24"/>
                <w:highlight w:val="none"/>
              </w:rPr>
              <w:t>有效的安全生产考核合格证书（B类），且不得兼职其他工程项目；</w:t>
            </w:r>
          </w:p>
          <w:p>
            <w:pPr>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4、具有有效的安全生产许可证;</w:t>
            </w:r>
          </w:p>
          <w:p>
            <w:pPr>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5、本项目不接受联合体投标；</w:t>
            </w:r>
          </w:p>
          <w:p>
            <w:pPr>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6、法律法规对合格投标人的其他要求、规定。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865" w:type="dxa"/>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9</w:t>
            </w:r>
          </w:p>
        </w:tc>
        <w:tc>
          <w:tcPr>
            <w:tcW w:w="1793" w:type="dxa"/>
            <w:tcBorders>
              <w:left w:val="single" w:color="auto" w:sz="4" w:space="0"/>
            </w:tcBorders>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资格审查方式</w:t>
            </w:r>
          </w:p>
        </w:tc>
        <w:tc>
          <w:tcPr>
            <w:tcW w:w="7165" w:type="dxa"/>
            <w:vAlign w:val="center"/>
          </w:tcPr>
          <w:p>
            <w:pPr>
              <w:autoSpaceDE w:val="0"/>
              <w:autoSpaceDN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基本条件合格制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865" w:type="dxa"/>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10</w:t>
            </w:r>
          </w:p>
        </w:tc>
        <w:tc>
          <w:tcPr>
            <w:tcW w:w="1793" w:type="dxa"/>
            <w:tcBorders>
              <w:left w:val="single" w:color="auto" w:sz="4" w:space="0"/>
            </w:tcBorders>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资金来源</w:t>
            </w:r>
          </w:p>
        </w:tc>
        <w:tc>
          <w:tcPr>
            <w:tcW w:w="7165" w:type="dxa"/>
            <w:vAlign w:val="center"/>
          </w:tcPr>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财政资金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865" w:type="dxa"/>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11</w:t>
            </w:r>
          </w:p>
        </w:tc>
        <w:tc>
          <w:tcPr>
            <w:tcW w:w="1793" w:type="dxa"/>
            <w:tcBorders>
              <w:left w:val="single" w:color="auto" w:sz="4" w:space="0"/>
            </w:tcBorders>
            <w:vAlign w:val="center"/>
          </w:tcPr>
          <w:p>
            <w:pPr>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验收方式</w:t>
            </w:r>
          </w:p>
        </w:tc>
        <w:tc>
          <w:tcPr>
            <w:tcW w:w="7165" w:type="dxa"/>
            <w:vAlign w:val="center"/>
          </w:tcPr>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自行组织验收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865" w:type="dxa"/>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12</w:t>
            </w:r>
          </w:p>
        </w:tc>
        <w:tc>
          <w:tcPr>
            <w:tcW w:w="1793" w:type="dxa"/>
            <w:tcBorders>
              <w:left w:val="single" w:color="auto" w:sz="4" w:space="0"/>
            </w:tcBorders>
            <w:vAlign w:val="center"/>
          </w:tcPr>
          <w:p>
            <w:pPr>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165" w:type="dxa"/>
            <w:vAlign w:val="center"/>
          </w:tcPr>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公开报价后</w:t>
            </w:r>
            <w:r>
              <w:rPr>
                <w:rFonts w:hint="eastAsia" w:ascii="仿宋" w:hAnsi="仿宋" w:eastAsia="仿宋" w:cs="仿宋"/>
                <w:color w:val="auto"/>
                <w:spacing w:val="6"/>
                <w:sz w:val="24"/>
                <w:szCs w:val="24"/>
                <w:highlight w:val="none"/>
                <w:u w:val="single"/>
              </w:rPr>
              <w:t>90</w:t>
            </w:r>
            <w:r>
              <w:rPr>
                <w:rFonts w:hint="eastAsia" w:ascii="仿宋" w:hAnsi="仿宋" w:eastAsia="仿宋" w:cs="仿宋"/>
                <w:color w:val="auto"/>
                <w:spacing w:val="6"/>
                <w:sz w:val="24"/>
                <w:szCs w:val="24"/>
                <w:highlight w:val="none"/>
              </w:rPr>
              <w:t>日历天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 w:hRule="atLeast"/>
          <w:jc w:val="center"/>
        </w:trPr>
        <w:tc>
          <w:tcPr>
            <w:tcW w:w="865" w:type="dxa"/>
            <w:vAlign w:val="center"/>
          </w:tcPr>
          <w:p>
            <w:pPr>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w:t>
            </w:r>
          </w:p>
        </w:tc>
        <w:tc>
          <w:tcPr>
            <w:tcW w:w="1793" w:type="dxa"/>
            <w:tcBorders>
              <w:left w:val="single" w:color="auto" w:sz="4" w:space="0"/>
            </w:tcBorders>
            <w:vAlign w:val="center"/>
          </w:tcPr>
          <w:p>
            <w:pPr>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7165" w:type="dxa"/>
            <w:vAlign w:val="center"/>
          </w:tcPr>
          <w:p>
            <w:pPr>
              <w:spacing w:line="500" w:lineRule="atLeas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踏勘方式：自行现场勘查</w:t>
            </w:r>
            <w:r>
              <w:rPr>
                <w:rFonts w:hint="eastAsia" w:ascii="仿宋" w:hAnsi="仿宋" w:eastAsia="仿宋" w:cs="仿宋"/>
                <w:color w:val="auto"/>
                <w:sz w:val="24"/>
                <w:szCs w:val="24"/>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 w:hRule="atLeast"/>
          <w:jc w:val="center"/>
        </w:trPr>
        <w:tc>
          <w:tcPr>
            <w:tcW w:w="865" w:type="dxa"/>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14</w:t>
            </w:r>
          </w:p>
        </w:tc>
        <w:tc>
          <w:tcPr>
            <w:tcW w:w="1793" w:type="dxa"/>
            <w:tcBorders>
              <w:left w:val="single" w:color="auto" w:sz="4" w:space="0"/>
            </w:tcBorders>
            <w:vAlign w:val="center"/>
          </w:tcPr>
          <w:p>
            <w:pPr>
              <w:pStyle w:val="47"/>
              <w:spacing w:line="500" w:lineRule="atLeast"/>
              <w:ind w:firstLine="0" w:firstLineChars="0"/>
              <w:jc w:val="center"/>
              <w:rPr>
                <w:rFonts w:ascii="仿宋" w:hAnsi="仿宋" w:eastAsia="仿宋" w:cs="仿宋"/>
                <w:color w:val="auto"/>
                <w:szCs w:val="24"/>
                <w:highlight w:val="none"/>
              </w:rPr>
            </w:pPr>
            <w:r>
              <w:rPr>
                <w:rFonts w:hint="eastAsia" w:ascii="仿宋" w:hAnsi="仿宋" w:eastAsia="仿宋" w:cs="仿宋"/>
                <w:color w:val="auto"/>
                <w:szCs w:val="24"/>
                <w:highlight w:val="none"/>
              </w:rPr>
              <w:t>投标保证金</w:t>
            </w:r>
          </w:p>
        </w:tc>
        <w:tc>
          <w:tcPr>
            <w:tcW w:w="7165" w:type="dxa"/>
            <w:vAlign w:val="center"/>
          </w:tcPr>
          <w:p>
            <w:pPr>
              <w:spacing w:line="500" w:lineRule="exact"/>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投标保证金</w:t>
            </w:r>
            <w:r>
              <w:rPr>
                <w:rFonts w:hint="eastAsia" w:ascii="仿宋" w:hAnsi="仿宋" w:eastAsia="仿宋" w:cs="仿宋"/>
                <w:color w:val="auto"/>
                <w:sz w:val="24"/>
                <w:szCs w:val="24"/>
                <w:highlight w:val="none"/>
              </w:rPr>
              <w:t>：以采用电汇交款形式，须在</w:t>
            </w:r>
            <w:r>
              <w:rPr>
                <w:rFonts w:hint="eastAsia" w:ascii="仿宋" w:hAnsi="仿宋" w:eastAsia="仿宋" w:cs="仿宋"/>
                <w:color w:val="auto"/>
                <w:sz w:val="24"/>
                <w:szCs w:val="24"/>
                <w:highlight w:val="none"/>
              </w:rPr>
              <w:t>2018年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rPr>
              <w:t>下午16时00分之前提交。人民币：</w:t>
            </w:r>
            <w:r>
              <w:rPr>
                <w:rFonts w:hint="eastAsia" w:ascii="仿宋" w:hAnsi="仿宋" w:eastAsia="仿宋" w:cs="仿宋"/>
                <w:b/>
                <w:bCs/>
                <w:color w:val="auto"/>
                <w:sz w:val="24"/>
                <w:szCs w:val="24"/>
                <w:highlight w:val="none"/>
                <w:u w:val="single"/>
              </w:rPr>
              <w:t>肆仟陆佰元整</w:t>
            </w:r>
          </w:p>
          <w:p>
            <w:pPr>
              <w:spacing w:line="560" w:lineRule="exact"/>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投标保证金必须由投标单位的</w:t>
            </w:r>
            <w:r>
              <w:rPr>
                <w:rFonts w:hint="eastAsia" w:ascii="仿宋" w:hAnsi="仿宋" w:eastAsia="仿宋" w:cs="仿宋"/>
                <w:b/>
                <w:color w:val="auto"/>
                <w:sz w:val="24"/>
                <w:szCs w:val="24"/>
                <w:highlight w:val="none"/>
              </w:rPr>
              <w:t>基本账户</w:t>
            </w:r>
            <w:r>
              <w:rPr>
                <w:rFonts w:hint="eastAsia" w:ascii="仿宋" w:hAnsi="仿宋" w:eastAsia="仿宋" w:cs="仿宋"/>
                <w:bCs/>
                <w:color w:val="auto"/>
                <w:sz w:val="24"/>
                <w:szCs w:val="24"/>
                <w:highlight w:val="none"/>
              </w:rPr>
              <w:t>支出，</w:t>
            </w:r>
            <w:r>
              <w:rPr>
                <w:rFonts w:hint="eastAsia" w:ascii="仿宋" w:hAnsi="仿宋" w:eastAsia="仿宋" w:cs="仿宋"/>
                <w:color w:val="auto"/>
                <w:sz w:val="24"/>
                <w:szCs w:val="24"/>
                <w:highlight w:val="none"/>
              </w:rPr>
              <w:t>保证金递交时间以采购代理公司实际到账为准，投标保证金须在规定的时间内提交，否则视为无效投标。投标人须在备注栏注明“【黄台中队屋面防水维修工程】投标保证金 ”。</w:t>
            </w:r>
          </w:p>
          <w:p>
            <w:pPr>
              <w:spacing w:line="5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开户单位：山东蓝盾招标代理有限公司</w:t>
            </w:r>
          </w:p>
          <w:p>
            <w:pPr>
              <w:spacing w:line="5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开户银行：中国农业银行股份有限公司济南会展中心分理处 </w:t>
            </w:r>
          </w:p>
          <w:p>
            <w:pPr>
              <w:spacing w:line="5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帐    号：15132401040008055</w:t>
            </w:r>
          </w:p>
          <w:p>
            <w:pPr>
              <w:pStyle w:val="47"/>
              <w:spacing w:line="500" w:lineRule="atLeast"/>
              <w:ind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未成交投标人的保证金将在确定成交投标人后 5 个工作日内退还。成交投标人的保证金将在采购人与成交投标人签订合同并交由招标代理公司后，五个工作日内退还保证金。（采购代理费于领取成交通知书之前交纳）。逾期办理造成损失由成交投标人自行承担。</w:t>
            </w:r>
          </w:p>
          <w:p>
            <w:pPr>
              <w:pStyle w:val="47"/>
              <w:spacing w:line="500" w:lineRule="atLeast"/>
              <w:ind w:firstLine="0" w:firstLineChars="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保证金退还办理流程：请携带投标人对招标代理公司开的退保证金收据及开户许可证复印件加盖公章到公司财务部办理。</w:t>
            </w:r>
          </w:p>
          <w:p>
            <w:pPr>
              <w:pStyle w:val="47"/>
              <w:spacing w:line="500" w:lineRule="atLeast"/>
              <w:ind w:firstLine="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财务部电话：0531-88809761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 w:hRule="atLeast"/>
          <w:jc w:val="center"/>
        </w:trPr>
        <w:tc>
          <w:tcPr>
            <w:tcW w:w="865" w:type="dxa"/>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15</w:t>
            </w:r>
          </w:p>
        </w:tc>
        <w:tc>
          <w:tcPr>
            <w:tcW w:w="1793" w:type="dxa"/>
            <w:tcBorders>
              <w:left w:val="single" w:color="auto" w:sz="4" w:space="0"/>
            </w:tcBorders>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报价文件份数</w:t>
            </w:r>
          </w:p>
        </w:tc>
        <w:tc>
          <w:tcPr>
            <w:tcW w:w="7165" w:type="dxa"/>
            <w:vAlign w:val="center"/>
          </w:tcPr>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正本一份，副本五份（开标后不退还）。</w:t>
            </w:r>
          </w:p>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投标人资质文件原件（资格后审内容）一份，可不密封。</w:t>
            </w:r>
          </w:p>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投标文件电子版U盘或光盘一份（内容包含投标书所有内容，开标后不退还）。</w:t>
            </w:r>
          </w:p>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唱标一览表三份（单独密封）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865" w:type="dxa"/>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16</w:t>
            </w:r>
          </w:p>
        </w:tc>
        <w:tc>
          <w:tcPr>
            <w:tcW w:w="1793" w:type="dxa"/>
            <w:tcBorders>
              <w:left w:val="single" w:color="auto" w:sz="4" w:space="0"/>
            </w:tcBorders>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装订方式</w:t>
            </w:r>
          </w:p>
        </w:tc>
        <w:tc>
          <w:tcPr>
            <w:tcW w:w="7165" w:type="dxa"/>
            <w:vAlign w:val="center"/>
          </w:tcPr>
          <w:p>
            <w:pPr>
              <w:spacing w:line="500" w:lineRule="atLeast"/>
              <w:jc w:val="both"/>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胶装（否则按废标处理）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jc w:val="center"/>
        </w:trPr>
        <w:tc>
          <w:tcPr>
            <w:tcW w:w="865" w:type="dxa"/>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17</w:t>
            </w:r>
          </w:p>
        </w:tc>
        <w:tc>
          <w:tcPr>
            <w:tcW w:w="1793" w:type="dxa"/>
            <w:tcBorders>
              <w:left w:val="single" w:color="auto" w:sz="4" w:space="0"/>
            </w:tcBorders>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付款方式</w:t>
            </w:r>
          </w:p>
        </w:tc>
        <w:tc>
          <w:tcPr>
            <w:tcW w:w="7165" w:type="dxa"/>
            <w:vAlign w:val="center"/>
          </w:tcPr>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签订合同后支付合同总金额的30%作为预付款，施工完成验收合格并出具审计报告后付至审定额的95%，剩余5%作为质量保证金，验收合格之日起1年后工程无质量问题无息付清质保金。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9" w:hRule="atLeast"/>
          <w:jc w:val="center"/>
        </w:trPr>
        <w:tc>
          <w:tcPr>
            <w:tcW w:w="865" w:type="dxa"/>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18</w:t>
            </w:r>
          </w:p>
        </w:tc>
        <w:tc>
          <w:tcPr>
            <w:tcW w:w="1793" w:type="dxa"/>
            <w:tcBorders>
              <w:left w:val="single" w:color="auto" w:sz="4" w:space="0"/>
            </w:tcBorders>
            <w:vAlign w:val="center"/>
          </w:tcPr>
          <w:p>
            <w:pPr>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提出疑问时间及方式</w:t>
            </w:r>
          </w:p>
        </w:tc>
        <w:tc>
          <w:tcPr>
            <w:tcW w:w="7165" w:type="dxa"/>
            <w:vAlign w:val="center"/>
          </w:tcPr>
          <w:p>
            <w:pPr>
              <w:spacing w:line="500" w:lineRule="atLeast"/>
              <w:rPr>
                <w:rFonts w:ascii="仿宋" w:hAnsi="仿宋" w:eastAsia="仿宋" w:cs="仿宋"/>
                <w:color w:val="auto"/>
                <w:spacing w:val="6"/>
                <w:sz w:val="24"/>
                <w:szCs w:val="24"/>
                <w:highlight w:val="none"/>
                <w:u w:val="single"/>
              </w:rPr>
            </w:pPr>
            <w:r>
              <w:rPr>
                <w:rFonts w:hint="eastAsia" w:ascii="仿宋" w:hAnsi="仿宋" w:eastAsia="仿宋" w:cs="仿宋"/>
                <w:color w:val="auto"/>
                <w:sz w:val="24"/>
                <w:szCs w:val="24"/>
                <w:highlight w:val="none"/>
              </w:rPr>
              <w:t>时  间：</w:t>
            </w:r>
            <w:r>
              <w:rPr>
                <w:rFonts w:hint="eastAsia" w:ascii="仿宋" w:hAnsi="仿宋" w:eastAsia="仿宋" w:cs="仿宋"/>
                <w:color w:val="auto"/>
                <w:spacing w:val="6"/>
                <w:sz w:val="24"/>
                <w:szCs w:val="24"/>
                <w:highlight w:val="none"/>
                <w:u w:val="single"/>
              </w:rPr>
              <w:t>2018年</w:t>
            </w:r>
            <w:r>
              <w:rPr>
                <w:rFonts w:hint="eastAsia" w:ascii="仿宋" w:hAnsi="仿宋" w:eastAsia="仿宋" w:cs="仿宋"/>
                <w:color w:val="auto"/>
                <w:spacing w:val="6"/>
                <w:sz w:val="24"/>
                <w:szCs w:val="24"/>
                <w:highlight w:val="none"/>
                <w:u w:val="single"/>
                <w:lang w:val="en-US" w:eastAsia="zh-CN"/>
              </w:rPr>
              <w:t>8</w:t>
            </w:r>
            <w:r>
              <w:rPr>
                <w:rFonts w:hint="eastAsia" w:ascii="仿宋" w:hAnsi="仿宋" w:eastAsia="仿宋" w:cs="仿宋"/>
                <w:color w:val="auto"/>
                <w:spacing w:val="6"/>
                <w:sz w:val="24"/>
                <w:szCs w:val="24"/>
                <w:highlight w:val="none"/>
                <w:u w:val="single"/>
              </w:rPr>
              <w:t>月</w:t>
            </w:r>
            <w:r>
              <w:rPr>
                <w:rFonts w:hint="eastAsia" w:ascii="仿宋" w:hAnsi="仿宋" w:eastAsia="仿宋" w:cs="仿宋"/>
                <w:color w:val="auto"/>
                <w:spacing w:val="6"/>
                <w:sz w:val="24"/>
                <w:szCs w:val="24"/>
                <w:highlight w:val="none"/>
                <w:u w:val="single"/>
                <w:lang w:val="en-US" w:eastAsia="zh-CN"/>
              </w:rPr>
              <w:t>18</w:t>
            </w:r>
            <w:r>
              <w:rPr>
                <w:rFonts w:hint="eastAsia" w:ascii="仿宋" w:hAnsi="仿宋" w:eastAsia="仿宋" w:cs="仿宋"/>
                <w:color w:val="auto"/>
                <w:spacing w:val="6"/>
                <w:sz w:val="24"/>
                <w:szCs w:val="24"/>
                <w:highlight w:val="none"/>
                <w:u w:val="single"/>
              </w:rPr>
              <w:t>日上午12:00前（北京时间）</w:t>
            </w:r>
          </w:p>
          <w:p>
            <w:pPr>
              <w:spacing w:line="500" w:lineRule="atLeast"/>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方  式:</w:t>
            </w:r>
            <w:r>
              <w:rPr>
                <w:color w:val="auto"/>
                <w:highlight w:val="none"/>
              </w:rPr>
              <w:fldChar w:fldCharType="begin"/>
            </w:r>
            <w:r>
              <w:rPr>
                <w:color w:val="auto"/>
                <w:highlight w:val="none"/>
              </w:rPr>
              <w:instrText xml:space="preserve"> HYPERLINK "mailto:投标人可提交纸质文件至济南市高新区工业南路59号中铁财智中心6号楼15楼，同时，发送一份质疑文件的电子文档至ldzb002@163.com并电话通知查收" </w:instrText>
            </w:r>
            <w:r>
              <w:rPr>
                <w:color w:val="auto"/>
                <w:highlight w:val="none"/>
              </w:rPr>
              <w:fldChar w:fldCharType="separate"/>
            </w:r>
            <w:r>
              <w:rPr>
                <w:rFonts w:hint="eastAsia" w:ascii="仿宋" w:hAnsi="仿宋" w:eastAsia="仿宋" w:cs="仿宋"/>
                <w:color w:val="auto"/>
                <w:sz w:val="24"/>
                <w:szCs w:val="24"/>
                <w:highlight w:val="none"/>
              </w:rPr>
              <w:t>投标人可提交纸质文件至济南市高新区工业南路59号中铁财智中心6号楼15楼，同时，发送一份质疑文件的电子文档至ldzb002@163.com并电话通知查收</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 ；</w:t>
            </w:r>
          </w:p>
          <w:p>
            <w:pPr>
              <w:spacing w:line="500" w:lineRule="atLeast"/>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联系电话：</w:t>
            </w:r>
            <w:r>
              <w:rPr>
                <w:rFonts w:hint="eastAsia" w:ascii="仿宋" w:hAnsi="仿宋" w:eastAsia="仿宋" w:cs="仿宋"/>
                <w:color w:val="auto"/>
                <w:sz w:val="24"/>
                <w:szCs w:val="24"/>
                <w:highlight w:val="none"/>
              </w:rPr>
              <w:t>0531-88809762转8014。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12" w:hRule="atLeast"/>
          <w:jc w:val="center"/>
        </w:trPr>
        <w:tc>
          <w:tcPr>
            <w:tcW w:w="865" w:type="dxa"/>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19</w:t>
            </w:r>
          </w:p>
        </w:tc>
        <w:tc>
          <w:tcPr>
            <w:tcW w:w="1793" w:type="dxa"/>
            <w:tcBorders>
              <w:left w:val="single" w:color="auto" w:sz="4" w:space="0"/>
            </w:tcBorders>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答疑地点、时间</w:t>
            </w:r>
          </w:p>
        </w:tc>
        <w:tc>
          <w:tcPr>
            <w:tcW w:w="7165" w:type="dxa"/>
            <w:tcBorders>
              <w:bottom w:val="single" w:color="auto" w:sz="4" w:space="0"/>
            </w:tcBorders>
            <w:vAlign w:val="center"/>
          </w:tcPr>
          <w:p>
            <w:pPr>
              <w:spacing w:line="500" w:lineRule="atLeast"/>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采购文件出售截止后2天内以电子版形式通知，供应商须在1日内确认。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12" w:hRule="atLeast"/>
          <w:jc w:val="center"/>
        </w:trPr>
        <w:tc>
          <w:tcPr>
            <w:tcW w:w="865" w:type="dxa"/>
            <w:vMerge w:val="restart"/>
            <w:vAlign w:val="center"/>
          </w:tcPr>
          <w:p>
            <w:pPr>
              <w:spacing w:line="500" w:lineRule="atLeast"/>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20</w:t>
            </w:r>
          </w:p>
        </w:tc>
        <w:tc>
          <w:tcPr>
            <w:tcW w:w="1793" w:type="dxa"/>
            <w:vMerge w:val="restart"/>
            <w:tcBorders>
              <w:left w:val="single" w:color="auto" w:sz="4" w:space="0"/>
            </w:tcBorders>
            <w:vAlign w:val="center"/>
          </w:tcPr>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递交报价文件截止时间、地点</w:t>
            </w:r>
          </w:p>
        </w:tc>
        <w:tc>
          <w:tcPr>
            <w:tcW w:w="7165" w:type="dxa"/>
            <w:tcBorders>
              <w:bottom w:val="single" w:color="auto" w:sz="4" w:space="0"/>
            </w:tcBorders>
            <w:vAlign w:val="center"/>
          </w:tcPr>
          <w:p>
            <w:pPr>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  间：</w:t>
            </w:r>
            <w:r>
              <w:rPr>
                <w:rFonts w:hint="eastAsia" w:ascii="仿宋" w:hAnsi="仿宋" w:eastAsia="仿宋" w:cs="仿宋"/>
                <w:color w:val="auto"/>
                <w:sz w:val="24"/>
                <w:szCs w:val="24"/>
                <w:highlight w:val="none"/>
              </w:rPr>
              <w:t>2018年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eastAsia="zh-CN"/>
              </w:rPr>
              <w:t>上</w:t>
            </w:r>
            <w:r>
              <w:rPr>
                <w:rFonts w:hint="eastAsia" w:ascii="仿宋" w:hAnsi="仿宋" w:eastAsia="仿宋" w:cs="仿宋"/>
                <w:color w:val="auto"/>
                <w:sz w:val="24"/>
                <w:szCs w:val="24"/>
                <w:highlight w:val="none"/>
              </w:rPr>
              <w:t>午</w:t>
            </w:r>
            <w:r>
              <w:rPr>
                <w:rFonts w:hint="eastAsia" w:ascii="仿宋" w:hAnsi="仿宋" w:eastAsia="仿宋" w:cs="仿宋"/>
                <w:color w:val="auto"/>
                <w:sz w:val="24"/>
                <w:szCs w:val="24"/>
                <w:highlight w:val="none"/>
                <w:lang w:val="en-US" w:eastAsia="zh-CN"/>
              </w:rPr>
              <w:t>09：00</w:t>
            </w:r>
            <w:r>
              <w:rPr>
                <w:rFonts w:hint="eastAsia" w:ascii="仿宋" w:hAnsi="仿宋" w:eastAsia="仿宋" w:cs="仿宋"/>
                <w:color w:val="auto"/>
                <w:spacing w:val="6"/>
                <w:sz w:val="24"/>
                <w:szCs w:val="24"/>
                <w:highlight w:val="none"/>
              </w:rPr>
              <w:t>（北京时间）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865" w:type="dxa"/>
            <w:vMerge w:val="continue"/>
            <w:vAlign w:val="center"/>
          </w:tcPr>
          <w:p>
            <w:pPr>
              <w:spacing w:line="500" w:lineRule="atLeast"/>
              <w:jc w:val="center"/>
              <w:rPr>
                <w:rFonts w:ascii="仿宋" w:hAnsi="仿宋" w:eastAsia="仿宋" w:cs="仿宋"/>
                <w:color w:val="auto"/>
                <w:spacing w:val="6"/>
                <w:sz w:val="24"/>
                <w:szCs w:val="24"/>
                <w:highlight w:val="none"/>
              </w:rPr>
            </w:pPr>
          </w:p>
        </w:tc>
        <w:tc>
          <w:tcPr>
            <w:tcW w:w="1793" w:type="dxa"/>
            <w:vMerge w:val="continue"/>
            <w:tcBorders>
              <w:left w:val="single" w:color="auto" w:sz="4" w:space="0"/>
            </w:tcBorders>
            <w:vAlign w:val="center"/>
          </w:tcPr>
          <w:p>
            <w:pPr>
              <w:spacing w:line="500" w:lineRule="atLeast"/>
              <w:jc w:val="center"/>
              <w:rPr>
                <w:rFonts w:ascii="仿宋" w:hAnsi="仿宋" w:eastAsia="仿宋" w:cs="仿宋"/>
                <w:color w:val="auto"/>
                <w:spacing w:val="6"/>
                <w:sz w:val="24"/>
                <w:szCs w:val="24"/>
                <w:highlight w:val="none"/>
              </w:rPr>
            </w:pPr>
          </w:p>
        </w:tc>
        <w:tc>
          <w:tcPr>
            <w:tcW w:w="7165" w:type="dxa"/>
            <w:tcBorders>
              <w:top w:val="single" w:color="auto" w:sz="4" w:space="0"/>
              <w:bottom w:val="single" w:color="auto" w:sz="4" w:space="0"/>
            </w:tcBorders>
            <w:vAlign w:val="center"/>
          </w:tcPr>
          <w:p>
            <w:pPr>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点</w:t>
            </w:r>
            <w:r>
              <w:rPr>
                <w:rFonts w:hint="eastAsia" w:ascii="仿宋" w:hAnsi="仿宋" w:eastAsia="仿宋" w:cs="仿宋"/>
                <w:color w:val="auto"/>
                <w:spacing w:val="6"/>
                <w:sz w:val="24"/>
                <w:szCs w:val="24"/>
                <w:highlight w:val="none"/>
              </w:rPr>
              <w:t>：济南市高新区工业南路59号中铁财智中心6号楼15楼</w:t>
            </w:r>
            <w:r>
              <w:rPr>
                <w:rFonts w:hint="eastAsia" w:ascii="仿宋" w:hAnsi="仿宋" w:eastAsia="仿宋" w:cs="仿宋"/>
                <w:color w:val="auto"/>
                <w:sz w:val="24"/>
                <w:szCs w:val="24"/>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865" w:type="dxa"/>
            <w:vAlign w:val="center"/>
          </w:tcPr>
          <w:p>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21</w:t>
            </w:r>
          </w:p>
        </w:tc>
        <w:tc>
          <w:tcPr>
            <w:tcW w:w="1793" w:type="dxa"/>
            <w:tcBorders>
              <w:left w:val="single" w:color="auto" w:sz="4" w:space="0"/>
            </w:tcBorders>
            <w:vAlign w:val="center"/>
          </w:tcPr>
          <w:p>
            <w:pPr>
              <w:spacing w:line="440" w:lineRule="exact"/>
              <w:jc w:val="center"/>
              <w:rPr>
                <w:rFonts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评标办法</w:t>
            </w:r>
          </w:p>
        </w:tc>
        <w:tc>
          <w:tcPr>
            <w:tcW w:w="7165" w:type="dxa"/>
            <w:tcBorders>
              <w:top w:val="single" w:color="auto" w:sz="4" w:space="0"/>
              <w:bottom w:val="single" w:color="auto" w:sz="4" w:space="0"/>
            </w:tcBorders>
            <w:vAlign w:val="center"/>
          </w:tcPr>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本次评标采用百分制综合评分法，评标委员会成员根据竞争性磋商文件中确定的评分办法综合评定各报价人提交的报价文件，按照评标得分经采购人授权直接确定得分最高的报价人作为中标。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865" w:type="dxa"/>
            <w:vAlign w:val="center"/>
          </w:tcPr>
          <w:p>
            <w:pPr>
              <w:spacing w:line="360" w:lineRule="auto"/>
              <w:jc w:val="center"/>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22</w:t>
            </w:r>
          </w:p>
        </w:tc>
        <w:tc>
          <w:tcPr>
            <w:tcW w:w="8958" w:type="dxa"/>
            <w:gridSpan w:val="2"/>
            <w:tcBorders>
              <w:left w:val="single" w:color="auto" w:sz="4" w:space="0"/>
            </w:tcBorders>
            <w:vAlign w:val="center"/>
          </w:tcPr>
          <w:p>
            <w:pPr>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本项目招标控制价：22.470311万元，投标报价若超出此价格作废标处理。</w:t>
            </w:r>
          </w:p>
        </w:tc>
      </w:tr>
      <w:bookmarkEnd w:id="15"/>
      <w:bookmarkEnd w:id="16"/>
      <w:bookmarkEnd w:id="25"/>
      <w:bookmarkEnd w:id="26"/>
      <w:bookmarkEnd w:id="27"/>
      <w:bookmarkEnd w:id="28"/>
      <w:bookmarkEnd w:id="29"/>
      <w:bookmarkEnd w:id="30"/>
      <w:bookmarkEnd w:id="31"/>
    </w:tbl>
    <w:p>
      <w:pPr>
        <w:pStyle w:val="73"/>
        <w:spacing w:beforeLines="50" w:line="500" w:lineRule="atLeast"/>
        <w:ind w:firstLine="496" w:firstLineChars="196"/>
        <w:jc w:val="both"/>
        <w:outlineLvl w:val="1"/>
        <w:rPr>
          <w:rFonts w:ascii="仿宋" w:hAnsi="仿宋" w:eastAsia="仿宋" w:cs="仿宋"/>
          <w:b/>
          <w:color w:val="auto"/>
          <w:sz w:val="24"/>
          <w:szCs w:val="24"/>
          <w:highlight w:val="none"/>
        </w:rPr>
      </w:pPr>
      <w:bookmarkStart w:id="33" w:name="_Toc4771"/>
      <w:bookmarkStart w:id="34" w:name="_Toc2014"/>
      <w:bookmarkStart w:id="35" w:name="_Toc9010"/>
      <w:bookmarkStart w:id="36" w:name="_Toc26023"/>
      <w:bookmarkStart w:id="37" w:name="_Toc27371"/>
      <w:bookmarkStart w:id="38" w:name="_Toc12792"/>
      <w:bookmarkStart w:id="39" w:name="_Toc27171"/>
      <w:bookmarkStart w:id="40" w:name="_Toc4157"/>
      <w:bookmarkStart w:id="41" w:name="_Toc7029"/>
      <w:bookmarkStart w:id="42" w:name="_Toc32407"/>
      <w:bookmarkStart w:id="43" w:name="_Toc10961"/>
      <w:bookmarkStart w:id="44" w:name="_Toc26461"/>
      <w:bookmarkStart w:id="45" w:name="_Toc183264284"/>
      <w:r>
        <w:rPr>
          <w:rFonts w:hint="eastAsia" w:ascii="仿宋" w:hAnsi="仿宋" w:eastAsia="仿宋" w:cs="仿宋"/>
          <w:b/>
          <w:color w:val="auto"/>
          <w:sz w:val="24"/>
          <w:szCs w:val="24"/>
          <w:highlight w:val="none"/>
        </w:rPr>
        <w:t>一、适用范围</w:t>
      </w:r>
      <w:bookmarkEnd w:id="33"/>
      <w:bookmarkEnd w:id="34"/>
      <w:bookmarkEnd w:id="35"/>
      <w:bookmarkEnd w:id="36"/>
      <w:bookmarkEnd w:id="37"/>
      <w:bookmarkEnd w:id="38"/>
      <w:bookmarkEnd w:id="39"/>
      <w:bookmarkEnd w:id="40"/>
      <w:bookmarkEnd w:id="41"/>
      <w:bookmarkEnd w:id="42"/>
      <w:bookmarkEnd w:id="43"/>
      <w:bookmarkEnd w:id="44"/>
      <w:bookmarkEnd w:id="45"/>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本竞争性磋商文件仅适用于本次竞争性磋商资格公告中所叙述的项目。通过竞争性磋商方式择优选择成交投标人。</w:t>
      </w:r>
    </w:p>
    <w:p>
      <w:pPr>
        <w:pStyle w:val="73"/>
        <w:spacing w:beforeLines="50" w:line="500" w:lineRule="atLeast"/>
        <w:ind w:firstLine="506" w:firstLineChars="200"/>
        <w:jc w:val="both"/>
        <w:outlineLvl w:val="1"/>
        <w:rPr>
          <w:rFonts w:ascii="仿宋" w:hAnsi="仿宋" w:eastAsia="仿宋" w:cs="仿宋"/>
          <w:b/>
          <w:color w:val="auto"/>
          <w:sz w:val="24"/>
          <w:szCs w:val="24"/>
          <w:highlight w:val="none"/>
        </w:rPr>
      </w:pPr>
      <w:bookmarkStart w:id="46" w:name="_Toc2971"/>
      <w:bookmarkStart w:id="47" w:name="_Toc3281"/>
      <w:bookmarkStart w:id="48" w:name="_Toc15358"/>
      <w:bookmarkStart w:id="49" w:name="_Toc12571"/>
      <w:bookmarkStart w:id="50" w:name="_Toc27128"/>
      <w:bookmarkStart w:id="51" w:name="_Toc6021"/>
      <w:bookmarkStart w:id="52" w:name="_Toc6859"/>
      <w:bookmarkStart w:id="53" w:name="_Toc17524"/>
      <w:bookmarkStart w:id="54" w:name="_Toc16665"/>
      <w:bookmarkStart w:id="55" w:name="_Toc16181"/>
      <w:bookmarkStart w:id="56" w:name="_Toc6263"/>
      <w:bookmarkStart w:id="57" w:name="_Toc183264285"/>
      <w:bookmarkStart w:id="58" w:name="_Toc30575"/>
      <w:r>
        <w:rPr>
          <w:rFonts w:hint="eastAsia" w:ascii="仿宋" w:hAnsi="仿宋" w:eastAsia="仿宋" w:cs="仿宋"/>
          <w:b/>
          <w:color w:val="auto"/>
          <w:sz w:val="24"/>
          <w:szCs w:val="24"/>
          <w:highlight w:val="none"/>
        </w:rPr>
        <w:t>二、定义</w:t>
      </w:r>
      <w:bookmarkEnd w:id="46"/>
      <w:bookmarkEnd w:id="47"/>
      <w:bookmarkEnd w:id="48"/>
      <w:bookmarkEnd w:id="49"/>
      <w:bookmarkEnd w:id="50"/>
      <w:bookmarkEnd w:id="51"/>
      <w:bookmarkEnd w:id="52"/>
      <w:bookmarkEnd w:id="53"/>
      <w:bookmarkEnd w:id="54"/>
      <w:bookmarkEnd w:id="55"/>
      <w:bookmarkEnd w:id="56"/>
      <w:bookmarkEnd w:id="57"/>
      <w:bookmarkEnd w:id="58"/>
    </w:p>
    <w:p>
      <w:pPr>
        <w:spacing w:line="500" w:lineRule="atLeast"/>
        <w:ind w:firstLine="480" w:firstLineChars="200"/>
        <w:rPr>
          <w:rFonts w:ascii="仿宋" w:hAnsi="仿宋" w:eastAsia="仿宋" w:cs="仿宋"/>
          <w:color w:val="auto"/>
          <w:sz w:val="24"/>
          <w:szCs w:val="24"/>
          <w:highlight w:val="none"/>
          <w:u w:val="single"/>
        </w:rPr>
      </w:pPr>
      <w:bookmarkStart w:id="59" w:name="_Toc22833"/>
      <w:bookmarkStart w:id="60" w:name="_Toc32753"/>
      <w:bookmarkStart w:id="61" w:name="_Toc17271"/>
      <w:bookmarkStart w:id="62" w:name="_Toc5891"/>
      <w:bookmarkStart w:id="63" w:name="_Toc3285"/>
      <w:bookmarkStart w:id="64" w:name="_Toc5398"/>
      <w:bookmarkStart w:id="65" w:name="_Toc8147"/>
      <w:bookmarkStart w:id="66" w:name="_Toc16016"/>
      <w:bookmarkStart w:id="67" w:name="_Toc26902"/>
      <w:bookmarkStart w:id="68" w:name="_Toc29647"/>
      <w:bookmarkStart w:id="69" w:name="_Toc8149"/>
      <w:bookmarkStart w:id="70" w:name="_Toc12343"/>
      <w:bookmarkStart w:id="71" w:name="_Toc183264286"/>
      <w:r>
        <w:rPr>
          <w:rFonts w:hint="eastAsia" w:ascii="仿宋" w:hAnsi="仿宋" w:eastAsia="仿宋" w:cs="仿宋"/>
          <w:color w:val="auto"/>
          <w:sz w:val="24"/>
          <w:szCs w:val="24"/>
          <w:highlight w:val="none"/>
        </w:rPr>
        <w:t xml:space="preserve">1.“采购人”系指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CN"/>
        </w:rPr>
        <w:t>济南市公安消防支队历城区大队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2.“采购代理机构”系指</w:t>
      </w:r>
      <w:r>
        <w:rPr>
          <w:rFonts w:hint="eastAsia" w:ascii="仿宋" w:hAnsi="仿宋" w:eastAsia="仿宋" w:cs="仿宋"/>
          <w:color w:val="auto"/>
          <w:sz w:val="24"/>
          <w:szCs w:val="24"/>
          <w:highlight w:val="none"/>
          <w:u w:val="single"/>
        </w:rPr>
        <w:t xml:space="preserve"> 山东蓝盾招标代理有限公司   </w:t>
      </w:r>
      <w:r>
        <w:rPr>
          <w:rFonts w:hint="eastAsia" w:ascii="仿宋" w:hAnsi="仿宋" w:eastAsia="仿宋" w:cs="仿宋"/>
          <w:color w:val="auto"/>
          <w:sz w:val="24"/>
          <w:szCs w:val="24"/>
          <w:highlight w:val="none"/>
        </w:rPr>
        <w:t>。</w:t>
      </w:r>
    </w:p>
    <w:p>
      <w:pPr>
        <w:spacing w:line="500" w:lineRule="atLeast"/>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3.“投标人”系指</w:t>
      </w:r>
      <w:r>
        <w:rPr>
          <w:rFonts w:hint="eastAsia" w:ascii="仿宋" w:hAnsi="仿宋" w:eastAsia="仿宋" w:cs="仿宋"/>
          <w:color w:val="auto"/>
          <w:sz w:val="24"/>
          <w:szCs w:val="24"/>
          <w:highlight w:val="none"/>
          <w:u w:val="single"/>
        </w:rPr>
        <w:t>响应磋商并进行报价竞争的单位。</w:t>
      </w:r>
    </w:p>
    <w:p>
      <w:pPr>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w:t>
      </w:r>
      <w:r>
        <w:rPr>
          <w:rFonts w:hint="eastAsia" w:ascii="仿宋" w:hAnsi="仿宋" w:eastAsia="仿宋" w:cs="仿宋"/>
          <w:color w:val="auto"/>
          <w:sz w:val="24"/>
          <w:szCs w:val="24"/>
          <w:highlight w:val="none"/>
          <w:u w:val="single"/>
        </w:rPr>
        <w:t>系指由磋商小组评审确定的取得与采购人签订合同资格的投标人。</w:t>
      </w:r>
    </w:p>
    <w:p>
      <w:pPr>
        <w:pStyle w:val="47"/>
        <w:spacing w:line="500" w:lineRule="atLeast"/>
        <w:ind w:firstLine="506"/>
        <w:outlineLvl w:val="1"/>
        <w:rPr>
          <w:rFonts w:ascii="仿宋" w:hAnsi="仿宋" w:eastAsia="仿宋" w:cs="仿宋"/>
          <w:b/>
          <w:color w:val="auto"/>
          <w:szCs w:val="24"/>
          <w:highlight w:val="none"/>
        </w:rPr>
      </w:pPr>
      <w:r>
        <w:rPr>
          <w:rFonts w:hint="eastAsia" w:ascii="仿宋" w:hAnsi="仿宋" w:eastAsia="仿宋" w:cs="仿宋"/>
          <w:b/>
          <w:color w:val="auto"/>
          <w:szCs w:val="24"/>
          <w:highlight w:val="none"/>
        </w:rPr>
        <w:t>三、踏勘现场</w:t>
      </w:r>
      <w:bookmarkEnd w:id="59"/>
      <w:bookmarkEnd w:id="60"/>
      <w:bookmarkEnd w:id="61"/>
      <w:bookmarkEnd w:id="62"/>
      <w:bookmarkEnd w:id="63"/>
      <w:bookmarkEnd w:id="64"/>
      <w:bookmarkEnd w:id="65"/>
      <w:bookmarkEnd w:id="66"/>
      <w:bookmarkEnd w:id="67"/>
      <w:bookmarkEnd w:id="68"/>
      <w:bookmarkEnd w:id="69"/>
      <w:bookmarkEnd w:id="70"/>
    </w:p>
    <w:p>
      <w:pPr>
        <w:pStyle w:val="73"/>
        <w:spacing w:beforeLines="50" w:line="500" w:lineRule="atLeast"/>
        <w:ind w:firstLine="504" w:firstLineChars="200"/>
        <w:jc w:val="both"/>
        <w:outlineLvl w:val="1"/>
        <w:rPr>
          <w:rFonts w:ascii="仿宋" w:hAnsi="仿宋" w:eastAsia="仿宋" w:cs="仿宋"/>
          <w:bCs/>
          <w:color w:val="auto"/>
          <w:sz w:val="24"/>
          <w:szCs w:val="24"/>
          <w:highlight w:val="none"/>
        </w:rPr>
      </w:pPr>
      <w:bookmarkStart w:id="72" w:name="_Toc29646"/>
      <w:bookmarkStart w:id="73" w:name="_Toc26716"/>
      <w:bookmarkStart w:id="74" w:name="_Toc19012"/>
      <w:bookmarkStart w:id="75" w:name="_Toc3602"/>
      <w:bookmarkStart w:id="76" w:name="_Toc29039"/>
      <w:bookmarkStart w:id="77" w:name="_Toc1476"/>
      <w:bookmarkStart w:id="78" w:name="_Toc9113"/>
      <w:bookmarkStart w:id="79" w:name="_Toc18930"/>
      <w:bookmarkStart w:id="80" w:name="_Toc28078"/>
      <w:bookmarkStart w:id="81" w:name="_Toc27146"/>
      <w:bookmarkStart w:id="82" w:name="_Toc21426"/>
      <w:bookmarkStart w:id="83" w:name="_Toc18544"/>
      <w:r>
        <w:rPr>
          <w:rFonts w:hint="eastAsia" w:ascii="仿宋" w:hAnsi="仿宋" w:eastAsia="仿宋" w:cs="仿宋"/>
          <w:bCs/>
          <w:color w:val="auto"/>
          <w:sz w:val="24"/>
          <w:szCs w:val="24"/>
          <w:highlight w:val="none"/>
        </w:rPr>
        <w:t>1.投标人自行勘察现场。</w:t>
      </w:r>
    </w:p>
    <w:p>
      <w:pPr>
        <w:pStyle w:val="73"/>
        <w:spacing w:beforeLines="50" w:line="500" w:lineRule="atLeast"/>
        <w:ind w:firstLine="504" w:firstLineChars="200"/>
        <w:jc w:val="both"/>
        <w:outlineLvl w:val="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2.各投标人应根据自身情况，对本项目的现场及周围环境进行踏勘和审阅，以便投标人获取有关编制投标文件和签署合同所涉及现场的资料，踏勘现场所需车辆及相关费用自理。</w:t>
      </w:r>
    </w:p>
    <w:p>
      <w:pPr>
        <w:pStyle w:val="73"/>
        <w:spacing w:beforeLines="50" w:line="500" w:lineRule="atLeast"/>
        <w:ind w:firstLine="504" w:firstLineChars="200"/>
        <w:jc w:val="both"/>
        <w:outlineLvl w:val="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人踏勘现场所获得的资料将被认为已了解了本项目的现场情况，掌握了编制投标文件的有关条件。招标人向投标人提供的有关现场的资料和数据，是招标人现有的能使投标人利用的资料。招标人对投标人由此而做出的推论、理解和结论概不负责。</w:t>
      </w:r>
    </w:p>
    <w:p>
      <w:pPr>
        <w:pStyle w:val="73"/>
        <w:spacing w:beforeLines="50" w:line="500" w:lineRule="atLeast"/>
        <w:ind w:firstLine="504" w:firstLineChars="200"/>
        <w:jc w:val="both"/>
        <w:outlineLvl w:val="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pPr>
        <w:pStyle w:val="73"/>
        <w:spacing w:beforeLines="50" w:line="500" w:lineRule="atLeast"/>
        <w:ind w:firstLine="506" w:firstLineChars="200"/>
        <w:jc w:val="both"/>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四、竞争性磋商文件说明</w:t>
      </w:r>
      <w:bookmarkEnd w:id="71"/>
      <w:bookmarkEnd w:id="72"/>
      <w:bookmarkEnd w:id="73"/>
      <w:bookmarkEnd w:id="74"/>
      <w:bookmarkEnd w:id="75"/>
      <w:bookmarkEnd w:id="76"/>
      <w:bookmarkEnd w:id="77"/>
      <w:bookmarkEnd w:id="78"/>
      <w:bookmarkEnd w:id="79"/>
      <w:bookmarkEnd w:id="80"/>
      <w:bookmarkEnd w:id="81"/>
      <w:bookmarkEnd w:id="82"/>
      <w:bookmarkEnd w:id="83"/>
    </w:p>
    <w:p>
      <w:pPr>
        <w:pStyle w:val="87"/>
        <w:spacing w:line="500" w:lineRule="atLeast"/>
        <w:ind w:firstLine="504"/>
        <w:jc w:val="both"/>
        <w:rPr>
          <w:rFonts w:ascii="仿宋" w:hAnsi="仿宋" w:eastAsia="仿宋" w:cs="仿宋"/>
          <w:color w:val="auto"/>
          <w:szCs w:val="24"/>
          <w:highlight w:val="none"/>
        </w:rPr>
      </w:pPr>
      <w:r>
        <w:rPr>
          <w:rFonts w:hint="eastAsia" w:ascii="仿宋" w:hAnsi="仿宋" w:eastAsia="仿宋" w:cs="仿宋"/>
          <w:color w:val="auto"/>
          <w:szCs w:val="24"/>
          <w:highlight w:val="none"/>
        </w:rPr>
        <w:t>（一）竞争性磋商文件的组成</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第一部分 竞争性磋商公告</w:t>
      </w:r>
      <w:r>
        <w:rPr>
          <w:rFonts w:hint="eastAsia" w:ascii="仿宋" w:hAnsi="仿宋" w:eastAsia="仿宋" w:cs="仿宋"/>
          <w:color w:val="auto"/>
          <w:szCs w:val="24"/>
          <w:highlight w:val="none"/>
        </w:rPr>
        <w:tab/>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第二部分 投标人须知</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第三部分 项目基本情况 </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第四部分 开标、评标、定标</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第五部分 合同格式</w:t>
      </w:r>
    </w:p>
    <w:p>
      <w:pPr>
        <w:pStyle w:val="26"/>
        <w:tabs>
          <w:tab w:val="right" w:leader="dot" w:pos="9607"/>
        </w:tabs>
        <w:spacing w:line="500" w:lineRule="atLeast"/>
        <w:jc w:val="both"/>
        <w:rPr>
          <w:rFonts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rPr>
        <w:t xml:space="preserve">    </w:t>
      </w:r>
      <w:r>
        <w:rPr>
          <w:color w:val="auto"/>
          <w:highlight w:val="none"/>
        </w:rPr>
        <w:fldChar w:fldCharType="begin"/>
      </w:r>
      <w:r>
        <w:rPr>
          <w:color w:val="auto"/>
          <w:highlight w:val="none"/>
        </w:rPr>
        <w:instrText xml:space="preserve"> HYPERLINK \l "_Toc27984" </w:instrText>
      </w:r>
      <w:r>
        <w:rPr>
          <w:color w:val="auto"/>
          <w:highlight w:val="none"/>
        </w:rPr>
        <w:fldChar w:fldCharType="separate"/>
      </w:r>
      <w:r>
        <w:rPr>
          <w:rFonts w:hint="eastAsia" w:ascii="仿宋" w:hAnsi="仿宋" w:eastAsia="仿宋" w:cs="仿宋"/>
          <w:color w:val="auto"/>
          <w:sz w:val="24"/>
          <w:szCs w:val="24"/>
          <w:highlight w:val="none"/>
        </w:rPr>
        <w:t>第六部分 报价函部分格式</w:t>
      </w:r>
      <w:r>
        <w:rPr>
          <w:rFonts w:hint="eastAsia" w:ascii="仿宋" w:hAnsi="仿宋" w:eastAsia="仿宋" w:cs="仿宋"/>
          <w:color w:val="auto"/>
          <w:sz w:val="24"/>
          <w:szCs w:val="24"/>
          <w:highlight w:val="none"/>
        </w:rPr>
        <w:fldChar w:fldCharType="end"/>
      </w:r>
    </w:p>
    <w:p>
      <w:pPr>
        <w:pStyle w:val="26"/>
        <w:tabs>
          <w:tab w:val="right" w:leader="dot" w:pos="9607"/>
        </w:tabs>
        <w:spacing w:line="500" w:lineRule="atLeast"/>
        <w:jc w:val="both"/>
        <w:rPr>
          <w:rFonts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 xml:space="preserve">    </w:t>
      </w:r>
      <w:r>
        <w:rPr>
          <w:color w:val="auto"/>
          <w:highlight w:val="none"/>
        </w:rPr>
        <w:fldChar w:fldCharType="begin"/>
      </w:r>
      <w:r>
        <w:rPr>
          <w:color w:val="auto"/>
          <w:highlight w:val="none"/>
        </w:rPr>
        <w:instrText xml:space="preserve"> HYPERLINK \l "_Toc27984" </w:instrText>
      </w:r>
      <w:r>
        <w:rPr>
          <w:color w:val="auto"/>
          <w:highlight w:val="none"/>
        </w:rPr>
        <w:fldChar w:fldCharType="separate"/>
      </w:r>
      <w:r>
        <w:rPr>
          <w:rFonts w:hint="eastAsia" w:ascii="仿宋" w:hAnsi="仿宋" w:eastAsia="仿宋" w:cs="仿宋"/>
          <w:color w:val="auto"/>
          <w:sz w:val="24"/>
          <w:szCs w:val="24"/>
          <w:highlight w:val="none"/>
        </w:rPr>
        <w:t>第七部分 附件</w:t>
      </w:r>
      <w:r>
        <w:rPr>
          <w:rFonts w:hint="eastAsia" w:ascii="仿宋" w:hAnsi="仿宋" w:eastAsia="仿宋" w:cs="仿宋"/>
          <w:color w:val="auto"/>
          <w:sz w:val="24"/>
          <w:szCs w:val="24"/>
          <w:highlight w:val="none"/>
        </w:rPr>
        <w:fldChar w:fldCharType="end"/>
      </w:r>
    </w:p>
    <w:p>
      <w:pPr>
        <w:pStyle w:val="29"/>
        <w:tabs>
          <w:tab w:val="right" w:leader="dot" w:pos="9607"/>
        </w:tabs>
        <w:spacing w:line="500" w:lineRule="atLeast"/>
        <w:ind w:left="0" w:leftChars="0"/>
        <w:jc w:val="both"/>
        <w:rPr>
          <w:rFonts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rPr>
        <w:t xml:space="preserve">    </w:t>
      </w:r>
      <w:r>
        <w:rPr>
          <w:color w:val="auto"/>
          <w:highlight w:val="none"/>
        </w:rPr>
        <w:fldChar w:fldCharType="begin"/>
      </w:r>
      <w:r>
        <w:rPr>
          <w:color w:val="auto"/>
          <w:highlight w:val="none"/>
        </w:rPr>
        <w:instrText xml:space="preserve"> HYPERLINK \l "_Toc5720" </w:instrText>
      </w:r>
      <w:r>
        <w:rPr>
          <w:color w:val="auto"/>
          <w:highlight w:val="none"/>
        </w:rPr>
        <w:fldChar w:fldCharType="separate"/>
      </w:r>
      <w:r>
        <w:rPr>
          <w:rFonts w:hint="eastAsia" w:ascii="仿宋" w:hAnsi="仿宋" w:eastAsia="仿宋" w:cs="仿宋"/>
          <w:bCs/>
          <w:color w:val="auto"/>
          <w:kern w:val="2"/>
          <w:sz w:val="24"/>
          <w:szCs w:val="24"/>
          <w:highlight w:val="none"/>
        </w:rPr>
        <w:t>第八部分 报价文件商务部分格式</w:t>
      </w:r>
      <w:r>
        <w:rPr>
          <w:rFonts w:hint="eastAsia" w:ascii="仿宋" w:hAnsi="仿宋" w:eastAsia="仿宋" w:cs="仿宋"/>
          <w:bCs/>
          <w:color w:val="auto"/>
          <w:kern w:val="2"/>
          <w:sz w:val="24"/>
          <w:szCs w:val="24"/>
          <w:highlight w:val="none"/>
        </w:rPr>
        <w:fldChar w:fldCharType="end"/>
      </w:r>
    </w:p>
    <w:p>
      <w:pPr>
        <w:pStyle w:val="29"/>
        <w:tabs>
          <w:tab w:val="right" w:leader="dot" w:pos="9607"/>
        </w:tabs>
        <w:spacing w:line="500" w:lineRule="atLeast"/>
        <w:ind w:left="0" w:leftChars="0" w:firstLine="480"/>
        <w:jc w:val="both"/>
        <w:rPr>
          <w:rFonts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 xml:space="preserve">第九部分 </w:t>
      </w:r>
      <w:r>
        <w:rPr>
          <w:color w:val="auto"/>
          <w:highlight w:val="none"/>
        </w:rPr>
        <w:fldChar w:fldCharType="begin"/>
      </w:r>
      <w:r>
        <w:rPr>
          <w:color w:val="auto"/>
          <w:highlight w:val="none"/>
        </w:rPr>
        <w:instrText xml:space="preserve"> HYPERLINK \l "_Toc24177" </w:instrText>
      </w:r>
      <w:r>
        <w:rPr>
          <w:color w:val="auto"/>
          <w:highlight w:val="none"/>
        </w:rPr>
        <w:fldChar w:fldCharType="separate"/>
      </w:r>
      <w:r>
        <w:rPr>
          <w:rFonts w:hint="eastAsia" w:ascii="仿宋" w:hAnsi="仿宋" w:eastAsia="仿宋" w:cs="仿宋"/>
          <w:bCs/>
          <w:color w:val="auto"/>
          <w:kern w:val="2"/>
          <w:sz w:val="24"/>
          <w:szCs w:val="24"/>
          <w:highlight w:val="none"/>
        </w:rPr>
        <w:t>报价文件技术部分格式</w:t>
      </w:r>
      <w:r>
        <w:rPr>
          <w:rFonts w:hint="eastAsia" w:ascii="仿宋" w:hAnsi="仿宋" w:eastAsia="仿宋" w:cs="仿宋"/>
          <w:bCs/>
          <w:color w:val="auto"/>
          <w:kern w:val="2"/>
          <w:sz w:val="24"/>
          <w:szCs w:val="24"/>
          <w:highlight w:val="none"/>
        </w:rPr>
        <w:fldChar w:fldCharType="end"/>
      </w:r>
    </w:p>
    <w:p>
      <w:pPr>
        <w:pStyle w:val="29"/>
        <w:tabs>
          <w:tab w:val="right" w:leader="dot" w:pos="9607"/>
        </w:tabs>
        <w:spacing w:line="500" w:lineRule="atLeast"/>
        <w:ind w:left="0" w:leftChars="0" w:firstLine="480"/>
        <w:jc w:val="both"/>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"_Toc2396" </w:instrText>
      </w:r>
      <w:r>
        <w:rPr>
          <w:color w:val="auto"/>
          <w:highlight w:val="none"/>
        </w:rPr>
        <w:fldChar w:fldCharType="separate"/>
      </w:r>
      <w:r>
        <w:rPr>
          <w:rFonts w:hint="eastAsia" w:ascii="仿宋" w:hAnsi="仿宋" w:eastAsia="仿宋" w:cs="仿宋"/>
          <w:bCs/>
          <w:color w:val="auto"/>
          <w:kern w:val="2"/>
          <w:sz w:val="24"/>
          <w:szCs w:val="24"/>
          <w:highlight w:val="none"/>
        </w:rPr>
        <w:t xml:space="preserve">第十部分 </w:t>
      </w:r>
      <w:r>
        <w:rPr>
          <w:rFonts w:hint="eastAsia" w:ascii="仿宋" w:hAnsi="仿宋" w:eastAsia="仿宋" w:cs="仿宋"/>
          <w:color w:val="auto"/>
          <w:spacing w:val="6"/>
          <w:sz w:val="24"/>
          <w:szCs w:val="24"/>
          <w:highlight w:val="none"/>
        </w:rPr>
        <w:t>评分标准</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z w:val="24"/>
          <w:szCs w:val="24"/>
          <w:highlight w:val="none"/>
        </w:rPr>
        <w:t xml:space="preserve">    </w:t>
      </w:r>
    </w:p>
    <w:p>
      <w:pPr>
        <w:pStyle w:val="47"/>
        <w:spacing w:line="500" w:lineRule="atLeast"/>
        <w:ind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（二）竞争性磋商文件的修改</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采购代理机构对竞争性磋商文件必须修改的内容，需在竞争性磋商文件要求提交报价文件截止时间3日前，以书面形式通知已购买竞争性磋商文件的所有投标人。补充文件将作为竞争性磋商文件的组成部分，对所有投标人均具有约束力。</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2．为使投标人有足够的时间按竞争性磋商文件的要求修改报价文件，采购代理机构可酌情推迟报价的截止时间和日期，并将此变更书面通知上述每一投标人。</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（三）竞争性磋商文件的澄清</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投标人对竞争性磋商文件如有疑问可要求澄清，应在 </w:t>
      </w:r>
      <w:r>
        <w:rPr>
          <w:rFonts w:hint="eastAsia" w:ascii="仿宋" w:hAnsi="仿宋" w:eastAsia="仿宋" w:cs="仿宋"/>
          <w:color w:val="auto"/>
          <w:szCs w:val="24"/>
          <w:highlight w:val="none"/>
        </w:rPr>
        <w:t>2018年</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18</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rPr>
        <w:t>上午12：00前（北京时间）前以书面形式向采购代理机构提出澄清要求，</w:t>
      </w:r>
      <w:r>
        <w:rPr>
          <w:color w:val="auto"/>
          <w:highlight w:val="none"/>
        </w:rPr>
        <w:fldChar w:fldCharType="begin"/>
      </w:r>
      <w:r>
        <w:rPr>
          <w:color w:val="auto"/>
          <w:highlight w:val="none"/>
        </w:rPr>
        <w:instrText xml:space="preserve"> HYPERLINK "mailto:须将要求澄清内容发送电子邮件至sdxinglian@163.com" </w:instrText>
      </w:r>
      <w:r>
        <w:rPr>
          <w:color w:val="auto"/>
          <w:highlight w:val="none"/>
        </w:rPr>
        <w:fldChar w:fldCharType="separate"/>
      </w:r>
      <w:r>
        <w:rPr>
          <w:rFonts w:hint="eastAsia" w:ascii="仿宋" w:hAnsi="仿宋" w:eastAsia="仿宋" w:cs="仿宋"/>
          <w:color w:val="auto"/>
          <w:szCs w:val="24"/>
          <w:highlight w:val="none"/>
        </w:rPr>
        <w:t>须将要求澄清内容发送电子邮件至ldzb002@163.com</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并电话通知竞争性磋商资格公告所列的联系人。采购代理机构将视情况采用适当方式予以澄清或以书面形式答复。在其认为必要时，将不标明查询来源的书面答复于报价截止时间5日前发给所有购买竞争性磋商文件的投标人。投标人在收到该澄清文件后应于当日内，以书面形式给予确认，逾期不确认视为认同。澄清或答复作为竞争性磋商文件的组成部分，具有约束作用。在规定时间以后提出的澄清要求将不予受理。</w:t>
      </w:r>
    </w:p>
    <w:p>
      <w:pPr>
        <w:pStyle w:val="73"/>
        <w:spacing w:beforeLines="50" w:line="500" w:lineRule="atLeast"/>
        <w:ind w:firstLine="506" w:firstLineChars="200"/>
        <w:jc w:val="both"/>
        <w:outlineLvl w:val="1"/>
        <w:rPr>
          <w:rFonts w:ascii="仿宋" w:hAnsi="仿宋" w:eastAsia="仿宋" w:cs="仿宋"/>
          <w:b/>
          <w:color w:val="auto"/>
          <w:sz w:val="24"/>
          <w:szCs w:val="24"/>
          <w:highlight w:val="none"/>
        </w:rPr>
      </w:pPr>
      <w:bookmarkStart w:id="84" w:name="_Toc18692"/>
      <w:bookmarkStart w:id="85" w:name="_Toc7697"/>
      <w:bookmarkStart w:id="86" w:name="_Toc9438"/>
      <w:bookmarkStart w:id="87" w:name="_Toc23580"/>
      <w:bookmarkStart w:id="88" w:name="_Toc6981"/>
      <w:bookmarkStart w:id="89" w:name="_Toc23156"/>
      <w:bookmarkStart w:id="90" w:name="_Toc17216"/>
      <w:bookmarkStart w:id="91" w:name="_Toc9349"/>
      <w:bookmarkStart w:id="92" w:name="_Toc23670"/>
      <w:bookmarkStart w:id="93" w:name="_Toc16021"/>
      <w:bookmarkStart w:id="94" w:name="_Toc565"/>
      <w:bookmarkStart w:id="95" w:name="_Toc183264287"/>
      <w:bookmarkStart w:id="96" w:name="_Toc15739"/>
      <w:r>
        <w:rPr>
          <w:rFonts w:hint="eastAsia" w:ascii="仿宋" w:hAnsi="仿宋" w:eastAsia="仿宋" w:cs="仿宋"/>
          <w:b/>
          <w:color w:val="auto"/>
          <w:sz w:val="24"/>
          <w:szCs w:val="24"/>
          <w:highlight w:val="none"/>
        </w:rPr>
        <w:t>五、报价文件的编写</w:t>
      </w:r>
      <w:bookmarkEnd w:id="84"/>
      <w:bookmarkEnd w:id="85"/>
      <w:bookmarkEnd w:id="86"/>
      <w:bookmarkEnd w:id="87"/>
      <w:bookmarkEnd w:id="88"/>
      <w:bookmarkEnd w:id="89"/>
      <w:bookmarkEnd w:id="90"/>
      <w:bookmarkEnd w:id="91"/>
      <w:bookmarkEnd w:id="92"/>
      <w:bookmarkEnd w:id="93"/>
      <w:bookmarkEnd w:id="94"/>
      <w:bookmarkEnd w:id="95"/>
      <w:bookmarkEnd w:id="96"/>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投标人应仔细阅读竞争性磋商文件的所有内容，按竞争性磋商文件的要求提供报价文件，并保证所提供的全部资料的真实性、准确性及完整性，以使其报价对竞争性磋商文件做出实质性响应。否则，其报价有可能被拒绝或被视为无效。</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（一）报价文件的组成</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投标人应按竞争性磋商文件的要求编写报价文件，提交证明其有资格进行报价和有能力履行合同的文件。</w:t>
      </w:r>
    </w:p>
    <w:p>
      <w:pPr>
        <w:spacing w:line="500" w:lineRule="atLeast"/>
        <w:ind w:firstLine="482" w:firstLineChars="200"/>
        <w:rPr>
          <w:rFonts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报价文件由报价函部分、资格证明部分、商务部分、技术部分四部分组成</w:t>
      </w:r>
      <w:r>
        <w:rPr>
          <w:rFonts w:hint="eastAsia" w:ascii="仿宋" w:hAnsi="仿宋" w:eastAsia="仿宋" w:cs="仿宋"/>
          <w:b/>
          <w:bCs/>
          <w:color w:val="auto"/>
          <w:sz w:val="24"/>
          <w:szCs w:val="24"/>
          <w:highlight w:val="none"/>
        </w:rPr>
        <w:t>。</w:t>
      </w:r>
    </w:p>
    <w:p>
      <w:pPr>
        <w:spacing w:line="500" w:lineRule="atLeas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1.报价函部分</w:t>
      </w:r>
    </w:p>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1.1法定代表人或授权代理人签署的投标函；</w:t>
      </w:r>
    </w:p>
    <w:p>
      <w:pPr>
        <w:pStyle w:val="47"/>
        <w:spacing w:line="500" w:lineRule="atLeast"/>
        <w:ind w:firstLine="528"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1.2法定代表人身份证明书（法人签字并加盖公章，否则视为无效），法定代表人授权委托书（法人签字并加盖公章，否则视为无效）   </w:t>
      </w:r>
    </w:p>
    <w:p>
      <w:pPr>
        <w:pStyle w:val="47"/>
        <w:spacing w:line="500" w:lineRule="atLeast"/>
        <w:ind w:firstLine="528"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1.3报价一览表</w:t>
      </w:r>
    </w:p>
    <w:p>
      <w:pPr>
        <w:tabs>
          <w:tab w:val="left" w:pos="836"/>
        </w:tabs>
        <w:spacing w:line="500" w:lineRule="atLeast"/>
        <w:ind w:firstLine="482" w:firstLineChars="200"/>
        <w:rPr>
          <w:rFonts w:ascii="仿宋" w:hAnsi="仿宋" w:eastAsia="仿宋" w:cs="仿宋"/>
          <w:color w:val="auto"/>
          <w:spacing w:val="6"/>
          <w:sz w:val="24"/>
          <w:szCs w:val="24"/>
          <w:highlight w:val="none"/>
        </w:rPr>
      </w:pPr>
      <w:r>
        <w:rPr>
          <w:rFonts w:hint="eastAsia" w:ascii="仿宋" w:hAnsi="仿宋" w:eastAsia="仿宋" w:cs="仿宋"/>
          <w:b/>
          <w:color w:val="auto"/>
          <w:sz w:val="24"/>
          <w:szCs w:val="24"/>
          <w:highlight w:val="none"/>
        </w:rPr>
        <w:t>2.资格证明文件</w:t>
      </w:r>
    </w:p>
    <w:p>
      <w:pPr>
        <w:pStyle w:val="87"/>
        <w:spacing w:line="360" w:lineRule="auto"/>
        <w:ind w:firstLine="504"/>
        <w:rPr>
          <w:rFonts w:ascii="仿宋" w:hAnsi="仿宋" w:eastAsia="仿宋" w:cs="仿宋"/>
          <w:color w:val="auto"/>
          <w:highlight w:val="none"/>
        </w:rPr>
      </w:pPr>
      <w:r>
        <w:rPr>
          <w:rFonts w:hint="eastAsia" w:ascii="仿宋" w:hAnsi="仿宋" w:eastAsia="仿宋" w:cs="仿宋"/>
          <w:color w:val="auto"/>
          <w:highlight w:val="none"/>
        </w:rPr>
        <w:t>(1)有关证明投标单位法律地位的原始文件副本</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1）企业营业执照副本或三证合一的营业执照副本；</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2）资质证书副本；</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3）基本账户开户许可证；</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4）项目经理贰级及以上注册建造师（建筑工程专业，注册单位名称与投标人名称一致），有效的安全生产考核合格证书（B类）,提供企业2018年5月、6月、7月社会保险缴纳证明）;</w:t>
      </w:r>
    </w:p>
    <w:p>
      <w:pPr>
        <w:pStyle w:val="87"/>
        <w:spacing w:line="360" w:lineRule="auto"/>
        <w:ind w:firstLine="506"/>
        <w:rPr>
          <w:rFonts w:ascii="仿宋" w:hAnsi="仿宋" w:eastAsia="仿宋" w:cs="仿宋"/>
          <w:b/>
          <w:color w:val="auto"/>
          <w:szCs w:val="22"/>
          <w:highlight w:val="none"/>
        </w:rPr>
      </w:pPr>
      <w:r>
        <w:rPr>
          <w:rFonts w:hint="eastAsia" w:ascii="仿宋" w:hAnsi="仿宋" w:eastAsia="仿宋" w:cs="仿宋"/>
          <w:b/>
          <w:color w:val="auto"/>
          <w:szCs w:val="22"/>
          <w:highlight w:val="none"/>
        </w:rPr>
        <w:t>5）安全生产许可证；</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6）法人参加提供法人代表身份证或授权委托书及受委托人身份证；</w:t>
      </w:r>
    </w:p>
    <w:p>
      <w:pPr>
        <w:pStyle w:val="87"/>
        <w:spacing w:line="360" w:lineRule="auto"/>
        <w:ind w:firstLine="506"/>
        <w:rPr>
          <w:rFonts w:ascii="仿宋" w:hAnsi="仿宋" w:eastAsia="仿宋" w:cs="仿宋"/>
          <w:b/>
          <w:bCs/>
          <w:color w:val="auto"/>
          <w:highlight w:val="none"/>
        </w:rPr>
      </w:pPr>
      <w:r>
        <w:rPr>
          <w:rFonts w:hint="eastAsia" w:ascii="仿宋" w:hAnsi="仿宋" w:eastAsia="仿宋" w:cs="仿宋"/>
          <w:b/>
          <w:color w:val="auto"/>
          <w:highlight w:val="none"/>
        </w:rPr>
        <w:t>7）</w:t>
      </w:r>
      <w:r>
        <w:rPr>
          <w:rFonts w:hint="eastAsia" w:ascii="仿宋" w:hAnsi="仿宋" w:eastAsia="仿宋" w:cs="仿宋"/>
          <w:b/>
          <w:bCs/>
          <w:color w:val="auto"/>
          <w:highlight w:val="none"/>
        </w:rPr>
        <w:t>投标保证金缴纳情况复印件加盖公章；</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8）近三年内，在经营活动中没有重大违法记录的声明；</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9）评分细则里涉及到的企业业绩及企业获奖；</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10）投标单位认为需要提交的其他证明资料。</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以上1）-8）需开标现场提供原件及复印件加盖公章一套。以上证件经审查缺少任何一项或经审查不合格作无效报价处理。</w:t>
      </w:r>
    </w:p>
    <w:p>
      <w:pPr>
        <w:pStyle w:val="47"/>
        <w:spacing w:line="500" w:lineRule="atLeast"/>
        <w:ind w:firstLine="0" w:firstLineChars="0"/>
        <w:rPr>
          <w:rFonts w:ascii="仿宋" w:hAnsi="仿宋" w:eastAsia="仿宋" w:cs="仿宋"/>
          <w:color w:val="auto"/>
          <w:szCs w:val="24"/>
          <w:highlight w:val="none"/>
        </w:rPr>
      </w:pPr>
      <w:r>
        <w:rPr>
          <w:rFonts w:hint="eastAsia" w:ascii="仿宋" w:hAnsi="仿宋" w:eastAsia="仿宋" w:cs="仿宋"/>
          <w:b/>
          <w:color w:val="auto"/>
          <w:szCs w:val="24"/>
          <w:highlight w:val="none"/>
        </w:rPr>
        <w:t xml:space="preserve">   3.商务部分</w:t>
      </w:r>
    </w:p>
    <w:p>
      <w:pPr>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3.1投标报价明细表；</w:t>
      </w:r>
    </w:p>
    <w:p>
      <w:pPr>
        <w:pStyle w:val="87"/>
        <w:spacing w:line="500" w:lineRule="atLeast"/>
        <w:ind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3.2商务偏差表；</w:t>
      </w:r>
    </w:p>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3.3近三年完成同类业绩一览表（后附业绩合同）；</w:t>
      </w:r>
    </w:p>
    <w:p>
      <w:pPr>
        <w:pStyle w:val="87"/>
        <w:spacing w:line="500" w:lineRule="atLeast"/>
        <w:ind w:firstLine="528"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3.4对竞争性磋商文件的认同程度；</w:t>
      </w:r>
    </w:p>
    <w:p>
      <w:pPr>
        <w:pStyle w:val="87"/>
        <w:spacing w:line="500" w:lineRule="atLeast"/>
        <w:ind w:firstLine="528"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3.5投标人认为需要提供的其他表格及资料。</w:t>
      </w:r>
    </w:p>
    <w:p>
      <w:pPr>
        <w:pStyle w:val="87"/>
        <w:spacing w:line="500" w:lineRule="atLeas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 xml:space="preserve">  4.技术部分（包括但不限于）</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(一)、施工组织设计；</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(1)施工方案及技术措施；</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(2)质量保证措施和创优计划；</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(3)施工总进度计划及保证措施（包括以横道图或标明关键线路的网络进度计划、保障进度计划需要的主要施工机械设备、劳动力需求计划及保证措施、材料设备进场计划及其他保证措施等）；</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(4)施工管理措施</w:t>
      </w:r>
      <w:r>
        <w:rPr>
          <w:rFonts w:hint="eastAsia" w:ascii="仿宋" w:hAnsi="仿宋" w:eastAsia="仿宋" w:cs="仿宋"/>
          <w:bCs/>
          <w:strike w:val="0"/>
          <w:color w:val="auto"/>
          <w:sz w:val="24"/>
          <w:szCs w:val="24"/>
          <w:highlight w:val="none"/>
        </w:rPr>
        <w:t>计划</w:t>
      </w:r>
      <w:r>
        <w:rPr>
          <w:rFonts w:hint="eastAsia" w:ascii="仿宋" w:hAnsi="仿宋" w:eastAsia="仿宋" w:cs="仿宋"/>
          <w:bCs/>
          <w:color w:val="auto"/>
          <w:sz w:val="24"/>
          <w:szCs w:val="24"/>
          <w:highlight w:val="none"/>
        </w:rPr>
        <w:t>；</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rPr>
        <w:t>安全</w:t>
      </w:r>
      <w:r>
        <w:rPr>
          <w:rFonts w:hint="eastAsia" w:ascii="仿宋" w:hAnsi="仿宋" w:eastAsia="仿宋" w:cs="仿宋"/>
          <w:bCs/>
          <w:color w:val="auto"/>
          <w:sz w:val="24"/>
          <w:szCs w:val="24"/>
          <w:highlight w:val="none"/>
        </w:rPr>
        <w:t>文明施工措施</w:t>
      </w:r>
      <w:r>
        <w:rPr>
          <w:rFonts w:hint="eastAsia" w:ascii="仿宋" w:hAnsi="仿宋" w:eastAsia="仿宋" w:cs="仿宋"/>
          <w:bCs/>
          <w:strike w:val="0"/>
          <w:color w:val="auto"/>
          <w:sz w:val="24"/>
          <w:szCs w:val="24"/>
          <w:highlight w:val="none"/>
        </w:rPr>
        <w:t>计划</w:t>
      </w:r>
      <w:r>
        <w:rPr>
          <w:rFonts w:hint="eastAsia" w:ascii="仿宋" w:hAnsi="仿宋" w:eastAsia="仿宋" w:cs="仿宋"/>
          <w:bCs/>
          <w:strike w:val="0"/>
          <w:color w:val="auto"/>
          <w:sz w:val="24"/>
          <w:szCs w:val="24"/>
          <w:highlight w:val="none"/>
          <w:lang w:eastAsia="zh-CN"/>
        </w:rPr>
        <w:t>及安全保证措施</w:t>
      </w:r>
      <w:r>
        <w:rPr>
          <w:rFonts w:hint="eastAsia" w:ascii="仿宋" w:hAnsi="仿宋" w:eastAsia="仿宋" w:cs="仿宋"/>
          <w:bCs/>
          <w:color w:val="auto"/>
          <w:sz w:val="24"/>
          <w:szCs w:val="24"/>
          <w:highlight w:val="none"/>
        </w:rPr>
        <w:t>；</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r>
        <w:rPr>
          <w:rFonts w:hint="eastAsia" w:ascii="仿宋" w:hAnsi="仿宋" w:eastAsia="仿宋" w:cs="仿宋"/>
          <w:bCs/>
          <w:strike w:val="0"/>
          <w:color w:val="auto"/>
          <w:sz w:val="24"/>
          <w:szCs w:val="24"/>
          <w:highlight w:val="none"/>
        </w:rPr>
        <w:t>季节</w:t>
      </w:r>
      <w:r>
        <w:rPr>
          <w:rFonts w:hint="eastAsia" w:ascii="仿宋" w:hAnsi="仿宋" w:eastAsia="仿宋" w:cs="仿宋"/>
          <w:bCs/>
          <w:color w:val="auto"/>
          <w:sz w:val="24"/>
          <w:szCs w:val="24"/>
          <w:highlight w:val="none"/>
        </w:rPr>
        <w:t>施工措施计划；</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(7)施工环保措施</w:t>
      </w:r>
      <w:r>
        <w:rPr>
          <w:rFonts w:hint="eastAsia" w:ascii="仿宋" w:hAnsi="仿宋" w:eastAsia="仿宋" w:cs="仿宋"/>
          <w:bCs/>
          <w:strike w:val="0"/>
          <w:color w:val="auto"/>
          <w:sz w:val="24"/>
          <w:szCs w:val="24"/>
          <w:highlight w:val="none"/>
        </w:rPr>
        <w:t>计划</w:t>
      </w:r>
      <w:r>
        <w:rPr>
          <w:rFonts w:hint="eastAsia" w:ascii="仿宋" w:hAnsi="仿宋" w:eastAsia="仿宋" w:cs="仿宋"/>
          <w:bCs/>
          <w:color w:val="auto"/>
          <w:sz w:val="24"/>
          <w:szCs w:val="24"/>
          <w:highlight w:val="none"/>
        </w:rPr>
        <w:t>；</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(8)减少噪音、降低环境污染、管线设施的保护加固措施等；</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(9)成品保护和工程保修工作的管理措施和承诺；</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(10)任何可能的紧急情况的处理措施、预案以及抵抗风险（包括工程施工过程中可能遇到的各种风险）的措施；</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（11）材料的质量保证措施；</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r>
        <w:rPr>
          <w:rFonts w:hint="eastAsia" w:ascii="仿宋" w:hAnsi="仿宋" w:eastAsia="仿宋" w:cs="仿宋"/>
          <w:bCs/>
          <w:color w:val="auto"/>
          <w:sz w:val="24"/>
          <w:szCs w:val="24"/>
          <w:highlight w:val="none"/>
          <w:lang w:eastAsia="zh-CN"/>
        </w:rPr>
        <w:t>施工机具配备及</w:t>
      </w:r>
      <w:r>
        <w:rPr>
          <w:rFonts w:hint="eastAsia" w:ascii="仿宋" w:hAnsi="仿宋" w:eastAsia="仿宋" w:cs="仿宋"/>
          <w:bCs/>
          <w:color w:val="auto"/>
          <w:sz w:val="24"/>
          <w:szCs w:val="24"/>
          <w:highlight w:val="none"/>
        </w:rPr>
        <w:t>设备的质量保证措施；</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（13）质量通病的防治措施；</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（14）投标人对自身承建本工程的施工的有利条件和优势说明，有关质量、工期、文明施工、服务等方面对业主的承诺、合理化建议及优惠条件；（投标人自行列报）</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（15）投标人的服务及承诺；</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（16）投标人认为有必要说明的其他内容。（投标人自行列报）</w:t>
      </w:r>
    </w:p>
    <w:p>
      <w:pPr>
        <w:adjustRightIn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②项目管理班子配备：</w:t>
      </w:r>
    </w:p>
    <w:p>
      <w:pPr>
        <w:adjustRightIn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（1）项目管理班子配备情况表、组织机构图；</w:t>
      </w:r>
    </w:p>
    <w:p>
      <w:pPr>
        <w:adjustRightIn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（2）项目经理简历表、近三年（2015年1月1日至今）负责的类似工程和规模相当的工程项目情况介绍，后附项目合同；</w:t>
      </w:r>
    </w:p>
    <w:p>
      <w:pPr>
        <w:adjustRightIn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（3）项目技术负责人简历表、近三年（2015年1月1日至今）负责的类似工程和规模相当的工程项目情况介绍，后附项目合同；</w:t>
      </w:r>
    </w:p>
    <w:p>
      <w:pPr>
        <w:adjustRightIn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（4）拟投入本工程的主要人员及承建类似工程情况介绍；</w:t>
      </w:r>
    </w:p>
    <w:p>
      <w:pPr>
        <w:adjustRightInd w:val="0"/>
        <w:spacing w:line="500" w:lineRule="atLeast"/>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（5）项目管理班子配备情况及其它辅助说明资料、施工力量部署。</w:t>
      </w:r>
    </w:p>
    <w:p>
      <w:pPr>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（6）技术偏离表</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（二）报价文件的编写方式</w:t>
      </w:r>
    </w:p>
    <w:p>
      <w:pPr>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1.报价文件按以上顺序装订成册(胶装)，并在首页编制“报价文件目录”。</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2.报价文件正本和副本</w:t>
      </w:r>
      <w:r>
        <w:rPr>
          <w:rFonts w:hint="eastAsia" w:ascii="仿宋" w:hAnsi="仿宋" w:eastAsia="仿宋" w:cs="仿宋"/>
          <w:bCs/>
          <w:color w:val="auto"/>
          <w:szCs w:val="24"/>
          <w:highlight w:val="none"/>
        </w:rPr>
        <w:t>均需采用A4纸（如有图纸除外），逐页标注页码，不得采用活页夹。</w:t>
      </w:r>
      <w:r>
        <w:rPr>
          <w:rFonts w:hint="eastAsia" w:ascii="仿宋" w:hAnsi="仿宋" w:eastAsia="仿宋" w:cs="仿宋"/>
          <w:color w:val="auto"/>
          <w:szCs w:val="24"/>
          <w:highlight w:val="none"/>
        </w:rPr>
        <w:t>否则，采购人对由于投标文件装订松散而造成的丢失或其它后果不承担任何责任。并提供电子文档(U盘或光盘</w:t>
      </w:r>
      <w:r>
        <w:rPr>
          <w:rFonts w:hint="eastAsia" w:ascii="仿宋" w:hAnsi="仿宋" w:eastAsia="仿宋" w:cs="仿宋"/>
          <w:b/>
          <w:bCs/>
          <w:color w:val="auto"/>
          <w:szCs w:val="24"/>
          <w:highlight w:val="none"/>
        </w:rPr>
        <w:t>)</w:t>
      </w:r>
      <w:r>
        <w:rPr>
          <w:rFonts w:hint="eastAsia" w:ascii="仿宋" w:hAnsi="仿宋" w:eastAsia="仿宋" w:cs="仿宋"/>
          <w:color w:val="auto"/>
          <w:szCs w:val="24"/>
          <w:highlight w:val="none"/>
        </w:rPr>
        <w:t>一份，以供备份。</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3.“报价一览表”用A4幅面，竖版。</w:t>
      </w:r>
    </w:p>
    <w:p>
      <w:pPr>
        <w:pStyle w:val="47"/>
        <w:spacing w:line="500" w:lineRule="atLeast"/>
        <w:ind w:firstLine="504"/>
        <w:rPr>
          <w:rFonts w:ascii="仿宋" w:hAnsi="仿宋" w:eastAsia="仿宋" w:cs="仿宋"/>
          <w:bCs/>
          <w:color w:val="auto"/>
          <w:szCs w:val="24"/>
          <w:highlight w:val="none"/>
        </w:rPr>
      </w:pPr>
      <w:r>
        <w:rPr>
          <w:rFonts w:hint="eastAsia" w:ascii="仿宋" w:hAnsi="仿宋" w:eastAsia="仿宋" w:cs="仿宋"/>
          <w:bCs/>
          <w:color w:val="auto"/>
          <w:szCs w:val="24"/>
          <w:highlight w:val="none"/>
        </w:rPr>
        <w:t xml:space="preserve">  4.投标人在磋商文件中提供的一切证件的原件、复印件或影印件必须保证其真实性。如投标人提交虚假资料，一经查出，投标文件无效。</w:t>
      </w:r>
    </w:p>
    <w:p>
      <w:pPr>
        <w:spacing w:line="500" w:lineRule="atLeast"/>
        <w:rPr>
          <w:rFonts w:ascii="仿宋" w:hAnsi="仿宋" w:eastAsia="仿宋" w:cs="仿宋"/>
          <w:color w:val="auto"/>
          <w:sz w:val="24"/>
          <w:szCs w:val="24"/>
          <w:highlight w:val="none"/>
        </w:rPr>
      </w:pPr>
      <w:r>
        <w:rPr>
          <w:rFonts w:hint="eastAsia" w:ascii="仿宋" w:hAnsi="仿宋" w:eastAsia="仿宋" w:cs="仿宋"/>
          <w:bCs/>
          <w:color w:val="auto"/>
          <w:spacing w:val="6"/>
          <w:sz w:val="24"/>
          <w:szCs w:val="24"/>
          <w:highlight w:val="none"/>
        </w:rPr>
        <w:t xml:space="preserve">      5.</w:t>
      </w:r>
      <w:r>
        <w:rPr>
          <w:rFonts w:hint="eastAsia" w:ascii="仿宋" w:hAnsi="仿宋" w:eastAsia="仿宋" w:cs="仿宋"/>
          <w:bCs/>
          <w:color w:val="auto"/>
          <w:sz w:val="24"/>
          <w:szCs w:val="24"/>
          <w:highlight w:val="none"/>
        </w:rPr>
        <w:t>投标人应认真审阅磋商文件中所有的投标人须</w:t>
      </w:r>
      <w:r>
        <w:rPr>
          <w:rFonts w:hint="eastAsia" w:ascii="仿宋" w:hAnsi="仿宋" w:eastAsia="仿宋" w:cs="仿宋"/>
          <w:color w:val="auto"/>
          <w:sz w:val="24"/>
          <w:szCs w:val="24"/>
          <w:highlight w:val="none"/>
        </w:rPr>
        <w:t>知、合同条款、技术要求、规定格式。如果投标人编制的投标文件，实质上不响应磋商文件的要求，其投标文件将被拒绝。</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（三）报价文件的签署</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投标人必须按竞争性磋商文件的规定签署报价文件（正本、副本）、报价一览表，并在报价文件封面、报价一览表上加盖投标人单位公章。</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（四）语言及计量单位</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1.投标人和采购代理机构就本项目交换的文件和来往信函，使用中文。</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2.除竞争性磋商文件另有规定外，报价文件中所使用的计量单位应使用中华人民共和国法定计量单位。</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（五）报价文件及电子文档的密封和标记</w:t>
      </w:r>
    </w:p>
    <w:p>
      <w:pPr>
        <w:pStyle w:val="47"/>
        <w:widowControl w:val="0"/>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1.投标人应准备</w:t>
      </w:r>
      <w:r>
        <w:rPr>
          <w:rFonts w:hint="eastAsia" w:ascii="仿宋" w:hAnsi="仿宋" w:eastAsia="仿宋" w:cs="仿宋"/>
          <w:color w:val="auto"/>
          <w:szCs w:val="24"/>
          <w:highlight w:val="none"/>
          <w:u w:val="single"/>
        </w:rPr>
        <w:t>六</w:t>
      </w:r>
      <w:r>
        <w:rPr>
          <w:rFonts w:hint="eastAsia" w:ascii="仿宋" w:hAnsi="仿宋" w:eastAsia="仿宋" w:cs="仿宋"/>
          <w:color w:val="auto"/>
          <w:szCs w:val="24"/>
          <w:highlight w:val="none"/>
        </w:rPr>
        <w:t>份报价文件，</w:t>
      </w:r>
      <w:r>
        <w:rPr>
          <w:rFonts w:hint="eastAsia" w:ascii="仿宋" w:hAnsi="仿宋" w:eastAsia="仿宋" w:cs="仿宋"/>
          <w:color w:val="auto"/>
          <w:szCs w:val="24"/>
          <w:highlight w:val="none"/>
          <w:u w:val="single"/>
        </w:rPr>
        <w:t>一</w:t>
      </w:r>
      <w:r>
        <w:rPr>
          <w:rFonts w:hint="eastAsia" w:ascii="仿宋" w:hAnsi="仿宋" w:eastAsia="仿宋" w:cs="仿宋"/>
          <w:color w:val="auto"/>
          <w:szCs w:val="24"/>
          <w:highlight w:val="none"/>
        </w:rPr>
        <w:t>份正本和</w:t>
      </w:r>
      <w:r>
        <w:rPr>
          <w:rFonts w:hint="eastAsia" w:ascii="仿宋" w:hAnsi="仿宋" w:eastAsia="仿宋" w:cs="仿宋"/>
          <w:color w:val="auto"/>
          <w:szCs w:val="24"/>
          <w:highlight w:val="none"/>
          <w:u w:val="single"/>
        </w:rPr>
        <w:t>五</w:t>
      </w:r>
      <w:r>
        <w:rPr>
          <w:rFonts w:hint="eastAsia" w:ascii="仿宋" w:hAnsi="仿宋" w:eastAsia="仿宋" w:cs="仿宋"/>
          <w:color w:val="auto"/>
          <w:szCs w:val="24"/>
          <w:highlight w:val="none"/>
        </w:rPr>
        <w:t>份副本。在每一份报价文件上要明确注明“正本”或“副本”字样，一旦正本和副本有差异，以正本为准。</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2.投标人应将报价文件正本、副本、报价一览表（三份）、电子文档（U盘或光盘）</w:t>
      </w:r>
      <w:r>
        <w:rPr>
          <w:rFonts w:hint="eastAsia" w:ascii="仿宋" w:hAnsi="仿宋" w:eastAsia="仿宋" w:cs="仿宋"/>
          <w:b/>
          <w:bCs/>
          <w:color w:val="auto"/>
          <w:szCs w:val="24"/>
          <w:highlight w:val="none"/>
        </w:rPr>
        <w:t>分别密封</w:t>
      </w:r>
      <w:r>
        <w:rPr>
          <w:rFonts w:hint="eastAsia" w:ascii="仿宋" w:hAnsi="仿宋" w:eastAsia="仿宋" w:cs="仿宋"/>
          <w:color w:val="auto"/>
          <w:szCs w:val="24"/>
          <w:highlight w:val="none"/>
        </w:rPr>
        <w:t>，</w:t>
      </w:r>
      <w:r>
        <w:rPr>
          <w:rFonts w:hint="eastAsia" w:ascii="仿宋" w:hAnsi="仿宋" w:eastAsia="仿宋" w:cs="仿宋"/>
          <w:b/>
          <w:bCs/>
          <w:color w:val="auto"/>
          <w:szCs w:val="24"/>
          <w:highlight w:val="none"/>
        </w:rPr>
        <w:t>在封口处加盖投标人单位公章及法人章</w:t>
      </w:r>
      <w:r>
        <w:rPr>
          <w:rFonts w:hint="eastAsia" w:ascii="仿宋" w:hAnsi="仿宋" w:eastAsia="仿宋" w:cs="仿宋"/>
          <w:color w:val="auto"/>
          <w:szCs w:val="24"/>
          <w:highlight w:val="none"/>
        </w:rPr>
        <w:t>，并在封面明显处注明：</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（1）项目编号、项目名称；</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（2）投标人名称（加盖公章）、地址、电话、传真；</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（3）包封内容（正本、副本、报价一览表、电子文档）；</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（4）注明“于</w:t>
      </w:r>
      <w:r>
        <w:rPr>
          <w:rFonts w:hint="eastAsia" w:ascii="仿宋" w:hAnsi="仿宋" w:eastAsia="仿宋" w:cs="仿宋"/>
          <w:color w:val="auto"/>
          <w:szCs w:val="24"/>
          <w:highlight w:val="none"/>
          <w:u w:val="single"/>
        </w:rPr>
        <w:t xml:space="preserve">    （截止时间）    </w:t>
      </w:r>
      <w:r>
        <w:rPr>
          <w:rFonts w:hint="eastAsia" w:ascii="仿宋" w:hAnsi="仿宋" w:eastAsia="仿宋" w:cs="仿宋"/>
          <w:color w:val="auto"/>
          <w:szCs w:val="24"/>
          <w:highlight w:val="none"/>
        </w:rPr>
        <w:t>之前不准启封”字样。</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电子文档表面需贴标签：注明项目名称、投标人、日期。</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（六）报价文件的递交</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1.递交报价文件的截止时间和地点</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地    点：济南市高新区工业南路59号中铁财智中心6号楼15楼</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截止时间：</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u w:val="single"/>
        </w:rPr>
        <w:t>2018年</w:t>
      </w:r>
      <w:r>
        <w:rPr>
          <w:rFonts w:hint="eastAsia" w:ascii="仿宋" w:hAnsi="仿宋" w:eastAsia="仿宋" w:cs="仿宋"/>
          <w:color w:val="auto"/>
          <w:szCs w:val="24"/>
          <w:highlight w:val="none"/>
          <w:u w:val="single"/>
          <w:lang w:val="en-US" w:eastAsia="zh-CN"/>
        </w:rPr>
        <w:t>8</w:t>
      </w:r>
      <w:r>
        <w:rPr>
          <w:rFonts w:hint="eastAsia" w:ascii="仿宋" w:hAnsi="仿宋" w:eastAsia="仿宋" w:cs="仿宋"/>
          <w:color w:val="auto"/>
          <w:szCs w:val="24"/>
          <w:highlight w:val="none"/>
          <w:u w:val="single"/>
        </w:rPr>
        <w:t>月</w:t>
      </w:r>
      <w:r>
        <w:rPr>
          <w:rFonts w:hint="eastAsia" w:ascii="仿宋" w:hAnsi="仿宋" w:eastAsia="仿宋" w:cs="仿宋"/>
          <w:color w:val="auto"/>
          <w:szCs w:val="24"/>
          <w:highlight w:val="none"/>
          <w:u w:val="single"/>
          <w:lang w:val="en-US" w:eastAsia="zh-CN"/>
        </w:rPr>
        <w:t>24</w:t>
      </w:r>
      <w:r>
        <w:rPr>
          <w:rFonts w:hint="eastAsia" w:ascii="仿宋" w:hAnsi="仿宋" w:eastAsia="仿宋" w:cs="仿宋"/>
          <w:color w:val="auto"/>
          <w:szCs w:val="24"/>
          <w:highlight w:val="none"/>
          <w:u w:val="single"/>
        </w:rPr>
        <w:t>日</w:t>
      </w:r>
      <w:r>
        <w:rPr>
          <w:rFonts w:hint="eastAsia" w:ascii="仿宋" w:hAnsi="仿宋" w:eastAsia="仿宋" w:cs="仿宋"/>
          <w:color w:val="auto"/>
          <w:szCs w:val="24"/>
          <w:highlight w:val="none"/>
          <w:u w:val="single"/>
          <w:lang w:val="en-US" w:eastAsia="zh-CN"/>
        </w:rPr>
        <w:t>09</w:t>
      </w:r>
      <w:r>
        <w:rPr>
          <w:rFonts w:hint="eastAsia" w:ascii="仿宋" w:hAnsi="仿宋" w:eastAsia="仿宋" w:cs="仿宋"/>
          <w:color w:val="auto"/>
          <w:szCs w:val="24"/>
          <w:highlight w:val="none"/>
          <w:u w:val="single"/>
        </w:rPr>
        <w:t>时00 分 （北京时间）</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2.投标人代表必须在报价截止时间前将报价文件送达指定地点。如因竞争性磋商文件的修改推迟报价截止日期的，则按采购代理机构通知规定的时间递交。</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3.采购代理机构收到报价文件后，投标人在签到处进行签到。</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4.电报、电话、传真、电子邮件等形式的报价文件概不接受。</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5.对投标人提交的报价文件不予退还。</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（七）迟交的报价文件</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采购代理机构将拒绝接收在报价截止时间后送达的报价文件。</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（八）报价文件的修改、补充和撤回</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1.投标人在竞争性磋商文件要求提交报价文件的截止时间前，可以补充、修改或者撤回已提交的报价文件，并以书面形式通知采购代理机构。补充、修改的内容作为报价文件的组成部分。任何补充或修改的内容必须由投标人的法定代表人或其授权代表签字。经法定代表人或其授权代表正式签署的修改和补充文件组成报价文件的一部分，份数和密封要求同报价文件一致。</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2.报价文件的有效期为公开报价后</w:t>
      </w:r>
      <w:r>
        <w:rPr>
          <w:rFonts w:hint="eastAsia" w:ascii="仿宋" w:hAnsi="仿宋" w:eastAsia="仿宋" w:cs="仿宋"/>
          <w:color w:val="auto"/>
          <w:szCs w:val="24"/>
          <w:highlight w:val="none"/>
          <w:u w:val="single"/>
        </w:rPr>
        <w:t>90</w:t>
      </w:r>
      <w:r>
        <w:rPr>
          <w:rFonts w:hint="eastAsia" w:ascii="仿宋" w:hAnsi="仿宋" w:eastAsia="仿宋" w:cs="仿宋"/>
          <w:color w:val="auto"/>
          <w:szCs w:val="24"/>
          <w:highlight w:val="none"/>
        </w:rPr>
        <w:t>天（日历日），在有效期内不得撤回。</w:t>
      </w:r>
    </w:p>
    <w:p>
      <w:pPr>
        <w:pStyle w:val="87"/>
        <w:spacing w:line="500" w:lineRule="atLeast"/>
        <w:ind w:firstLine="506"/>
        <w:rPr>
          <w:rFonts w:ascii="仿宋" w:hAnsi="仿宋" w:eastAsia="仿宋" w:cs="仿宋"/>
          <w:color w:val="auto"/>
          <w:szCs w:val="24"/>
          <w:highlight w:val="none"/>
        </w:rPr>
      </w:pPr>
      <w:r>
        <w:rPr>
          <w:rFonts w:hint="eastAsia" w:ascii="仿宋" w:hAnsi="仿宋" w:eastAsia="仿宋" w:cs="仿宋"/>
          <w:b/>
          <w:bCs/>
          <w:color w:val="auto"/>
          <w:szCs w:val="24"/>
          <w:highlight w:val="none"/>
        </w:rPr>
        <w:t>（九）报价要求</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rPr>
        <w:t xml:space="preserve"> 1、本工程报价采用工程量清单报价。供应商应按招标文件中工程量清单的项目、顺序和数量进行报价，不得随意更改工程量清单的项目、顺序和数量，并在开标当日提供完整的报价。</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2、本次投标为非一次性报价，报价币种为人民币。投标人再次报价对总报价进行调整时，单价按相应比例浮动，单价浮动后所采用产品的品牌、质量等级不得变更。否则采购人有权取消中标人的成交资格，因此所造成的损失由中标人承担。</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3、投标报价为投标人的投标文件中提出的各项支付金额的总和。</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4、投标人应按工程量清单中列出的工程项目填报单价和合价。任何有选择的报价将不予接受，每一项目只允许有一个报价,供应商未填单价或合价的工程项目，在实施后，采购人将不予以支付，并视作该项费用已包括在其它有价款的细目的单价或合价内。</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5、技术规范要求的费用应包括在投标报价中。</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6、投标人所报的投标总报价为完成该工程项目所有工作内容的相应价格，工程量清单应按综合单价报价。综合单价应包括为完成工程量清单项目，每计量单位工程量所需的人工费、材料费、施工机械使用费、管理费、利润，并考虑风险费用。（中标的综合单价在在合同期内不得调整，法律法规政策除外）。</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7、投标人应先到工地踏勘以充分了解工地位置、情况、道路、储存空间、装卸限制及任何其它足以影响报价的情况，任何因忽视或误解工地情况而导致的索赔或工期延长申请将不获批准。</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8、除非采购人通过修改采购文件予以更正，否则，投标人必须按工程量清单中的项目和数量以及发包人暂定的材料价格进行报价。</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9、招标范围内计价项目均应反映在工程量清单项目列表中。</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10、投标单位自行核对工程量清单如有异议，请按投标须知前附表第18项规定提出，否则视为认同。</w:t>
      </w:r>
      <w:bookmarkStart w:id="97" w:name="OLE_LINK3"/>
      <w:bookmarkStart w:id="98" w:name="OLE_LINK4"/>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1</w:t>
      </w:r>
      <w:bookmarkEnd w:id="97"/>
      <w:bookmarkEnd w:id="98"/>
      <w:r>
        <w:rPr>
          <w:rFonts w:hint="eastAsia" w:ascii="仿宋" w:hAnsi="仿宋" w:eastAsia="仿宋" w:cs="仿宋"/>
          <w:color w:val="auto"/>
          <w:szCs w:val="24"/>
          <w:highlight w:val="none"/>
        </w:rPr>
        <w:t>1、本工程施工不允许分包。</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12、投标人所使用的主要材料均注明该材料的产地、规格、品牌、等级、单价。如果发现工程中所用材料以次充好或不是规定的规格、品牌和技术指标的材料，特别是在隐蔽工程中一经发现一切后果自负，并且包赔采购人一切损失。</w:t>
      </w:r>
    </w:p>
    <w:p>
      <w:pPr>
        <w:pStyle w:val="47"/>
        <w:spacing w:line="500" w:lineRule="atLeast"/>
        <w:ind w:firstLine="756" w:firstLineChars="300"/>
        <w:rPr>
          <w:rFonts w:ascii="仿宋" w:hAnsi="仿宋" w:eastAsia="仿宋" w:cs="仿宋"/>
          <w:color w:val="auto"/>
          <w:szCs w:val="24"/>
          <w:highlight w:val="none"/>
        </w:rPr>
      </w:pPr>
      <w:r>
        <w:rPr>
          <w:rFonts w:hint="eastAsia" w:ascii="仿宋" w:hAnsi="仿宋" w:eastAsia="仿宋" w:cs="仿宋"/>
          <w:color w:val="auto"/>
          <w:szCs w:val="24"/>
          <w:highlight w:val="none"/>
        </w:rPr>
        <w:t>13、所有施工使用的材料须达到国家环保及采购人要求。采购人对中标人所使用的各种设备、材料的厂家、品牌、价格具有监督、审核、否决权。</w:t>
      </w:r>
    </w:p>
    <w:p>
      <w:pPr>
        <w:pStyle w:val="87"/>
        <w:spacing w:line="500" w:lineRule="atLeast"/>
        <w:ind w:firstLine="506"/>
        <w:rPr>
          <w:rFonts w:ascii="仿宋" w:hAnsi="仿宋" w:eastAsia="仿宋" w:cs="仿宋"/>
          <w:b/>
          <w:color w:val="auto"/>
          <w:szCs w:val="24"/>
          <w:highlight w:val="none"/>
        </w:rPr>
      </w:pPr>
      <w:r>
        <w:rPr>
          <w:rFonts w:hint="eastAsia" w:ascii="仿宋" w:hAnsi="仿宋" w:eastAsia="仿宋" w:cs="仿宋"/>
          <w:b/>
          <w:color w:val="auto"/>
          <w:szCs w:val="24"/>
          <w:highlight w:val="none"/>
        </w:rPr>
        <w:t>（十）报价错误的修正</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投标人应对填报的工程量清单的计价准确性负责，并应承担由于错误填报所产生的后果，因此提醒投标人应认真核对所填报的各细目子项单价，分部分项工程合价以及总报价，避免计算错误,开标后投标人对报价清单作任何修改均无效。</w:t>
      </w:r>
    </w:p>
    <w:p>
      <w:pPr>
        <w:pStyle w:val="87"/>
        <w:spacing w:line="500" w:lineRule="atLeast"/>
        <w:ind w:firstLine="506"/>
        <w:rPr>
          <w:rFonts w:ascii="仿宋" w:hAnsi="仿宋" w:eastAsia="仿宋" w:cs="仿宋"/>
          <w:color w:val="auto"/>
          <w:szCs w:val="24"/>
          <w:highlight w:val="none"/>
        </w:rPr>
      </w:pPr>
      <w:r>
        <w:rPr>
          <w:rFonts w:hint="eastAsia" w:ascii="仿宋" w:hAnsi="仿宋" w:eastAsia="仿宋" w:cs="仿宋"/>
          <w:b/>
          <w:bCs/>
          <w:color w:val="auto"/>
          <w:szCs w:val="24"/>
          <w:highlight w:val="none"/>
        </w:rPr>
        <w:t>2、投标人应按照采购文件的工程量清单原格式逐项填报，不允许擅自修改采购文件工程量清单内容或格式,例如修改细目子项名称、变更子项序号、子项代码或增减工程量的数量,如果发生上述情况经磋商小组评审后按无效报价处理。</w:t>
      </w:r>
    </w:p>
    <w:p>
      <w:pPr>
        <w:pStyle w:val="87"/>
        <w:spacing w:line="500" w:lineRule="atLeast"/>
        <w:ind w:firstLine="506"/>
        <w:rPr>
          <w:rFonts w:ascii="仿宋" w:hAnsi="仿宋" w:eastAsia="仿宋" w:cs="仿宋"/>
          <w:b/>
          <w:bCs/>
          <w:color w:val="auto"/>
          <w:szCs w:val="24"/>
          <w:highlight w:val="none"/>
        </w:rPr>
      </w:pPr>
      <w:r>
        <w:rPr>
          <w:rFonts w:hint="eastAsia" w:ascii="仿宋" w:hAnsi="仿宋" w:eastAsia="仿宋" w:cs="仿宋"/>
          <w:b/>
          <w:bCs/>
          <w:color w:val="auto"/>
          <w:szCs w:val="24"/>
          <w:highlight w:val="none"/>
        </w:rPr>
        <w:t>3、投标人在开标以前对于原报价修改，必须提供新的详细的完整的计价清单，修改函须符合前述采购文件要求，否则修改无效。</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4、如果采购文件要求供应商的计价清单采用书面文字和电子版两种形式，则投标前投标人应自行核对以保证两种报价方式表述的内容一致。电子版的计价清单建议采用不可擦写的光盘。开标后如发现两种方式报价不一致时磋商小组将以书面文字方式表达的为准，每发现一处磋商小组相应扣分。</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5、磋商小组应首先对于投标文件中工程量计价清单进行算术性校核，如发现错误，采用以下处理办法：</w:t>
      </w:r>
    </w:p>
    <w:p>
      <w:pPr>
        <w:pStyle w:val="87"/>
        <w:spacing w:line="500" w:lineRule="atLeast"/>
        <w:ind w:firstLine="506"/>
        <w:rPr>
          <w:rFonts w:ascii="仿宋" w:hAnsi="仿宋" w:eastAsia="仿宋" w:cs="仿宋"/>
          <w:b/>
          <w:bCs/>
          <w:color w:val="auto"/>
          <w:szCs w:val="24"/>
          <w:highlight w:val="none"/>
        </w:rPr>
      </w:pPr>
      <w:r>
        <w:rPr>
          <w:rFonts w:hint="eastAsia" w:ascii="仿宋" w:hAnsi="仿宋" w:eastAsia="仿宋" w:cs="仿宋"/>
          <w:b/>
          <w:bCs/>
          <w:color w:val="auto"/>
          <w:szCs w:val="24"/>
          <w:highlight w:val="none"/>
        </w:rPr>
        <w:t>5.1 磋商小组评审供应商投标“工程报价”以投标人唱标单所报总价为准，若“唱标单所报总价”与“投标人组成投标报价汇总表”不符，以唱标单为准，按唱标单所报总价与投标人组成投标报价汇总表的分表之差的比例调整各“分项单价”以及其下的各项细目综合单价。（磋商小组认为恶意造成“投标人组成投标报价汇总表”与“唱标单所报总价”不一致的，报价按0分处理）。</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5.2 在签定合同前和执行合同中，当发现中标人“投标报价书”中唱标单总价与组成投标报价汇总表的分表不相符的，以唱标单为准，按“唱标单所报总价”与“投标人组成投标报价汇总表的分表”之差的比例相应调整每一项工程细目的综合单价。</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5.3 如果唱标单用数字表示的数额与用文字表示的数额不一致时，以文字数额为准。当单价与数量的乘积与合价不一致时，以单价为准，除非磋商小组认为单价有明显的小数点错误，此时应以标出的合价为准，并修改单价。如果单项工程中合价之和与合计价不一致，则应以合价为准修改合计价；如果各单项合计价之和与总价不一致，则应以单项合计价为准修改总价。</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5.4 如果某细目子项未填单价或合价，则视为供应商已把该子项费用分摊到其他细目中。</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6、按上述修改错误的方法，调整投标文件中的报价。经投标人确认同意后，调整后的报价对投标人起约束作用。如果投标人不接受修正后的报价则其投标文件将有可能被拒绝。</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磋商小组对于出现上述投标人填报错误的计价清单，在评审时将予以适当扣分。一般扣分可以根据以下原则确定：</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（1）报价清单中计价错误的数量及性质</w:t>
      </w:r>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（2）报价错误对合同总价格影响的程度</w:t>
      </w:r>
    </w:p>
    <w:p>
      <w:pPr>
        <w:pStyle w:val="73"/>
        <w:spacing w:beforeLines="50" w:line="500" w:lineRule="atLeast"/>
        <w:ind w:firstLine="506" w:firstLineChars="200"/>
        <w:jc w:val="both"/>
        <w:outlineLvl w:val="1"/>
        <w:rPr>
          <w:rFonts w:ascii="仿宋" w:hAnsi="仿宋" w:eastAsia="仿宋" w:cs="仿宋"/>
          <w:b/>
          <w:color w:val="auto"/>
          <w:sz w:val="24"/>
          <w:szCs w:val="24"/>
          <w:highlight w:val="none"/>
        </w:rPr>
      </w:pPr>
      <w:bookmarkStart w:id="99" w:name="_Toc12093"/>
      <w:bookmarkStart w:id="100" w:name="_Toc4661"/>
      <w:bookmarkStart w:id="101" w:name="_Toc19558"/>
      <w:bookmarkStart w:id="102" w:name="_Toc183264288"/>
      <w:bookmarkStart w:id="103" w:name="_Toc15083"/>
      <w:bookmarkStart w:id="104" w:name="_Toc2262"/>
      <w:bookmarkStart w:id="105" w:name="_Toc8668"/>
      <w:bookmarkStart w:id="106" w:name="_Toc31104"/>
      <w:bookmarkStart w:id="107" w:name="_Toc20243"/>
      <w:bookmarkStart w:id="108" w:name="_Toc30745"/>
      <w:bookmarkStart w:id="109" w:name="_Toc13892"/>
      <w:bookmarkStart w:id="110" w:name="_Toc23361"/>
      <w:bookmarkStart w:id="111" w:name="_Toc19085"/>
      <w:r>
        <w:rPr>
          <w:rFonts w:hint="eastAsia" w:ascii="仿宋" w:hAnsi="仿宋" w:eastAsia="仿宋" w:cs="仿宋"/>
          <w:b/>
          <w:color w:val="auto"/>
          <w:sz w:val="24"/>
          <w:szCs w:val="24"/>
          <w:highlight w:val="none"/>
        </w:rPr>
        <w:t>六、合格的</w:t>
      </w:r>
      <w:bookmarkEnd w:id="99"/>
      <w:bookmarkEnd w:id="100"/>
      <w:bookmarkEnd w:id="101"/>
      <w:bookmarkEnd w:id="102"/>
      <w:bookmarkEnd w:id="103"/>
      <w:bookmarkEnd w:id="104"/>
      <w:r>
        <w:rPr>
          <w:rFonts w:hint="eastAsia" w:ascii="仿宋" w:hAnsi="仿宋" w:eastAsia="仿宋" w:cs="仿宋"/>
          <w:b/>
          <w:color w:val="auto"/>
          <w:sz w:val="24"/>
          <w:szCs w:val="24"/>
          <w:highlight w:val="none"/>
        </w:rPr>
        <w:t>投标人</w:t>
      </w:r>
      <w:bookmarkEnd w:id="105"/>
      <w:bookmarkEnd w:id="106"/>
      <w:bookmarkEnd w:id="107"/>
      <w:bookmarkEnd w:id="108"/>
      <w:bookmarkEnd w:id="109"/>
      <w:bookmarkEnd w:id="110"/>
      <w:bookmarkEnd w:id="111"/>
    </w:p>
    <w:p>
      <w:pPr>
        <w:spacing w:line="500" w:lineRule="atLeast"/>
        <w:jc w:val="both"/>
        <w:rPr>
          <w:rFonts w:ascii="仿宋" w:hAnsi="仿宋" w:eastAsia="仿宋" w:cs="仿宋"/>
          <w:color w:val="auto"/>
          <w:sz w:val="24"/>
          <w:szCs w:val="24"/>
          <w:highlight w:val="none"/>
        </w:rPr>
      </w:pPr>
      <w:bookmarkStart w:id="112" w:name="_Toc15681"/>
      <w:bookmarkStart w:id="113" w:name="_Toc10689"/>
      <w:bookmarkStart w:id="114" w:name="_Toc22132"/>
      <w:bookmarkStart w:id="115" w:name="_Toc22337"/>
      <w:bookmarkStart w:id="116" w:name="_Toc20204"/>
      <w:bookmarkStart w:id="117" w:name="_Toc24779"/>
      <w:bookmarkStart w:id="118" w:name="_Toc1978"/>
      <w:bookmarkStart w:id="119" w:name="_Toc9504"/>
      <w:bookmarkStart w:id="120" w:name="_Toc16987"/>
      <w:bookmarkStart w:id="121" w:name="_Toc2026"/>
      <w:bookmarkStart w:id="122" w:name="_Toc21433"/>
      <w:bookmarkStart w:id="123" w:name="_Toc183264289"/>
      <w:bookmarkStart w:id="124" w:name="_Toc24825"/>
      <w:r>
        <w:rPr>
          <w:rFonts w:hint="eastAsia" w:ascii="仿宋" w:hAnsi="仿宋" w:eastAsia="仿宋" w:cs="仿宋"/>
          <w:color w:val="auto"/>
          <w:sz w:val="24"/>
          <w:szCs w:val="24"/>
          <w:highlight w:val="none"/>
        </w:rPr>
        <w:t xml:space="preserve">     详细要求见前附表第7项投标人资格要求</w:t>
      </w:r>
    </w:p>
    <w:p>
      <w:pPr>
        <w:pStyle w:val="73"/>
        <w:spacing w:beforeLines="50" w:line="500" w:lineRule="atLeast"/>
        <w:ind w:firstLine="506" w:firstLineChars="200"/>
        <w:jc w:val="both"/>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七、投标有效期</w:t>
      </w:r>
      <w:bookmarkEnd w:id="112"/>
      <w:bookmarkEnd w:id="113"/>
      <w:bookmarkEnd w:id="114"/>
      <w:bookmarkEnd w:id="115"/>
      <w:bookmarkEnd w:id="116"/>
      <w:bookmarkEnd w:id="117"/>
      <w:bookmarkEnd w:id="118"/>
      <w:bookmarkEnd w:id="119"/>
      <w:bookmarkEnd w:id="120"/>
      <w:bookmarkEnd w:id="121"/>
      <w:bookmarkEnd w:id="122"/>
      <w:bookmarkEnd w:id="123"/>
      <w:bookmarkEnd w:id="124"/>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1、自递交投标文件截止之日起90日历天</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特殊情况下，在磋商有效期满之前，采购代理机构可以以书面形式要求投标人同意延长磋商有效期。投标人可以书面形式拒绝或接受上述要求。拒绝延长磋商有效期的投标人有权收回投标保证金；同意延长磋商有效期的投标人应当相应延长其投标保证金的有效期，但不得修改报价文件的实质性内容。</w:t>
      </w:r>
    </w:p>
    <w:p>
      <w:pPr>
        <w:spacing w:line="500" w:lineRule="atLeast"/>
        <w:ind w:firstLine="472" w:firstLineChars="196"/>
        <w:outlineLvl w:val="1"/>
        <w:rPr>
          <w:rFonts w:ascii="仿宋" w:hAnsi="仿宋" w:eastAsia="仿宋" w:cs="仿宋"/>
          <w:b/>
          <w:color w:val="auto"/>
          <w:sz w:val="24"/>
          <w:szCs w:val="24"/>
          <w:highlight w:val="none"/>
        </w:rPr>
      </w:pPr>
      <w:bookmarkStart w:id="125" w:name="_Toc20223"/>
      <w:bookmarkStart w:id="126" w:name="_Toc18476"/>
      <w:bookmarkStart w:id="127" w:name="_Toc12634"/>
      <w:bookmarkStart w:id="128" w:name="_Toc6148"/>
      <w:bookmarkStart w:id="129" w:name="_Toc20297"/>
      <w:bookmarkStart w:id="130" w:name="_Toc27708"/>
      <w:bookmarkStart w:id="131" w:name="_Toc12711"/>
      <w:bookmarkStart w:id="132" w:name="_Toc27250"/>
      <w:bookmarkStart w:id="133" w:name="_Toc18834"/>
      <w:bookmarkStart w:id="134" w:name="_Toc11065"/>
      <w:bookmarkStart w:id="135" w:name="_Toc183264290"/>
      <w:r>
        <w:rPr>
          <w:rFonts w:hint="eastAsia" w:ascii="仿宋" w:hAnsi="仿宋" w:eastAsia="仿宋" w:cs="仿宋"/>
          <w:b/>
          <w:color w:val="auto"/>
          <w:sz w:val="24"/>
          <w:szCs w:val="24"/>
          <w:highlight w:val="none"/>
        </w:rPr>
        <w:t>八、磋商费用</w:t>
      </w:r>
      <w:bookmarkEnd w:id="125"/>
      <w:bookmarkEnd w:id="126"/>
      <w:bookmarkEnd w:id="127"/>
      <w:bookmarkEnd w:id="128"/>
      <w:bookmarkEnd w:id="129"/>
      <w:bookmarkEnd w:id="130"/>
      <w:bookmarkEnd w:id="131"/>
      <w:bookmarkEnd w:id="132"/>
      <w:bookmarkEnd w:id="133"/>
      <w:bookmarkEnd w:id="134"/>
    </w:p>
    <w:bookmarkEnd w:id="135"/>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1.无论磋商结果如何，投标人自行承担自己所有与参加磋商活动有关的全部费用。</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2.成交服务费： 签订合同前，由中标人向代理机构交纳成交服务</w:t>
      </w:r>
      <w:r>
        <w:rPr>
          <w:rFonts w:hint="eastAsia" w:ascii="仿宋" w:hAnsi="仿宋" w:eastAsia="仿宋" w:cs="仿宋"/>
          <w:color w:val="auto"/>
          <w:szCs w:val="24"/>
          <w:highlight w:val="none"/>
        </w:rPr>
        <w:t>费</w:t>
      </w:r>
      <w:r>
        <w:rPr>
          <w:rFonts w:hint="eastAsia" w:ascii="仿宋" w:hAnsi="仿宋" w:eastAsia="仿宋" w:cs="仿宋"/>
          <w:b w:val="0"/>
          <w:bCs w:val="0"/>
          <w:color w:val="auto"/>
          <w:szCs w:val="24"/>
          <w:highlight w:val="none"/>
          <w:u w:val="none"/>
          <w:lang w:val="en-US" w:eastAsia="zh-CN"/>
        </w:rPr>
        <w:t>5000</w:t>
      </w:r>
      <w:r>
        <w:rPr>
          <w:rFonts w:hint="eastAsia" w:ascii="仿宋" w:hAnsi="仿宋" w:eastAsia="仿宋" w:cs="仿宋"/>
          <w:b w:val="0"/>
          <w:bCs w:val="0"/>
          <w:color w:val="auto"/>
          <w:szCs w:val="24"/>
          <w:highlight w:val="none"/>
          <w:u w:val="none"/>
        </w:rPr>
        <w:t xml:space="preserve">元 </w:t>
      </w:r>
      <w:r>
        <w:rPr>
          <w:rFonts w:hint="eastAsia" w:ascii="仿宋" w:hAnsi="仿宋" w:eastAsia="仿宋" w:cs="仿宋"/>
          <w:color w:val="auto"/>
          <w:szCs w:val="24"/>
          <w:highlight w:val="none"/>
        </w:rPr>
        <w:t>。</w:t>
      </w:r>
    </w:p>
    <w:p>
      <w:pPr>
        <w:pStyle w:val="47"/>
        <w:spacing w:line="500" w:lineRule="atLeast"/>
        <w:ind w:firstLine="504"/>
        <w:jc w:val="both"/>
        <w:rPr>
          <w:rFonts w:ascii="仿宋" w:hAnsi="仿宋" w:eastAsia="仿宋" w:cs="仿宋"/>
          <w:b/>
          <w:bCs/>
          <w:color w:val="auto"/>
          <w:szCs w:val="24"/>
          <w:highlight w:val="none"/>
        </w:rPr>
      </w:pPr>
      <w:bookmarkStart w:id="136" w:name="_Toc23457"/>
      <w:r>
        <w:rPr>
          <w:rFonts w:hint="eastAsia" w:ascii="仿宋" w:hAnsi="仿宋" w:eastAsia="仿宋" w:cs="仿宋"/>
          <w:color w:val="auto"/>
          <w:szCs w:val="24"/>
          <w:highlight w:val="none"/>
        </w:rPr>
        <w:t>3.律师见证费：中标人在签订合同前按中标金额的1‰向律师事务所交纳律师见证费，不足500元的按500元收取。</w:t>
      </w:r>
    </w:p>
    <w:p>
      <w:pPr>
        <w:pStyle w:val="47"/>
        <w:numPr>
          <w:ilvl w:val="0"/>
          <w:numId w:val="3"/>
        </w:numPr>
        <w:spacing w:line="500" w:lineRule="atLeast"/>
        <w:ind w:firstLine="506"/>
        <w:outlineLvl w:val="1"/>
        <w:rPr>
          <w:rFonts w:ascii="仿宋" w:hAnsi="仿宋" w:eastAsia="仿宋" w:cs="仿宋"/>
          <w:b/>
          <w:bCs/>
          <w:color w:val="auto"/>
          <w:szCs w:val="24"/>
          <w:highlight w:val="none"/>
        </w:rPr>
      </w:pPr>
      <w:r>
        <w:rPr>
          <w:rFonts w:hint="eastAsia" w:ascii="仿宋" w:hAnsi="仿宋" w:eastAsia="仿宋" w:cs="仿宋"/>
          <w:b/>
          <w:bCs/>
          <w:color w:val="auto"/>
          <w:szCs w:val="24"/>
          <w:highlight w:val="none"/>
        </w:rPr>
        <w:t>投标保证金</w:t>
      </w:r>
      <w:bookmarkEnd w:id="136"/>
    </w:p>
    <w:p>
      <w:pPr>
        <w:pStyle w:val="47"/>
        <w:spacing w:line="500" w:lineRule="atLeast"/>
        <w:ind w:firstLine="0" w:firstLineChars="0"/>
        <w:rPr>
          <w:rFonts w:ascii="仿宋" w:hAnsi="仿宋" w:eastAsia="仿宋" w:cs="仿宋"/>
          <w:b/>
          <w:bCs/>
          <w:color w:val="auto"/>
          <w:szCs w:val="24"/>
          <w:highlight w:val="none"/>
        </w:rPr>
      </w:pPr>
      <w:r>
        <w:rPr>
          <w:rFonts w:hint="eastAsia" w:ascii="仿宋" w:hAnsi="仿宋" w:eastAsia="仿宋" w:cs="仿宋"/>
          <w:color w:val="auto"/>
          <w:szCs w:val="24"/>
          <w:highlight w:val="none"/>
        </w:rPr>
        <w:t xml:space="preserve">      详细要求见前附表</w:t>
      </w:r>
    </w:p>
    <w:p>
      <w:pPr>
        <w:pStyle w:val="73"/>
        <w:spacing w:beforeLines="50" w:line="500" w:lineRule="atLeast"/>
        <w:ind w:firstLine="506" w:firstLineChars="200"/>
        <w:jc w:val="both"/>
        <w:outlineLvl w:val="1"/>
        <w:rPr>
          <w:rFonts w:ascii="仿宋" w:hAnsi="仿宋" w:eastAsia="仿宋" w:cs="仿宋"/>
          <w:b/>
          <w:color w:val="auto"/>
          <w:sz w:val="24"/>
          <w:szCs w:val="24"/>
          <w:highlight w:val="none"/>
        </w:rPr>
      </w:pPr>
      <w:bookmarkStart w:id="137" w:name="_Toc183264292"/>
      <w:bookmarkStart w:id="138" w:name="_Toc6197"/>
      <w:bookmarkStart w:id="139" w:name="_Toc17369"/>
      <w:bookmarkStart w:id="140" w:name="_Toc4325"/>
      <w:bookmarkStart w:id="141" w:name="_Toc15876"/>
      <w:bookmarkStart w:id="142" w:name="_Toc8414"/>
      <w:bookmarkStart w:id="143" w:name="_Toc26475"/>
      <w:bookmarkStart w:id="144" w:name="_Toc1306"/>
      <w:bookmarkStart w:id="145" w:name="_Toc4983"/>
      <w:bookmarkStart w:id="146" w:name="_Toc28089"/>
      <w:bookmarkStart w:id="147" w:name="_Toc22771"/>
      <w:bookmarkStart w:id="148" w:name="_Toc8951"/>
      <w:bookmarkStart w:id="149" w:name="_Toc15632"/>
      <w:r>
        <w:rPr>
          <w:rFonts w:hint="eastAsia" w:ascii="仿宋" w:hAnsi="仿宋" w:eastAsia="仿宋" w:cs="仿宋"/>
          <w:b/>
          <w:color w:val="auto"/>
          <w:sz w:val="24"/>
          <w:szCs w:val="24"/>
          <w:highlight w:val="none"/>
        </w:rPr>
        <w:t>十、无效</w:t>
      </w:r>
      <w:bookmarkEnd w:id="137"/>
      <w:r>
        <w:rPr>
          <w:rFonts w:hint="eastAsia" w:ascii="仿宋" w:hAnsi="仿宋" w:eastAsia="仿宋" w:cs="仿宋"/>
          <w:b/>
          <w:color w:val="auto"/>
          <w:sz w:val="24"/>
          <w:szCs w:val="24"/>
          <w:highlight w:val="none"/>
        </w:rPr>
        <w:t>报价</w:t>
      </w:r>
      <w:bookmarkEnd w:id="138"/>
      <w:bookmarkEnd w:id="139"/>
      <w:bookmarkEnd w:id="140"/>
      <w:bookmarkEnd w:id="141"/>
      <w:bookmarkEnd w:id="142"/>
      <w:bookmarkEnd w:id="143"/>
      <w:bookmarkEnd w:id="144"/>
      <w:bookmarkEnd w:id="145"/>
      <w:bookmarkEnd w:id="146"/>
      <w:bookmarkEnd w:id="147"/>
      <w:bookmarkEnd w:id="148"/>
      <w:bookmarkEnd w:id="149"/>
    </w:p>
    <w:p>
      <w:pPr>
        <w:pStyle w:val="8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（一）投标人有下列情况之一，其报价将被视为无效：</w:t>
      </w:r>
    </w:p>
    <w:p>
      <w:pPr>
        <w:pStyle w:val="47"/>
        <w:spacing w:line="500" w:lineRule="atLeast"/>
        <w:ind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1、投标人未按规定提交投标保证金的。</w:t>
      </w:r>
    </w:p>
    <w:p>
      <w:pPr>
        <w:pStyle w:val="47"/>
        <w:spacing w:line="500" w:lineRule="atLeast"/>
        <w:ind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2、投标文件未按采购文件的规定签署或密封的。</w:t>
      </w:r>
    </w:p>
    <w:p>
      <w:pPr>
        <w:pStyle w:val="47"/>
        <w:spacing w:line="500" w:lineRule="atLeast"/>
        <w:ind w:firstLine="0" w:firstLineChars="0"/>
        <w:jc w:val="both"/>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3、唱标一览表未加盖本单位公章、法定代表人或授权代表未签字的。</w:t>
      </w:r>
    </w:p>
    <w:p>
      <w:pPr>
        <w:pStyle w:val="47"/>
        <w:spacing w:line="500" w:lineRule="atLeast"/>
        <w:ind w:firstLine="0" w:firstLineChars="0"/>
        <w:jc w:val="both"/>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4、投标人对采购文件的要求未做出实质性响应的。</w:t>
      </w:r>
    </w:p>
    <w:p>
      <w:pPr>
        <w:pStyle w:val="47"/>
        <w:spacing w:line="500" w:lineRule="atLeast"/>
        <w:ind w:firstLine="0" w:firstLineChars="0"/>
        <w:jc w:val="both"/>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5、投标人不参加开标仪式及与投标相关事宜的。</w:t>
      </w:r>
    </w:p>
    <w:p>
      <w:pPr>
        <w:pStyle w:val="47"/>
        <w:spacing w:line="500" w:lineRule="atLeast"/>
        <w:ind w:firstLine="0" w:firstLineChars="0"/>
        <w:jc w:val="both"/>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6、投标人资格不符合采购文件要求，未按采购文件要求提供资格、资质证明文件的。</w:t>
      </w:r>
    </w:p>
    <w:p>
      <w:pPr>
        <w:pStyle w:val="47"/>
        <w:spacing w:line="500" w:lineRule="atLeast"/>
        <w:ind w:firstLine="0" w:firstLineChars="0"/>
        <w:jc w:val="both"/>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7、超过本项目的招标控制价的。</w:t>
      </w:r>
    </w:p>
    <w:p>
      <w:pPr>
        <w:pStyle w:val="47"/>
        <w:spacing w:line="500" w:lineRule="atLeast"/>
        <w:ind w:firstLine="0" w:firstLineChars="0"/>
        <w:jc w:val="both"/>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8、投标文件载明的工期超过采购文件规定的时间且不能被采购人接受。</w:t>
      </w:r>
    </w:p>
    <w:p>
      <w:pPr>
        <w:pStyle w:val="47"/>
        <w:spacing w:line="500" w:lineRule="atLeast"/>
        <w:ind w:firstLine="0" w:firstLineChars="0"/>
        <w:jc w:val="both"/>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9、投标文件载明的付款方式不满足采购文件规定且不能被采购人接受。</w:t>
      </w:r>
    </w:p>
    <w:p>
      <w:pPr>
        <w:pStyle w:val="47"/>
        <w:spacing w:line="500" w:lineRule="atLeast"/>
        <w:ind w:firstLine="0" w:firstLineChars="0"/>
        <w:jc w:val="both"/>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10、不符合采购文件中规定的其他实质性要求。</w:t>
      </w:r>
    </w:p>
    <w:p>
      <w:pPr>
        <w:pStyle w:val="47"/>
        <w:spacing w:line="500" w:lineRule="atLeast"/>
        <w:ind w:firstLine="0" w:firstLineChars="0"/>
        <w:jc w:val="both"/>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11、法律、法规规定的其他情况。</w:t>
      </w:r>
    </w:p>
    <w:p>
      <w:pPr>
        <w:pStyle w:val="87"/>
        <w:widowControl w:val="0"/>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（二）投标人有下列情况之一，其报价不仅被视为无效，而且采购人将严格按照相关法律、法规及规章制度的规定行使权利并没收其投标保证金。投标人给采购人和采购代理机构造成损失的，应予以赔偿。</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1、投标人在报价有效期内撤回报价。</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2、投标人提供的有关资格、资质证明文件不真实或提供虚假材料。</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3、以他人名义报价或者以其他方式弄虚作假，骗取成交。</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4、投标人向采购人、采购代理机构、评审小组成员提供不正当利益。</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5、在整个报价、磋商、评审过程中，投标人有企图影响成交结果公正性的任何活动或以任何方式诋毁其他投标人或串通报价的。</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6、成交投标人不按规定签订合同的。</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7、法律、法规规定的其他情况。</w:t>
      </w:r>
    </w:p>
    <w:p>
      <w:pPr>
        <w:pStyle w:val="73"/>
        <w:spacing w:beforeLines="50" w:line="500" w:lineRule="atLeast"/>
        <w:ind w:firstLine="506" w:firstLineChars="200"/>
        <w:jc w:val="both"/>
        <w:outlineLvl w:val="1"/>
        <w:rPr>
          <w:rFonts w:ascii="仿宋" w:hAnsi="仿宋" w:eastAsia="仿宋" w:cs="仿宋"/>
          <w:b/>
          <w:color w:val="auto"/>
          <w:sz w:val="24"/>
          <w:szCs w:val="24"/>
          <w:highlight w:val="none"/>
        </w:rPr>
      </w:pPr>
      <w:bookmarkStart w:id="150" w:name="_Toc32375"/>
      <w:bookmarkStart w:id="151" w:name="_Toc30729"/>
      <w:bookmarkStart w:id="152" w:name="_Toc6144"/>
      <w:bookmarkStart w:id="153" w:name="_Toc5047"/>
      <w:bookmarkStart w:id="154" w:name="_Toc17395"/>
      <w:bookmarkStart w:id="155" w:name="_Toc22049"/>
      <w:bookmarkStart w:id="156" w:name="_Toc183264293"/>
      <w:bookmarkStart w:id="157" w:name="_Toc29036"/>
      <w:bookmarkStart w:id="158" w:name="_Toc31042"/>
      <w:bookmarkStart w:id="159" w:name="_Toc2442"/>
      <w:bookmarkStart w:id="160" w:name="_Toc24064"/>
      <w:bookmarkStart w:id="161" w:name="_Toc23024"/>
      <w:bookmarkStart w:id="162" w:name="_Toc10471"/>
      <w:r>
        <w:rPr>
          <w:rFonts w:hint="eastAsia" w:ascii="仿宋" w:hAnsi="仿宋" w:eastAsia="仿宋" w:cs="仿宋"/>
          <w:b/>
          <w:color w:val="auto"/>
          <w:sz w:val="24"/>
          <w:szCs w:val="24"/>
          <w:highlight w:val="none"/>
        </w:rPr>
        <w:t>十一、解释权</w:t>
      </w:r>
      <w:bookmarkEnd w:id="150"/>
      <w:bookmarkEnd w:id="151"/>
      <w:bookmarkEnd w:id="152"/>
      <w:bookmarkEnd w:id="153"/>
      <w:bookmarkEnd w:id="154"/>
      <w:bookmarkEnd w:id="155"/>
      <w:bookmarkEnd w:id="156"/>
      <w:bookmarkEnd w:id="157"/>
      <w:bookmarkEnd w:id="158"/>
      <w:bookmarkEnd w:id="159"/>
      <w:bookmarkEnd w:id="160"/>
      <w:bookmarkEnd w:id="161"/>
      <w:bookmarkEnd w:id="162"/>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1.本次采购的最终解释权为采购代理机构，当对一个问题有多种解释时以采购代理机构的书面解释为准。</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2.竞争性磋商文件未做明示，而又有相关法律、法规规定的，采购代理机构对此所做解释以相关的法律、法规的规定为依据。</w:t>
      </w:r>
      <w:bookmarkStart w:id="163" w:name="_Toc21217"/>
    </w:p>
    <w:p>
      <w:pPr>
        <w:pStyle w:val="47"/>
        <w:spacing w:line="500" w:lineRule="atLeast"/>
        <w:ind w:firstLine="506"/>
        <w:outlineLvl w:val="1"/>
        <w:rPr>
          <w:rFonts w:ascii="仿宋" w:hAnsi="仿宋" w:eastAsia="仿宋" w:cs="仿宋"/>
          <w:b/>
          <w:bCs/>
          <w:color w:val="auto"/>
          <w:szCs w:val="24"/>
          <w:highlight w:val="none"/>
        </w:rPr>
      </w:pPr>
      <w:bookmarkStart w:id="164" w:name="_Toc26022"/>
      <w:bookmarkStart w:id="165" w:name="_Toc31752"/>
      <w:bookmarkStart w:id="166" w:name="_Toc520"/>
      <w:bookmarkStart w:id="167" w:name="_Toc32739"/>
      <w:bookmarkStart w:id="168" w:name="_Toc24033"/>
      <w:bookmarkStart w:id="169" w:name="_Toc11256"/>
      <w:bookmarkStart w:id="170" w:name="_Toc28566"/>
      <w:bookmarkStart w:id="171" w:name="_Toc13322"/>
      <w:bookmarkStart w:id="172" w:name="_Toc1044"/>
      <w:bookmarkStart w:id="173" w:name="_Toc13972"/>
      <w:r>
        <w:rPr>
          <w:rFonts w:hint="eastAsia" w:ascii="仿宋" w:hAnsi="仿宋" w:eastAsia="仿宋" w:cs="仿宋"/>
          <w:b/>
          <w:bCs/>
          <w:color w:val="auto"/>
          <w:szCs w:val="24"/>
          <w:highlight w:val="none"/>
        </w:rPr>
        <w:t>十二、质疑</w:t>
      </w:r>
      <w:bookmarkEnd w:id="163"/>
      <w:bookmarkEnd w:id="164"/>
      <w:bookmarkEnd w:id="165"/>
      <w:bookmarkEnd w:id="166"/>
      <w:bookmarkEnd w:id="167"/>
      <w:bookmarkEnd w:id="168"/>
      <w:bookmarkEnd w:id="169"/>
      <w:bookmarkEnd w:id="170"/>
      <w:bookmarkEnd w:id="171"/>
      <w:bookmarkEnd w:id="172"/>
      <w:bookmarkEnd w:id="173"/>
      <w:r>
        <w:rPr>
          <w:rFonts w:hint="eastAsia" w:ascii="仿宋" w:hAnsi="仿宋" w:eastAsia="仿宋" w:cs="仿宋"/>
          <w:b/>
          <w:bCs/>
          <w:color w:val="auto"/>
          <w:szCs w:val="24"/>
          <w:highlight w:val="none"/>
        </w:rPr>
        <w:t xml:space="preserve"> </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1.投标人对采购活动事项有疑问的，可以向采购人或采购代理机构提出询问，采购人或采购代理机构将依法作出答复，但答复的内容不涉及商业秘密。</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2.投标人认为评审过程和成交结果使自己的合法权益受到损害的，可以在知道或者应当知道其权益受到损害之日起7个工作日内，以书面形式向采购人或采购代理机构提出质疑，超过期限不予受理。</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3.质疑文件应包括以下主要内容，并按照“谁主张、谁举证”的原则，附上相关证明材料。否则，采购人或采购代理机构不予受理：</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（1）质疑项目名称、项目编号、公告发布时间、公开报价时间；</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（2）具体的质疑事项及法律依据（具体条款）；</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（3）质疑相关证明文件或证明材料；</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（4）质疑投标人名称、地址、联系方式（包括手机、传真号码）；</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（5）法定代表人签署本人姓名或印盖本人姓名章并加盖单位公章，或法定代表人特别授权加盖单位公章，并由参加采购项目的授权代表签署本人姓名或印盖本人姓名章等。</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4.投标人不得虚假质疑和恶意质疑，并对质疑内容的真实性承担责任。投标人或者其他利害关系人通过捏造事实、伪造证明材料等方式提出异议或投诉，阻碍采购活动正常进行的，属于严重不良行为，采购人或采购代理机构将提请财政部门列入不良行为记录名单，并依法予以处罚。</w:t>
      </w:r>
    </w:p>
    <w:p>
      <w:pPr>
        <w:pStyle w:val="47"/>
        <w:spacing w:line="500" w:lineRule="atLeas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5.采购人或采购代理机构在收到投标人的书面质疑后将及时组织调查核实，在7个工作日内作出答复，并以书面或在网站公告形式通知质疑投标人和其他有关投标人，答复的内容不涉及商业秘密。</w:t>
      </w:r>
    </w:p>
    <w:p>
      <w:pPr>
        <w:spacing w:line="500" w:lineRule="atLeast"/>
        <w:jc w:val="both"/>
        <w:outlineLvl w:val="0"/>
        <w:rPr>
          <w:rFonts w:ascii="仿宋" w:hAnsi="仿宋" w:eastAsia="仿宋" w:cs="仿宋"/>
          <w:color w:val="auto"/>
          <w:sz w:val="24"/>
          <w:szCs w:val="24"/>
          <w:highlight w:val="none"/>
        </w:rPr>
      </w:pPr>
      <w:bookmarkStart w:id="174" w:name="_Toc14576"/>
      <w:bookmarkStart w:id="175" w:name="_Toc20788"/>
      <w:bookmarkStart w:id="176" w:name="_Toc6403"/>
      <w:bookmarkStart w:id="177" w:name="_Toc31466"/>
      <w:bookmarkStart w:id="178" w:name="_Toc338"/>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spacing w:line="500" w:lineRule="atLeast"/>
        <w:jc w:val="both"/>
        <w:outlineLvl w:val="0"/>
        <w:rPr>
          <w:rFonts w:ascii="仿宋" w:hAnsi="仿宋" w:eastAsia="仿宋" w:cs="仿宋"/>
          <w:color w:val="auto"/>
          <w:sz w:val="24"/>
          <w:szCs w:val="24"/>
          <w:highlight w:val="none"/>
        </w:rPr>
      </w:pPr>
    </w:p>
    <w:p>
      <w:pPr>
        <w:pStyle w:val="2"/>
        <w:jc w:val="center"/>
        <w:rPr>
          <w:rFonts w:ascii="仿宋" w:hAnsi="仿宋" w:eastAsia="仿宋" w:cs="仿宋"/>
          <w:color w:val="auto"/>
          <w:highlight w:val="none"/>
        </w:rPr>
      </w:pPr>
      <w:bookmarkStart w:id="179" w:name="_Toc17414"/>
      <w:r>
        <w:rPr>
          <w:rFonts w:hint="eastAsia" w:ascii="仿宋" w:hAnsi="仿宋" w:eastAsia="仿宋" w:cs="仿宋"/>
          <w:color w:val="auto"/>
          <w:highlight w:val="none"/>
        </w:rPr>
        <w:t>第三部分  项目基本情况</w:t>
      </w:r>
      <w:bookmarkEnd w:id="174"/>
      <w:bookmarkEnd w:id="175"/>
      <w:bookmarkEnd w:id="176"/>
      <w:bookmarkEnd w:id="177"/>
      <w:bookmarkEnd w:id="178"/>
      <w:bookmarkEnd w:id="179"/>
    </w:p>
    <w:p>
      <w:pPr>
        <w:pStyle w:val="73"/>
        <w:spacing w:before="240" w:line="300" w:lineRule="auto"/>
        <w:jc w:val="left"/>
        <w:rPr>
          <w:rFonts w:ascii="仿宋" w:hAnsi="仿宋" w:eastAsia="仿宋" w:cs="仿宋"/>
          <w:b/>
          <w:color w:val="auto"/>
          <w:sz w:val="24"/>
          <w:szCs w:val="24"/>
          <w:highlight w:val="none"/>
        </w:rPr>
      </w:pPr>
      <w:bookmarkStart w:id="180" w:name="_Toc426379915"/>
      <w:r>
        <w:rPr>
          <w:rFonts w:hint="eastAsia" w:ascii="仿宋" w:hAnsi="仿宋" w:eastAsia="仿宋" w:cs="仿宋"/>
          <w:b/>
          <w:color w:val="auto"/>
          <w:sz w:val="24"/>
          <w:szCs w:val="24"/>
          <w:highlight w:val="none"/>
        </w:rPr>
        <w:t>一、工程概况</w:t>
      </w:r>
      <w:bookmarkEnd w:id="180"/>
    </w:p>
    <w:p>
      <w:pPr>
        <w:pStyle w:val="47"/>
        <w:spacing w:line="500" w:lineRule="exac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1、项目名称：济南市公安消防支队历城区大队黄台中队屋面防水维修工程</w:t>
      </w:r>
    </w:p>
    <w:p>
      <w:pPr>
        <w:pStyle w:val="47"/>
        <w:spacing w:line="500" w:lineRule="exact"/>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2、项目编号：SDLD-2018-CS-015</w:t>
      </w:r>
    </w:p>
    <w:p>
      <w:pPr>
        <w:pStyle w:val="47"/>
        <w:spacing w:line="500" w:lineRule="exact"/>
        <w:ind w:firstLine="504"/>
        <w:rPr>
          <w:rFonts w:hint="eastAsia" w:ascii="仿宋" w:hAnsi="仿宋" w:eastAsia="仿宋" w:cs="仿宋"/>
          <w:strike/>
          <w:color w:val="auto"/>
          <w:szCs w:val="24"/>
          <w:highlight w:val="none"/>
          <w:lang w:eastAsia="zh-CN"/>
        </w:rPr>
      </w:pPr>
      <w:r>
        <w:rPr>
          <w:rFonts w:hint="eastAsia" w:ascii="仿宋" w:hAnsi="仿宋" w:eastAsia="仿宋" w:cs="仿宋"/>
          <w:color w:val="auto"/>
          <w:szCs w:val="24"/>
          <w:highlight w:val="none"/>
        </w:rPr>
        <w:t>3、工程概况:为改善官兵工作和生活环境，加强营区建设，落实从优待警各项措施，更好的服务于灭火救援和执勤战备等各项工作，拟对济南市公安消防支队历城区大队黄台中队屋面防水进行维修改造，本项目招标控制价金额为22.470311万元，共1个包，工程内容包括清单范围内全部工程。投标人须对本项目完全响应</w:t>
      </w:r>
      <w:r>
        <w:rPr>
          <w:rFonts w:hint="eastAsia" w:ascii="仿宋" w:hAnsi="仿宋" w:eastAsia="仿宋" w:cs="仿宋"/>
          <w:color w:val="auto"/>
          <w:szCs w:val="24"/>
          <w:highlight w:val="none"/>
          <w:lang w:eastAsia="zh-CN"/>
        </w:rPr>
        <w:t>。</w:t>
      </w:r>
    </w:p>
    <w:p>
      <w:pPr>
        <w:pStyle w:val="73"/>
        <w:spacing w:before="240" w:line="300" w:lineRule="auto"/>
        <w:jc w:val="left"/>
        <w:rPr>
          <w:rFonts w:ascii="仿宋" w:hAnsi="仿宋" w:eastAsia="仿宋" w:cs="仿宋"/>
          <w:bCs/>
          <w:color w:val="auto"/>
          <w:sz w:val="24"/>
          <w:szCs w:val="24"/>
          <w:highlight w:val="none"/>
        </w:rPr>
      </w:pPr>
      <w:bookmarkStart w:id="181" w:name="_Toc426379916"/>
      <w:r>
        <w:rPr>
          <w:rFonts w:hint="eastAsia" w:ascii="仿宋" w:hAnsi="仿宋" w:eastAsia="仿宋" w:cs="仿宋"/>
          <w:b/>
          <w:bCs/>
          <w:color w:val="auto"/>
          <w:sz w:val="24"/>
          <w:szCs w:val="24"/>
          <w:highlight w:val="none"/>
        </w:rPr>
        <w:t>二、</w:t>
      </w:r>
      <w:r>
        <w:rPr>
          <w:rFonts w:hint="eastAsia" w:ascii="仿宋" w:hAnsi="仿宋" w:eastAsia="仿宋" w:cs="仿宋"/>
          <w:b/>
          <w:color w:val="auto"/>
          <w:sz w:val="24"/>
          <w:szCs w:val="24"/>
          <w:highlight w:val="none"/>
        </w:rPr>
        <w:t>招标范围</w:t>
      </w:r>
      <w:bookmarkEnd w:id="181"/>
    </w:p>
    <w:p>
      <w:pPr>
        <w:pStyle w:val="47"/>
        <w:spacing w:line="500" w:lineRule="exact"/>
        <w:ind w:firstLine="504"/>
        <w:rPr>
          <w:rFonts w:ascii="仿宋" w:hAnsi="仿宋" w:eastAsia="仿宋" w:cs="仿宋"/>
          <w:bCs/>
          <w:color w:val="auto"/>
          <w:szCs w:val="24"/>
          <w:highlight w:val="none"/>
        </w:rPr>
      </w:pPr>
      <w:r>
        <w:rPr>
          <w:rFonts w:hint="eastAsia" w:ascii="仿宋" w:hAnsi="仿宋" w:eastAsia="仿宋" w:cs="仿宋"/>
          <w:bCs/>
          <w:color w:val="auto"/>
          <w:szCs w:val="24"/>
          <w:highlight w:val="none"/>
        </w:rPr>
        <w:t xml:space="preserve"> 济南市公安消防支队历城区大队黄台中队屋面防水维修工程项目。</w:t>
      </w:r>
    </w:p>
    <w:p>
      <w:pPr>
        <w:pStyle w:val="73"/>
        <w:spacing w:before="240" w:line="30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三、重点说明</w:t>
      </w:r>
    </w:p>
    <w:p>
      <w:pPr>
        <w:pStyle w:val="47"/>
        <w:spacing w:line="500" w:lineRule="exact"/>
        <w:ind w:firstLine="504"/>
        <w:rPr>
          <w:rFonts w:ascii="仿宋" w:hAnsi="仿宋" w:eastAsia="仿宋" w:cs="仿宋"/>
          <w:bCs/>
          <w:color w:val="auto"/>
          <w:szCs w:val="24"/>
          <w:highlight w:val="none"/>
        </w:rPr>
      </w:pPr>
      <w:r>
        <w:rPr>
          <w:rFonts w:hint="eastAsia" w:ascii="仿宋" w:hAnsi="仿宋" w:eastAsia="仿宋" w:cs="仿宋"/>
          <w:bCs/>
          <w:color w:val="auto"/>
          <w:szCs w:val="24"/>
          <w:highlight w:val="none"/>
        </w:rPr>
        <w:t>1、中标人对施工中的一切安全问题包括自身施工人员及施工现场周围的安全负全责。</w:t>
      </w:r>
    </w:p>
    <w:p>
      <w:pPr>
        <w:pStyle w:val="47"/>
        <w:spacing w:line="50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四、工程量清单</w:t>
      </w:r>
    </w:p>
    <w:p>
      <w:pPr>
        <w:pStyle w:val="47"/>
        <w:spacing w:line="500" w:lineRule="exact"/>
        <w:ind w:firstLine="504"/>
        <w:rPr>
          <w:rFonts w:ascii="仿宋" w:hAnsi="仿宋" w:eastAsia="仿宋" w:cs="仿宋"/>
          <w:bCs/>
          <w:color w:val="auto"/>
          <w:szCs w:val="24"/>
          <w:highlight w:val="none"/>
        </w:rPr>
      </w:pPr>
      <w:r>
        <w:rPr>
          <w:rFonts w:hint="eastAsia" w:ascii="仿宋" w:hAnsi="仿宋" w:eastAsia="仿宋" w:cs="仿宋"/>
          <w:bCs/>
          <w:color w:val="auto"/>
          <w:szCs w:val="24"/>
          <w:highlight w:val="none"/>
        </w:rPr>
        <w:t>详见附表</w:t>
      </w:r>
    </w:p>
    <w:p>
      <w:pPr>
        <w:pStyle w:val="47"/>
        <w:spacing w:line="500" w:lineRule="exact"/>
        <w:ind w:firstLine="0" w:firstLineChars="0"/>
        <w:rPr>
          <w:rFonts w:ascii="仿宋" w:hAnsi="仿宋" w:eastAsia="仿宋" w:cs="仿宋"/>
          <w:bCs/>
          <w:color w:val="auto"/>
          <w:szCs w:val="24"/>
          <w:highlight w:val="none"/>
        </w:rPr>
      </w:pPr>
      <w:r>
        <w:rPr>
          <w:rFonts w:hint="eastAsia" w:ascii="仿宋" w:hAnsi="仿宋" w:eastAsia="仿宋" w:cs="仿宋"/>
          <w:b/>
          <w:color w:val="auto"/>
          <w:szCs w:val="24"/>
          <w:highlight w:val="none"/>
        </w:rPr>
        <w:t>五、技术要求</w:t>
      </w:r>
    </w:p>
    <w:p>
      <w:pPr>
        <w:pStyle w:val="47"/>
        <w:spacing w:line="500" w:lineRule="exact"/>
        <w:ind w:firstLine="504"/>
        <w:rPr>
          <w:rFonts w:ascii="仿宋" w:hAnsi="仿宋" w:eastAsia="仿宋" w:cs="仿宋"/>
          <w:bCs/>
          <w:color w:val="auto"/>
          <w:szCs w:val="24"/>
          <w:highlight w:val="none"/>
        </w:rPr>
      </w:pPr>
      <w:r>
        <w:rPr>
          <w:rFonts w:hint="eastAsia" w:ascii="仿宋" w:hAnsi="仿宋" w:eastAsia="仿宋" w:cs="仿宋"/>
          <w:bCs/>
          <w:color w:val="auto"/>
          <w:szCs w:val="24"/>
          <w:highlight w:val="none"/>
        </w:rPr>
        <w:t>1、用于本工程的材料、设备、施工等必须达到现行中华人民共和国及省、市、行业的一切有关法规、规范的要求，所使用的材料必须达到国家环境监测标准，必须为环保、安全材料，材料进场必须提供国家相关监测证明，招标人将安排专项负责人负责验收。施工完成后招标人将组织检测</w:t>
      </w:r>
      <w:r>
        <w:rPr>
          <w:rFonts w:hint="eastAsia" w:ascii="仿宋" w:hAnsi="仿宋" w:eastAsia="仿宋" w:cs="仿宋"/>
          <w:bCs/>
          <w:color w:val="auto"/>
          <w:szCs w:val="24"/>
          <w:highlight w:val="none"/>
        </w:rPr>
        <w:t>和</w:t>
      </w:r>
      <w:r>
        <w:rPr>
          <w:rFonts w:hint="eastAsia" w:ascii="仿宋" w:hAnsi="仿宋" w:eastAsia="仿宋" w:cs="仿宋"/>
          <w:bCs/>
          <w:color w:val="auto"/>
          <w:szCs w:val="24"/>
          <w:highlight w:val="none"/>
        </w:rPr>
        <w:t>验收。如检测不合格工程不予验收。</w:t>
      </w:r>
    </w:p>
    <w:p>
      <w:pPr>
        <w:pStyle w:val="47"/>
        <w:spacing w:line="500" w:lineRule="exact"/>
        <w:ind w:firstLine="504"/>
        <w:rPr>
          <w:rFonts w:ascii="仿宋" w:hAnsi="仿宋" w:eastAsia="仿宋" w:cs="仿宋"/>
          <w:bCs/>
          <w:color w:val="auto"/>
          <w:szCs w:val="24"/>
          <w:highlight w:val="none"/>
        </w:rPr>
      </w:pPr>
      <w:r>
        <w:rPr>
          <w:rFonts w:hint="eastAsia" w:ascii="仿宋" w:hAnsi="仿宋" w:eastAsia="仿宋" w:cs="仿宋"/>
          <w:bCs/>
          <w:color w:val="auto"/>
          <w:szCs w:val="24"/>
          <w:highlight w:val="none"/>
        </w:rPr>
        <w:t>2、执行国家、省、市现行的建设工程施工及工程质量验收规范、施工技术标准、程序及工程建设的强制性标准。</w:t>
      </w:r>
    </w:p>
    <w:p>
      <w:pPr>
        <w:pStyle w:val="47"/>
        <w:spacing w:line="500" w:lineRule="exact"/>
        <w:ind w:firstLine="504"/>
        <w:rPr>
          <w:rFonts w:ascii="仿宋" w:hAnsi="仿宋" w:eastAsia="仿宋" w:cs="仿宋"/>
          <w:bCs/>
          <w:color w:val="auto"/>
          <w:szCs w:val="24"/>
          <w:highlight w:val="none"/>
        </w:rPr>
      </w:pPr>
    </w:p>
    <w:p>
      <w:pPr>
        <w:pStyle w:val="47"/>
        <w:spacing w:line="500" w:lineRule="exact"/>
        <w:ind w:firstLine="504"/>
        <w:rPr>
          <w:rFonts w:ascii="仿宋" w:hAnsi="仿宋" w:eastAsia="仿宋" w:cs="仿宋"/>
          <w:bCs/>
          <w:color w:val="auto"/>
          <w:szCs w:val="24"/>
          <w:highlight w:val="none"/>
        </w:rPr>
      </w:pPr>
    </w:p>
    <w:p>
      <w:pPr>
        <w:pStyle w:val="47"/>
        <w:spacing w:line="500" w:lineRule="exact"/>
        <w:ind w:firstLine="504"/>
        <w:rPr>
          <w:rFonts w:ascii="仿宋" w:hAnsi="仿宋" w:eastAsia="仿宋" w:cs="仿宋"/>
          <w:bCs/>
          <w:color w:val="auto"/>
          <w:szCs w:val="24"/>
          <w:highlight w:val="none"/>
        </w:rPr>
      </w:pPr>
    </w:p>
    <w:p>
      <w:pPr>
        <w:pStyle w:val="61"/>
        <w:spacing w:line="500" w:lineRule="atLeast"/>
        <w:jc w:val="both"/>
        <w:rPr>
          <w:rFonts w:ascii="仿宋" w:hAnsi="仿宋" w:eastAsia="仿宋" w:cs="仿宋"/>
          <w:b/>
          <w:color w:val="auto"/>
          <w:sz w:val="24"/>
          <w:szCs w:val="24"/>
          <w:highlight w:val="none"/>
        </w:rPr>
      </w:pPr>
      <w:bookmarkStart w:id="182" w:name="_Toc10122"/>
    </w:p>
    <w:p>
      <w:pPr>
        <w:pStyle w:val="2"/>
        <w:jc w:val="center"/>
        <w:rPr>
          <w:rFonts w:ascii="仿宋" w:hAnsi="仿宋" w:eastAsia="仿宋" w:cs="仿宋"/>
          <w:color w:val="auto"/>
          <w:highlight w:val="none"/>
        </w:rPr>
      </w:pPr>
      <w:bookmarkStart w:id="183" w:name="_Toc31719"/>
      <w:bookmarkStart w:id="184" w:name="_Toc10988"/>
      <w:bookmarkStart w:id="185" w:name="_Toc373"/>
      <w:bookmarkStart w:id="186" w:name="_Toc28697"/>
      <w:bookmarkStart w:id="187" w:name="_Toc26089"/>
      <w:bookmarkStart w:id="188" w:name="_Toc11833"/>
      <w:bookmarkStart w:id="189" w:name="_Toc5388"/>
      <w:bookmarkStart w:id="190" w:name="_Toc31891"/>
      <w:bookmarkStart w:id="191" w:name="_Toc6787"/>
      <w:r>
        <w:rPr>
          <w:rFonts w:hint="eastAsia" w:ascii="仿宋" w:hAnsi="仿宋" w:eastAsia="仿宋" w:cs="仿宋"/>
          <w:color w:val="auto"/>
          <w:highlight w:val="none"/>
        </w:rPr>
        <w:t xml:space="preserve">第四部分  </w:t>
      </w:r>
      <w:bookmarkEnd w:id="183"/>
      <w:bookmarkEnd w:id="184"/>
      <w:bookmarkEnd w:id="185"/>
      <w:bookmarkEnd w:id="186"/>
      <w:bookmarkEnd w:id="187"/>
      <w:bookmarkEnd w:id="188"/>
      <w:bookmarkEnd w:id="189"/>
      <w:bookmarkEnd w:id="190"/>
      <w:r>
        <w:rPr>
          <w:rFonts w:hint="eastAsia" w:ascii="仿宋" w:hAnsi="仿宋" w:eastAsia="仿宋" w:cs="仿宋"/>
          <w:color w:val="auto"/>
          <w:highlight w:val="none"/>
        </w:rPr>
        <w:t>开标、评标、定标</w:t>
      </w:r>
      <w:bookmarkEnd w:id="191"/>
    </w:p>
    <w:p>
      <w:pPr>
        <w:pStyle w:val="73"/>
        <w:spacing w:line="360" w:lineRule="auto"/>
        <w:outlineLvl w:val="1"/>
        <w:rPr>
          <w:rFonts w:ascii="仿宋" w:hAnsi="仿宋" w:eastAsia="仿宋" w:cs="仿宋"/>
          <w:color w:val="auto"/>
          <w:sz w:val="28"/>
          <w:szCs w:val="28"/>
          <w:highlight w:val="none"/>
        </w:rPr>
      </w:pPr>
      <w:bookmarkStart w:id="192" w:name="_Toc426379919"/>
      <w:bookmarkStart w:id="193" w:name="_Toc426379371"/>
      <w:r>
        <w:rPr>
          <w:rFonts w:hint="eastAsia" w:ascii="仿宋" w:hAnsi="仿宋" w:eastAsia="仿宋" w:cs="仿宋"/>
          <w:b/>
          <w:color w:val="auto"/>
          <w:sz w:val="24"/>
          <w:szCs w:val="24"/>
          <w:highlight w:val="none"/>
        </w:rPr>
        <w:t>一、投标文件的递交及开标仪式</w:t>
      </w:r>
      <w:bookmarkEnd w:id="192"/>
      <w:bookmarkEnd w:id="193"/>
    </w:p>
    <w:p>
      <w:pPr>
        <w:pStyle w:val="47"/>
        <w:spacing w:line="500" w:lineRule="atLeast"/>
        <w:ind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1、投标文件递交时间、地点：</w:t>
      </w:r>
    </w:p>
    <w:p>
      <w:pPr>
        <w:pStyle w:val="47"/>
        <w:spacing w:line="500" w:lineRule="atLeast"/>
        <w:ind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时间：</w:t>
      </w:r>
      <w:r>
        <w:rPr>
          <w:rFonts w:hint="eastAsia" w:ascii="仿宋" w:hAnsi="仿宋" w:eastAsia="仿宋" w:cs="仿宋"/>
          <w:color w:val="auto"/>
          <w:szCs w:val="24"/>
          <w:highlight w:val="none"/>
          <w:lang w:val="zh-CN"/>
        </w:rPr>
        <w:t xml:space="preserve"> 2018年</w:t>
      </w:r>
      <w:r>
        <w:rPr>
          <w:rFonts w:hint="eastAsia" w:ascii="仿宋" w:hAnsi="仿宋" w:eastAsia="仿宋" w:cs="仿宋"/>
          <w:color w:val="auto"/>
          <w:szCs w:val="24"/>
          <w:highlight w:val="none"/>
          <w:lang w:val="zh-CN" w:eastAsia="zh-CN"/>
        </w:rPr>
        <w:t>8</w:t>
      </w:r>
      <w:r>
        <w:rPr>
          <w:rFonts w:hint="eastAsia" w:ascii="仿宋" w:hAnsi="仿宋" w:eastAsia="仿宋" w:cs="仿宋"/>
          <w:color w:val="auto"/>
          <w:szCs w:val="24"/>
          <w:highlight w:val="none"/>
          <w:lang w:val="zh-CN"/>
        </w:rPr>
        <w:t>月</w:t>
      </w:r>
      <w:r>
        <w:rPr>
          <w:rFonts w:hint="eastAsia" w:ascii="仿宋" w:hAnsi="仿宋" w:eastAsia="仿宋" w:cs="仿宋"/>
          <w:color w:val="auto"/>
          <w:szCs w:val="24"/>
          <w:highlight w:val="none"/>
          <w:lang w:val="zh-CN" w:eastAsia="zh-CN"/>
        </w:rPr>
        <w:t>24</w:t>
      </w:r>
      <w:r>
        <w:rPr>
          <w:rFonts w:hint="eastAsia" w:ascii="仿宋" w:hAnsi="仿宋" w:eastAsia="仿宋" w:cs="仿宋"/>
          <w:color w:val="auto"/>
          <w:szCs w:val="24"/>
          <w:highlight w:val="none"/>
          <w:lang w:val="zh-CN"/>
        </w:rPr>
        <w:t>日</w:t>
      </w:r>
      <w:r>
        <w:rPr>
          <w:rFonts w:hint="eastAsia" w:ascii="仿宋" w:hAnsi="仿宋" w:eastAsia="仿宋" w:cs="仿宋"/>
          <w:color w:val="auto"/>
          <w:szCs w:val="24"/>
          <w:highlight w:val="none"/>
          <w:lang w:val="zh-CN" w:eastAsia="zh-CN"/>
        </w:rPr>
        <w:t>08</w:t>
      </w:r>
      <w:r>
        <w:rPr>
          <w:rFonts w:hint="eastAsia" w:ascii="仿宋" w:hAnsi="仿宋" w:eastAsia="仿宋" w:cs="仿宋"/>
          <w:color w:val="auto"/>
          <w:szCs w:val="24"/>
          <w:highlight w:val="none"/>
          <w:lang w:val="zh-CN"/>
        </w:rPr>
        <w:t>时</w:t>
      </w:r>
      <w:r>
        <w:rPr>
          <w:rFonts w:hint="eastAsia" w:ascii="仿宋" w:hAnsi="仿宋" w:eastAsia="仿宋" w:cs="仿宋"/>
          <w:color w:val="auto"/>
          <w:szCs w:val="24"/>
          <w:highlight w:val="none"/>
          <w:lang w:val="zh-CN" w:eastAsia="zh-CN"/>
        </w:rPr>
        <w:t>30</w:t>
      </w:r>
      <w:r>
        <w:rPr>
          <w:rFonts w:hint="eastAsia" w:ascii="仿宋" w:hAnsi="仿宋" w:eastAsia="仿宋" w:cs="仿宋"/>
          <w:color w:val="auto"/>
          <w:szCs w:val="24"/>
          <w:highlight w:val="none"/>
          <w:lang w:val="zh-CN"/>
        </w:rPr>
        <w:t>分至 2018年</w:t>
      </w:r>
      <w:r>
        <w:rPr>
          <w:rFonts w:hint="eastAsia" w:ascii="仿宋" w:hAnsi="仿宋" w:eastAsia="仿宋" w:cs="仿宋"/>
          <w:color w:val="auto"/>
          <w:szCs w:val="24"/>
          <w:highlight w:val="none"/>
          <w:lang w:val="zh-CN" w:eastAsia="zh-CN"/>
        </w:rPr>
        <w:t>8</w:t>
      </w:r>
      <w:r>
        <w:rPr>
          <w:rFonts w:hint="eastAsia" w:ascii="仿宋" w:hAnsi="仿宋" w:eastAsia="仿宋" w:cs="仿宋"/>
          <w:color w:val="auto"/>
          <w:szCs w:val="24"/>
          <w:highlight w:val="none"/>
          <w:lang w:val="zh-CN"/>
        </w:rPr>
        <w:t>月</w:t>
      </w:r>
      <w:r>
        <w:rPr>
          <w:rFonts w:hint="eastAsia" w:ascii="仿宋" w:hAnsi="仿宋" w:eastAsia="仿宋" w:cs="仿宋"/>
          <w:color w:val="auto"/>
          <w:szCs w:val="24"/>
          <w:highlight w:val="none"/>
          <w:lang w:val="zh-CN" w:eastAsia="zh-CN"/>
        </w:rPr>
        <w:t>24</w:t>
      </w:r>
      <w:r>
        <w:rPr>
          <w:rFonts w:hint="eastAsia" w:ascii="仿宋" w:hAnsi="仿宋" w:eastAsia="仿宋" w:cs="仿宋"/>
          <w:color w:val="auto"/>
          <w:szCs w:val="24"/>
          <w:highlight w:val="none"/>
          <w:lang w:val="zh-CN"/>
        </w:rPr>
        <w:t>日</w:t>
      </w:r>
      <w:r>
        <w:rPr>
          <w:rFonts w:hint="eastAsia" w:ascii="仿宋" w:hAnsi="仿宋" w:eastAsia="仿宋" w:cs="仿宋"/>
          <w:color w:val="auto"/>
          <w:szCs w:val="24"/>
          <w:highlight w:val="none"/>
          <w:lang w:val="zh-CN" w:eastAsia="zh-CN"/>
        </w:rPr>
        <w:t>09</w:t>
      </w:r>
      <w:r>
        <w:rPr>
          <w:rFonts w:hint="eastAsia" w:ascii="仿宋" w:hAnsi="仿宋" w:eastAsia="仿宋" w:cs="仿宋"/>
          <w:color w:val="auto"/>
          <w:szCs w:val="24"/>
          <w:highlight w:val="none"/>
          <w:lang w:val="zh-CN"/>
        </w:rPr>
        <w:t>时</w:t>
      </w:r>
      <w:r>
        <w:rPr>
          <w:rFonts w:hint="eastAsia" w:ascii="仿宋" w:hAnsi="仿宋" w:eastAsia="仿宋" w:cs="仿宋"/>
          <w:color w:val="auto"/>
          <w:szCs w:val="24"/>
          <w:highlight w:val="none"/>
          <w:lang w:val="zh-CN" w:eastAsia="zh-CN"/>
        </w:rPr>
        <w:t>00</w:t>
      </w:r>
      <w:r>
        <w:rPr>
          <w:rFonts w:hint="eastAsia" w:ascii="仿宋" w:hAnsi="仿宋" w:eastAsia="仿宋" w:cs="仿宋"/>
          <w:color w:val="auto"/>
          <w:szCs w:val="24"/>
          <w:highlight w:val="none"/>
          <w:lang w:val="zh-CN"/>
        </w:rPr>
        <w:t>分（北京时间）</w:t>
      </w:r>
      <w:r>
        <w:rPr>
          <w:rFonts w:hint="eastAsia" w:ascii="仿宋" w:hAnsi="仿宋" w:eastAsia="仿宋" w:cs="仿宋"/>
          <w:color w:val="auto"/>
          <w:szCs w:val="24"/>
          <w:highlight w:val="none"/>
        </w:rPr>
        <w:t xml:space="preserve"> </w:t>
      </w:r>
    </w:p>
    <w:p>
      <w:pPr>
        <w:pStyle w:val="47"/>
        <w:spacing w:line="500" w:lineRule="atLeast"/>
        <w:ind w:firstLine="0" w:firstLineChars="0"/>
        <w:rPr>
          <w:rFonts w:ascii="仿宋" w:hAnsi="仿宋" w:eastAsia="仿宋" w:cs="仿宋"/>
          <w:color w:val="auto"/>
          <w:szCs w:val="24"/>
          <w:highlight w:val="none"/>
          <w:lang w:val="zh-CN"/>
        </w:rPr>
      </w:pPr>
      <w:r>
        <w:rPr>
          <w:rFonts w:hint="eastAsia" w:ascii="仿宋" w:hAnsi="仿宋" w:eastAsia="仿宋" w:cs="仿宋"/>
          <w:color w:val="auto"/>
          <w:szCs w:val="24"/>
          <w:highlight w:val="none"/>
        </w:rPr>
        <w:t xml:space="preserve">  地点：济南市高新区工业南路59号中铁财智中心6号楼15楼 </w:t>
      </w:r>
    </w:p>
    <w:p>
      <w:pPr>
        <w:pStyle w:val="47"/>
        <w:numPr>
          <w:ilvl w:val="0"/>
          <w:numId w:val="4"/>
        </w:numPr>
        <w:spacing w:line="500" w:lineRule="atLeast"/>
        <w:ind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开标时间、地点</w:t>
      </w:r>
    </w:p>
    <w:p>
      <w:pPr>
        <w:pStyle w:val="47"/>
        <w:spacing w:line="500" w:lineRule="atLeast"/>
        <w:ind w:firstLine="0" w:firstLineChars="0"/>
        <w:rPr>
          <w:rFonts w:ascii="仿宋" w:hAnsi="仿宋" w:eastAsia="仿宋" w:cs="仿宋"/>
          <w:color w:val="auto"/>
          <w:szCs w:val="24"/>
          <w:highlight w:val="none"/>
          <w:lang w:val="zh-CN"/>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时间</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zh-CN"/>
        </w:rPr>
        <w:t>201</w:t>
      </w:r>
      <w:r>
        <w:rPr>
          <w:rFonts w:hint="eastAsia" w:ascii="仿宋" w:hAnsi="仿宋" w:eastAsia="仿宋" w:cs="仿宋"/>
          <w:color w:val="auto"/>
          <w:szCs w:val="24"/>
          <w:highlight w:val="none"/>
        </w:rPr>
        <w:t>8</w:t>
      </w:r>
      <w:r>
        <w:rPr>
          <w:rFonts w:hint="eastAsia" w:ascii="仿宋" w:hAnsi="仿宋" w:eastAsia="仿宋" w:cs="仿宋"/>
          <w:color w:val="auto"/>
          <w:szCs w:val="24"/>
          <w:highlight w:val="none"/>
          <w:lang w:val="zh-CN"/>
        </w:rPr>
        <w:t>年</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lang w:val="zh-CN"/>
        </w:rPr>
        <w:t>月</w:t>
      </w:r>
      <w:r>
        <w:rPr>
          <w:rFonts w:hint="eastAsia" w:ascii="仿宋" w:hAnsi="仿宋" w:eastAsia="仿宋" w:cs="仿宋"/>
          <w:color w:val="auto"/>
          <w:szCs w:val="24"/>
          <w:highlight w:val="none"/>
          <w:lang w:val="en-US" w:eastAsia="zh-CN"/>
        </w:rPr>
        <w:t>24</w:t>
      </w:r>
      <w:r>
        <w:rPr>
          <w:rFonts w:hint="eastAsia" w:ascii="仿宋" w:hAnsi="仿宋" w:eastAsia="仿宋" w:cs="仿宋"/>
          <w:color w:val="auto"/>
          <w:szCs w:val="24"/>
          <w:highlight w:val="none"/>
          <w:lang w:val="zh-CN"/>
        </w:rPr>
        <w:t>日上午</w:t>
      </w:r>
      <w:r>
        <w:rPr>
          <w:rFonts w:hint="eastAsia" w:ascii="仿宋" w:hAnsi="仿宋" w:eastAsia="仿宋" w:cs="仿宋"/>
          <w:color w:val="auto"/>
          <w:szCs w:val="24"/>
          <w:highlight w:val="none"/>
          <w:lang w:val="en-US" w:eastAsia="zh-CN"/>
        </w:rPr>
        <w:t>09：00</w:t>
      </w:r>
      <w:r>
        <w:rPr>
          <w:rFonts w:hint="eastAsia" w:ascii="仿宋" w:hAnsi="仿宋" w:eastAsia="仿宋" w:cs="仿宋"/>
          <w:color w:val="auto"/>
          <w:szCs w:val="24"/>
          <w:highlight w:val="none"/>
          <w:lang w:val="zh-CN"/>
        </w:rPr>
        <w:t>整（北京时间）</w:t>
      </w:r>
    </w:p>
    <w:p>
      <w:pPr>
        <w:pStyle w:val="47"/>
        <w:spacing w:line="500" w:lineRule="atLeast"/>
        <w:ind w:firstLine="0" w:firstLineChars="0"/>
        <w:rPr>
          <w:rFonts w:ascii="仿宋" w:hAnsi="仿宋" w:eastAsia="仿宋" w:cs="仿宋"/>
          <w:color w:val="auto"/>
          <w:szCs w:val="24"/>
          <w:highlight w:val="none"/>
          <w:lang w:val="zh-CN"/>
        </w:rPr>
      </w:pPr>
      <w:r>
        <w:rPr>
          <w:rFonts w:hint="eastAsia" w:ascii="仿宋" w:hAnsi="仿宋" w:eastAsia="仿宋" w:cs="仿宋"/>
          <w:color w:val="auto"/>
          <w:szCs w:val="24"/>
          <w:highlight w:val="none"/>
        </w:rPr>
        <w:t xml:space="preserve">  地点：济南市高新区工业南路59号中铁财智中心6号楼15楼 </w:t>
      </w:r>
      <w:r>
        <w:rPr>
          <w:rFonts w:hint="eastAsia" w:ascii="仿宋" w:hAnsi="仿宋" w:eastAsia="仿宋" w:cs="仿宋"/>
          <w:color w:val="auto"/>
          <w:szCs w:val="24"/>
          <w:highlight w:val="none"/>
          <w:lang w:val="zh-CN"/>
        </w:rPr>
        <w:t xml:space="preserve"> </w:t>
      </w:r>
    </w:p>
    <w:p>
      <w:pPr>
        <w:pStyle w:val="47"/>
        <w:spacing w:line="500" w:lineRule="atLeast"/>
        <w:ind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3、采购代理机构组织投标文件的递交，递交投标文件的投标人代表应签字确认。</w:t>
      </w:r>
    </w:p>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4、见证律师对各投标人提交的投标文件密封情况按签到顺序进行检查，并当场宣布检查结果。</w:t>
      </w:r>
    </w:p>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5、唱标：工作人员当众按投标人的签到顺序开启唱标一览表，唱标员宣读投标人名称、投标报价等主要内容，法定代表人或其授权代表现场签字确认。</w:t>
      </w:r>
    </w:p>
    <w:p>
      <w:pPr>
        <w:spacing w:line="500" w:lineRule="atLeas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6、开标会议结束后，见证律师对供应商的投标人相关资格证书进行审验。</w:t>
      </w:r>
    </w:p>
    <w:p>
      <w:pPr>
        <w:spacing w:line="500" w:lineRule="atLeast"/>
        <w:ind w:firstLine="506" w:firstLineChars="200"/>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为方便见证律师检查投标人的资格，投标人需携带以下相关资质材料参加开标会议。</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1）企业营业执照副本或三证合一的营业执照副本；</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2）资质证书副本；</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3）基本账户开户许可证；</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4）项目经理贰级及以上注册建造师（建筑工程专业，注册单位名称与投标人名称一致），有效的安全生产考核合格证书（B类）,提供企业2018年5月、6月、7月社会保险缴纳证明）;</w:t>
      </w:r>
    </w:p>
    <w:p>
      <w:pPr>
        <w:pStyle w:val="87"/>
        <w:spacing w:line="360" w:lineRule="auto"/>
        <w:ind w:firstLine="506"/>
        <w:rPr>
          <w:rFonts w:ascii="仿宋" w:hAnsi="仿宋" w:eastAsia="仿宋" w:cs="仿宋"/>
          <w:b/>
          <w:color w:val="auto"/>
          <w:szCs w:val="22"/>
          <w:highlight w:val="none"/>
        </w:rPr>
      </w:pPr>
      <w:r>
        <w:rPr>
          <w:rFonts w:hint="eastAsia" w:ascii="仿宋" w:hAnsi="仿宋" w:eastAsia="仿宋" w:cs="仿宋"/>
          <w:b/>
          <w:color w:val="auto"/>
          <w:szCs w:val="22"/>
          <w:highlight w:val="none"/>
        </w:rPr>
        <w:t>5）安全生产许可证；</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6）法人参加提供法人代表身份证或授权委托书及受委托人身份证；</w:t>
      </w:r>
    </w:p>
    <w:p>
      <w:pPr>
        <w:pStyle w:val="87"/>
        <w:spacing w:line="360" w:lineRule="auto"/>
        <w:ind w:firstLine="506"/>
        <w:rPr>
          <w:rFonts w:ascii="仿宋" w:hAnsi="仿宋" w:eastAsia="仿宋" w:cs="仿宋"/>
          <w:b/>
          <w:bCs/>
          <w:color w:val="auto"/>
          <w:highlight w:val="none"/>
        </w:rPr>
      </w:pPr>
      <w:r>
        <w:rPr>
          <w:rFonts w:hint="eastAsia" w:ascii="仿宋" w:hAnsi="仿宋" w:eastAsia="仿宋" w:cs="仿宋"/>
          <w:b/>
          <w:color w:val="auto"/>
          <w:highlight w:val="none"/>
        </w:rPr>
        <w:t>7）</w:t>
      </w:r>
      <w:r>
        <w:rPr>
          <w:rFonts w:hint="eastAsia" w:ascii="仿宋" w:hAnsi="仿宋" w:eastAsia="仿宋" w:cs="仿宋"/>
          <w:b/>
          <w:bCs/>
          <w:color w:val="auto"/>
          <w:highlight w:val="none"/>
        </w:rPr>
        <w:t>投标保证金缴纳情况复印件加盖公章；</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8）近三年内，在经营活动中没有重大违法记录的声明；</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9）评分细则里涉及到的企业业绩及企业获奖；</w:t>
      </w:r>
    </w:p>
    <w:p>
      <w:pPr>
        <w:pStyle w:val="87"/>
        <w:spacing w:line="360" w:lineRule="auto"/>
        <w:ind w:firstLine="506"/>
        <w:rPr>
          <w:rFonts w:ascii="仿宋" w:hAnsi="仿宋" w:eastAsia="仿宋" w:cs="仿宋"/>
          <w:b/>
          <w:color w:val="auto"/>
          <w:highlight w:val="none"/>
        </w:rPr>
      </w:pPr>
      <w:r>
        <w:rPr>
          <w:rFonts w:hint="eastAsia" w:ascii="仿宋" w:hAnsi="仿宋" w:eastAsia="仿宋" w:cs="仿宋"/>
          <w:b/>
          <w:color w:val="auto"/>
          <w:highlight w:val="none"/>
        </w:rPr>
        <w:t>10）投标单位认为需要提交的其他证明资料。</w:t>
      </w:r>
    </w:p>
    <w:p>
      <w:pPr>
        <w:pStyle w:val="87"/>
        <w:spacing w:line="360" w:lineRule="auto"/>
        <w:ind w:firstLine="506"/>
        <w:rPr>
          <w:rFonts w:ascii="仿宋" w:hAnsi="仿宋" w:eastAsia="仿宋" w:cs="仿宋"/>
          <w:b/>
          <w:bCs/>
          <w:color w:val="auto"/>
          <w:szCs w:val="24"/>
          <w:highlight w:val="none"/>
        </w:rPr>
      </w:pPr>
      <w:r>
        <w:rPr>
          <w:rFonts w:hint="eastAsia" w:ascii="仿宋" w:hAnsi="仿宋" w:eastAsia="仿宋" w:cs="仿宋"/>
          <w:b/>
          <w:color w:val="auto"/>
          <w:highlight w:val="none"/>
        </w:rPr>
        <w:t>以上1）-8）需开标现场提供原件及复印件加盖公章一套</w:t>
      </w:r>
      <w:r>
        <w:rPr>
          <w:rFonts w:hint="eastAsia" w:ascii="仿宋" w:hAnsi="仿宋" w:eastAsia="仿宋" w:cs="仿宋"/>
          <w:b/>
          <w:bCs/>
          <w:color w:val="auto"/>
          <w:szCs w:val="24"/>
          <w:highlight w:val="none"/>
        </w:rPr>
        <w:t>以备通过资格审查，不需要密封。</w:t>
      </w:r>
      <w:r>
        <w:rPr>
          <w:rFonts w:hint="eastAsia" w:ascii="仿宋" w:hAnsi="仿宋" w:eastAsia="仿宋" w:cs="仿宋"/>
          <w:b/>
          <w:color w:val="auto"/>
          <w:highlight w:val="none"/>
        </w:rPr>
        <w:t>以上证件经审查缺少任何一项或经审查不合格作无效报价处理。</w:t>
      </w:r>
    </w:p>
    <w:p>
      <w:pPr>
        <w:pStyle w:val="73"/>
        <w:spacing w:before="240" w:line="300" w:lineRule="auto"/>
        <w:outlineLvl w:val="1"/>
        <w:rPr>
          <w:rFonts w:ascii="仿宋" w:hAnsi="仿宋" w:eastAsia="仿宋" w:cs="仿宋"/>
          <w:color w:val="auto"/>
          <w:sz w:val="24"/>
          <w:szCs w:val="24"/>
          <w:highlight w:val="none"/>
        </w:rPr>
      </w:pPr>
      <w:bookmarkStart w:id="194" w:name="_Toc426379920"/>
      <w:bookmarkStart w:id="195" w:name="_Toc426379372"/>
      <w:bookmarkStart w:id="196" w:name="_Toc183264304"/>
      <w:r>
        <w:rPr>
          <w:rFonts w:hint="eastAsia" w:ascii="仿宋" w:hAnsi="仿宋" w:eastAsia="仿宋" w:cs="仿宋"/>
          <w:b/>
          <w:color w:val="auto"/>
          <w:sz w:val="24"/>
          <w:szCs w:val="24"/>
          <w:highlight w:val="none"/>
        </w:rPr>
        <w:t>二、评标程序</w:t>
      </w:r>
      <w:bookmarkEnd w:id="194"/>
      <w:bookmarkEnd w:id="195"/>
    </w:p>
    <w:p>
      <w:pPr>
        <w:pStyle w:val="47"/>
        <w:spacing w:line="360" w:lineRule="auto"/>
        <w:ind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1、组建磋商小组：采购人将根据本项目的特点组建磋商小组，其成员由采购人及有关方面的专家3人或以上单数组成，磋商小组负责对投标文件进行审查、澄清、评审，推荐中标候选人或经采购人授权直接确定成交供应商。</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2、选举磋商小组组长，由磋商小组组长组织评标。</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3、评标准备工作。</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4、对供应商进行资格后审、符合性鉴定，审查合格者方可进入下一步评审。</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5、技术部分评审，参照执行评分细则。</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6、商务部分评审，参照执行评分细则。</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7、整理评审结果，编制评标报告并由磋商小组全体成员签字确认后，向采购人递交评标报告。</w:t>
      </w:r>
    </w:p>
    <w:p>
      <w:pPr>
        <w:pStyle w:val="47"/>
        <w:spacing w:line="360" w:lineRule="auto"/>
        <w:ind w:firstLine="504"/>
        <w:rPr>
          <w:rFonts w:ascii="仿宋" w:hAnsi="仿宋" w:eastAsia="仿宋" w:cs="仿宋"/>
          <w:b/>
          <w:color w:val="auto"/>
          <w:szCs w:val="24"/>
          <w:highlight w:val="none"/>
        </w:rPr>
      </w:pPr>
      <w:r>
        <w:rPr>
          <w:rFonts w:hint="eastAsia" w:ascii="仿宋" w:hAnsi="仿宋" w:eastAsia="仿宋" w:cs="仿宋"/>
          <w:color w:val="auto"/>
          <w:szCs w:val="24"/>
          <w:highlight w:val="none"/>
        </w:rPr>
        <w:t>8、磋商小组解散，评标结束。</w:t>
      </w:r>
      <w:bookmarkEnd w:id="196"/>
      <w:bookmarkStart w:id="197" w:name="_Toc426379373"/>
      <w:bookmarkStart w:id="198" w:name="_Toc426379921"/>
    </w:p>
    <w:p>
      <w:pPr>
        <w:pStyle w:val="73"/>
        <w:spacing w:before="240" w:line="300" w:lineRule="auto"/>
        <w:outlineLvl w:val="1"/>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三、评标原则和评标办法</w:t>
      </w:r>
      <w:bookmarkEnd w:id="197"/>
      <w:bookmarkEnd w:id="198"/>
    </w:p>
    <w:p>
      <w:pPr>
        <w:pStyle w:val="73"/>
        <w:spacing w:beforeLines="50" w:line="500" w:lineRule="exact"/>
        <w:ind w:firstLine="501" w:firstLineChars="199"/>
        <w:jc w:val="both"/>
        <w:rPr>
          <w:rFonts w:ascii="仿宋" w:hAnsi="仿宋" w:eastAsia="仿宋" w:cs="仿宋"/>
          <w:color w:val="auto"/>
          <w:sz w:val="24"/>
          <w:szCs w:val="24"/>
          <w:highlight w:val="none"/>
        </w:rPr>
      </w:pPr>
      <w:bookmarkStart w:id="199" w:name="_Toc426379922"/>
      <w:r>
        <w:rPr>
          <w:rFonts w:hint="eastAsia" w:ascii="仿宋" w:hAnsi="仿宋" w:eastAsia="仿宋" w:cs="仿宋"/>
          <w:color w:val="auto"/>
          <w:sz w:val="24"/>
          <w:szCs w:val="24"/>
          <w:highlight w:val="none"/>
        </w:rPr>
        <w:t>（一）</w:t>
      </w:r>
      <w:r>
        <w:rPr>
          <w:rFonts w:hint="eastAsia" w:ascii="仿宋" w:hAnsi="仿宋" w:eastAsia="仿宋" w:cs="仿宋"/>
          <w:b/>
          <w:color w:val="auto"/>
          <w:sz w:val="24"/>
          <w:szCs w:val="24"/>
          <w:highlight w:val="none"/>
        </w:rPr>
        <w:t>评标原则</w:t>
      </w:r>
      <w:bookmarkEnd w:id="199"/>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“公平、公正、择优、效益”为本次评标的基本原则，磋商小组按照这一原则的要求，公正、平等地对待各供应商。同时，在评标过程中恪守以下原则：</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1.客观性原则：磋商小组将严格按照采购文件的要求，对供应商的投标文件进行认真评审；磋商小组对投标文件的评审仅依据投标文件本身，而不依据投标文件以外的任何因素。</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2.统一性原则：磋商小组将按照统一的评标原则和评标方法，用同一标准进行评标。</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3.独立性原则：评标工作在磋商小组内部独立进行，不受外界任何因素的干扰和影响。评委对出具的评标意见承担个人责任。</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4.保密性原则：采购代理机构应当采取必要的措施，保证评标在严格保密的情况下进行。</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5.综合性原则：磋商小组将综合分析、评审投标人的各项指标，而不以单项指标的优劣评定出中标候选人或成交供应商。</w:t>
      </w:r>
    </w:p>
    <w:p>
      <w:pPr>
        <w:pStyle w:val="73"/>
        <w:spacing w:beforeLines="50" w:line="500" w:lineRule="exact"/>
        <w:ind w:firstLine="501" w:firstLineChars="199"/>
        <w:jc w:val="both"/>
        <w:rPr>
          <w:rFonts w:ascii="仿宋" w:hAnsi="仿宋" w:eastAsia="仿宋" w:cs="仿宋"/>
          <w:color w:val="auto"/>
          <w:sz w:val="24"/>
          <w:szCs w:val="24"/>
          <w:highlight w:val="none"/>
        </w:rPr>
      </w:pPr>
      <w:bookmarkStart w:id="200" w:name="_Toc426379923"/>
      <w:r>
        <w:rPr>
          <w:rFonts w:hint="eastAsia" w:ascii="仿宋" w:hAnsi="仿宋" w:eastAsia="仿宋" w:cs="仿宋"/>
          <w:color w:val="auto"/>
          <w:sz w:val="24"/>
          <w:szCs w:val="24"/>
          <w:highlight w:val="none"/>
        </w:rPr>
        <w:t>（二）</w:t>
      </w:r>
      <w:r>
        <w:rPr>
          <w:rFonts w:hint="eastAsia" w:ascii="仿宋" w:hAnsi="仿宋" w:eastAsia="仿宋" w:cs="仿宋"/>
          <w:b/>
          <w:color w:val="auto"/>
          <w:sz w:val="24"/>
          <w:szCs w:val="24"/>
          <w:highlight w:val="none"/>
        </w:rPr>
        <w:t>评标办法</w:t>
      </w:r>
      <w:bookmarkEnd w:id="200"/>
    </w:p>
    <w:p>
      <w:pPr>
        <w:pStyle w:val="47"/>
        <w:spacing w:line="360" w:lineRule="auto"/>
        <w:ind w:firstLine="504"/>
        <w:rPr>
          <w:rFonts w:ascii="仿宋" w:hAnsi="仿宋" w:eastAsia="仿宋" w:cs="仿宋"/>
          <w:color w:val="auto"/>
          <w:szCs w:val="24"/>
          <w:highlight w:val="none"/>
        </w:rPr>
      </w:pP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本次评标采用综合评分法，磋商小组成员根据采购文件中确定的评分办法综合评定各供应商提交的投标文件，磋商小组成员打分取算术平均值计算综合总得分，按照得分由高到低排序，择优选取壹名中标人。</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1.初步评审</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（1）磋商小组审查投标人是否符合资格后审要求。</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（2）磋商小组将确定每一投标人是否对采购文件的要求做出了实质性的响应，而没有重大偏离。实质性响应的投标是指投标符合采购文件的所有条款、条件和规定且没有重大偏离或保留。</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（3）磋商小组允许投标人修改投标文件中不构成重大偏离的、微小的、非正规、不一致或不规则的地方。但是修改的内容不能改变投标文件的实质性内容，投标人修改的内容以书面文件为准。</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（4）磋商小组将拒绝被确定为非实质性响应的投标文件，投标人不能通过修正或撤销投标文件中的不符之处而使其投标成为实质性响应的投标。</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5）磋商小组对各投标人的投标报价进行评审。磋商小组发现投标人的报价均超过采购预算的，磋商小组有权否决所有投标；磋商小组发现投标人的报价明显低于其他投标报价，使其投标报价可能低于其个别成本的，应当要求该投标人作出书面说明并提供相关证明材料，投标人不能合理说明或者不能提供相关证明材料，由磋商小组认定该投标人以低于成本报价竞标，其投标作为废标处理。</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（6）磋商小组通过上述评审，确定入围供应商名单，只有成为入围投标人，才能进入综合评分阶段。</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2.综合评分</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为有助于对投标文件进行审查、评估和比较，磋商小组有权向投标人询问。投标人有义务以书面形式对其投标文件中含义不明确的内容进行澄清和说明，但澄清和说明的内容不得超出投标文件的范围或改变投标文件的实质性内容。投标人澄清和说明的内容构成投标文件的组成部分。</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（2）磋商小组根据评分办法（附后）对入围投标人进行综合评分，按照评标得分由评标总得分最高的供应商做为中标人。</w:t>
      </w:r>
    </w:p>
    <w:p>
      <w:pPr>
        <w:pStyle w:val="73"/>
        <w:spacing w:before="240" w:line="300" w:lineRule="auto"/>
        <w:outlineLvl w:val="1"/>
        <w:rPr>
          <w:rFonts w:ascii="仿宋" w:hAnsi="仿宋" w:eastAsia="仿宋" w:cs="仿宋"/>
          <w:color w:val="auto"/>
          <w:sz w:val="24"/>
          <w:szCs w:val="24"/>
          <w:highlight w:val="none"/>
        </w:rPr>
      </w:pPr>
      <w:bookmarkStart w:id="201" w:name="_Toc426379374"/>
      <w:bookmarkStart w:id="202" w:name="_Toc426379924"/>
      <w:r>
        <w:rPr>
          <w:rFonts w:hint="eastAsia" w:ascii="仿宋" w:hAnsi="仿宋" w:eastAsia="仿宋" w:cs="仿宋"/>
          <w:b/>
          <w:color w:val="auto"/>
          <w:sz w:val="24"/>
          <w:szCs w:val="24"/>
          <w:highlight w:val="none"/>
        </w:rPr>
        <w:t>四、评标纪律</w:t>
      </w:r>
      <w:bookmarkEnd w:id="201"/>
      <w:bookmarkEnd w:id="202"/>
    </w:p>
    <w:p>
      <w:pPr>
        <w:pStyle w:val="47"/>
        <w:spacing w:line="360" w:lineRule="auto"/>
        <w:ind w:firstLine="504"/>
        <w:rPr>
          <w:rFonts w:ascii="仿宋" w:hAnsi="仿宋" w:eastAsia="仿宋" w:cs="仿宋"/>
          <w:color w:val="auto"/>
          <w:szCs w:val="24"/>
          <w:highlight w:val="none"/>
        </w:rPr>
      </w:pP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1.评标是招标工作的重要环节，评标工作在磋商小组内独立进行。磋商小组将按照评标原则的要求，公正、平等地对待所有供应商。</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2.所有磋商小组成员应忠于职守、廉洁自律、秉公办事、不徇私情。</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3.投标文件的审查、澄清、评价和比较以及授予合同的过程中，投标人对采购人、采购代理机构以及磋商小组其他成员施加影响的任何行为，都将导致被取消投标中标资格。</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4.为保证评标的公正性，在评标过程中，磋商小组成员不得与任何投标人或与评标结果有利害关系的人员进行私下接触。在评标工作结束后，凡与评标情况有接触的任何人，不得将评标情况对外扩散。</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5.评标过程中，当发表结论性意见时，先听取专家评委意见，采购人代表随后发表意见。</w:t>
      </w: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6.磋商小组成员应当客观、公正地履行职责，遵守职业道德，对所提出的评标意见承担个人责任。</w:t>
      </w:r>
    </w:p>
    <w:p>
      <w:pPr>
        <w:pStyle w:val="47"/>
        <w:spacing w:line="360" w:lineRule="auto"/>
        <w:ind w:firstLine="504"/>
        <w:rPr>
          <w:rFonts w:ascii="仿宋" w:hAnsi="仿宋" w:eastAsia="仿宋" w:cs="仿宋"/>
          <w:b/>
          <w:color w:val="auto"/>
          <w:szCs w:val="24"/>
          <w:highlight w:val="none"/>
        </w:rPr>
      </w:pPr>
      <w:r>
        <w:rPr>
          <w:rFonts w:hint="eastAsia" w:ascii="仿宋" w:hAnsi="仿宋" w:eastAsia="仿宋" w:cs="仿宋"/>
          <w:color w:val="auto"/>
          <w:szCs w:val="24"/>
          <w:highlight w:val="none"/>
        </w:rPr>
        <w:t>7.在评标期间，投标人不得向磋商小组成员询问评标情况，不得进行旨在影响评标结果的任何活动。投标人有企图影响评标结果的任何活动，可能导致评标失败。如有违法行为，将依法追究其法律责任。</w:t>
      </w:r>
      <w:bookmarkStart w:id="203" w:name="_Toc426379925"/>
      <w:bookmarkStart w:id="204" w:name="_Toc426379375"/>
    </w:p>
    <w:p>
      <w:pPr>
        <w:pStyle w:val="73"/>
        <w:spacing w:before="240" w:line="300" w:lineRule="auto"/>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五、定标</w:t>
      </w:r>
      <w:bookmarkEnd w:id="203"/>
      <w:bookmarkEnd w:id="204"/>
    </w:p>
    <w:p>
      <w:pPr>
        <w:pStyle w:val="47"/>
        <w:spacing w:line="360" w:lineRule="auto"/>
        <w:ind w:firstLine="504"/>
        <w:rPr>
          <w:rFonts w:ascii="仿宋" w:hAnsi="仿宋" w:eastAsia="仿宋" w:cs="仿宋"/>
          <w:color w:val="auto"/>
          <w:szCs w:val="24"/>
          <w:highlight w:val="none"/>
        </w:rPr>
      </w:pP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本项目按照评标得分经采购人授权直接确定得分最高的报价人作为中标。</w:t>
      </w:r>
    </w:p>
    <w:p>
      <w:pPr>
        <w:pStyle w:val="73"/>
        <w:spacing w:before="240" w:line="300" w:lineRule="auto"/>
        <w:outlineLvl w:val="1"/>
        <w:rPr>
          <w:rFonts w:ascii="仿宋" w:hAnsi="仿宋" w:eastAsia="仿宋" w:cs="仿宋"/>
          <w:color w:val="auto"/>
          <w:sz w:val="24"/>
          <w:szCs w:val="24"/>
          <w:highlight w:val="none"/>
        </w:rPr>
      </w:pPr>
      <w:bookmarkStart w:id="205" w:name="_Toc426379376"/>
      <w:bookmarkStart w:id="206" w:name="_Toc426379926"/>
      <w:r>
        <w:rPr>
          <w:rFonts w:hint="eastAsia" w:ascii="仿宋" w:hAnsi="仿宋" w:eastAsia="仿宋" w:cs="仿宋"/>
          <w:b/>
          <w:color w:val="auto"/>
          <w:sz w:val="24"/>
          <w:szCs w:val="24"/>
          <w:highlight w:val="none"/>
        </w:rPr>
        <w:t>六、中标通知书</w:t>
      </w:r>
      <w:bookmarkEnd w:id="205"/>
      <w:bookmarkEnd w:id="206"/>
    </w:p>
    <w:p>
      <w:pPr>
        <w:pStyle w:val="47"/>
        <w:spacing w:line="360" w:lineRule="auto"/>
        <w:ind w:firstLine="504"/>
        <w:rPr>
          <w:rFonts w:ascii="仿宋" w:hAnsi="仿宋" w:eastAsia="仿宋" w:cs="仿宋"/>
          <w:color w:val="auto"/>
          <w:szCs w:val="24"/>
          <w:highlight w:val="none"/>
        </w:rPr>
      </w:pP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确定中标结果后，在投标有效期内，采购代理机构向中标人签发《中标通知书》。对未中标者，采购人不对未中标原因做出解释，同时亦不退还投标文件。</w:t>
      </w:r>
    </w:p>
    <w:p>
      <w:pPr>
        <w:pStyle w:val="73"/>
        <w:spacing w:before="240" w:line="300" w:lineRule="auto"/>
        <w:outlineLvl w:val="1"/>
        <w:rPr>
          <w:rFonts w:ascii="仿宋" w:hAnsi="仿宋" w:eastAsia="仿宋" w:cs="仿宋"/>
          <w:color w:val="auto"/>
          <w:sz w:val="24"/>
          <w:szCs w:val="24"/>
          <w:highlight w:val="none"/>
        </w:rPr>
      </w:pPr>
      <w:bookmarkStart w:id="207" w:name="_Toc426379377"/>
      <w:bookmarkStart w:id="208" w:name="_Toc426379927"/>
      <w:r>
        <w:rPr>
          <w:rFonts w:hint="eastAsia" w:ascii="仿宋" w:hAnsi="仿宋" w:eastAsia="仿宋" w:cs="仿宋"/>
          <w:b/>
          <w:color w:val="auto"/>
          <w:sz w:val="24"/>
          <w:szCs w:val="24"/>
          <w:highlight w:val="none"/>
        </w:rPr>
        <w:t>七、授予合同</w:t>
      </w:r>
      <w:bookmarkEnd w:id="207"/>
      <w:bookmarkEnd w:id="208"/>
    </w:p>
    <w:p>
      <w:pPr>
        <w:pStyle w:val="47"/>
        <w:spacing w:line="360" w:lineRule="auto"/>
        <w:ind w:firstLine="504"/>
        <w:rPr>
          <w:rFonts w:ascii="仿宋" w:hAnsi="仿宋" w:eastAsia="仿宋" w:cs="仿宋"/>
          <w:color w:val="auto"/>
          <w:szCs w:val="24"/>
          <w:highlight w:val="none"/>
        </w:rPr>
      </w:pPr>
    </w:p>
    <w:p>
      <w:pPr>
        <w:pStyle w:val="47"/>
        <w:spacing w:line="360" w:lineRule="auto"/>
        <w:ind w:firstLine="504"/>
        <w:rPr>
          <w:rFonts w:ascii="仿宋" w:hAnsi="仿宋" w:eastAsia="仿宋" w:cs="仿宋"/>
          <w:color w:val="auto"/>
          <w:szCs w:val="24"/>
          <w:highlight w:val="none"/>
        </w:rPr>
      </w:pPr>
      <w:r>
        <w:rPr>
          <w:rFonts w:hint="eastAsia" w:ascii="仿宋" w:hAnsi="仿宋" w:eastAsia="仿宋" w:cs="仿宋"/>
          <w:color w:val="auto"/>
          <w:szCs w:val="24"/>
          <w:highlight w:val="none"/>
        </w:rPr>
        <w:t>《中标通知书》发出后30日内，采购人与中标人签订合同。采购文件、中标人的投标文件以及评标过程中的有关澄清、承诺文件均为合同的组成部分。</w:t>
      </w:r>
      <w:bookmarkStart w:id="209" w:name="_Toc12191"/>
      <w:bookmarkStart w:id="210" w:name="_Toc26522"/>
      <w:bookmarkStart w:id="211" w:name="_Toc7243"/>
      <w:bookmarkStart w:id="212" w:name="_Toc17983"/>
      <w:bookmarkStart w:id="213" w:name="_Toc7155"/>
      <w:bookmarkStart w:id="214" w:name="_Toc23427"/>
      <w:bookmarkStart w:id="215" w:name="_Toc378"/>
      <w:bookmarkStart w:id="216" w:name="_Toc8768"/>
      <w:bookmarkStart w:id="217" w:name="_Toc19869"/>
      <w:bookmarkStart w:id="218" w:name="_Toc12812"/>
      <w:bookmarkStart w:id="219" w:name="_Toc15877"/>
    </w:p>
    <w:p>
      <w:pPr>
        <w:pStyle w:val="47"/>
        <w:spacing w:line="360" w:lineRule="auto"/>
        <w:ind w:firstLine="504"/>
        <w:rPr>
          <w:rFonts w:ascii="仿宋" w:hAnsi="仿宋" w:eastAsia="仿宋" w:cs="仿宋"/>
          <w:color w:val="auto"/>
          <w:szCs w:val="24"/>
          <w:highlight w:val="none"/>
        </w:rPr>
      </w:pPr>
    </w:p>
    <w:p>
      <w:pPr>
        <w:pStyle w:val="47"/>
        <w:spacing w:line="360" w:lineRule="auto"/>
        <w:ind w:firstLine="0" w:firstLineChars="0"/>
        <w:rPr>
          <w:rFonts w:ascii="仿宋" w:hAnsi="仿宋" w:eastAsia="仿宋" w:cs="仿宋"/>
          <w:color w:val="auto"/>
          <w:szCs w:val="24"/>
          <w:highlight w:val="none"/>
        </w:rPr>
      </w:pPr>
    </w:p>
    <w:p>
      <w:pPr>
        <w:pStyle w:val="2"/>
        <w:jc w:val="center"/>
        <w:rPr>
          <w:rFonts w:ascii="仿宋" w:hAnsi="仿宋" w:eastAsia="仿宋" w:cs="仿宋"/>
          <w:color w:val="auto"/>
          <w:highlight w:val="none"/>
        </w:rPr>
      </w:pPr>
      <w:bookmarkStart w:id="220" w:name="_Toc5426"/>
      <w:r>
        <w:rPr>
          <w:rFonts w:hint="eastAsia" w:ascii="仿宋" w:hAnsi="仿宋" w:eastAsia="仿宋" w:cs="仿宋"/>
          <w:color w:val="auto"/>
          <w:highlight w:val="none"/>
        </w:rPr>
        <w:t>第五部分  合同格式</w:t>
      </w:r>
      <w:bookmarkEnd w:id="182"/>
      <w:bookmarkEnd w:id="209"/>
      <w:bookmarkEnd w:id="210"/>
      <w:bookmarkEnd w:id="211"/>
      <w:bookmarkEnd w:id="212"/>
      <w:bookmarkEnd w:id="213"/>
      <w:bookmarkEnd w:id="214"/>
      <w:bookmarkEnd w:id="215"/>
      <w:bookmarkEnd w:id="216"/>
      <w:bookmarkEnd w:id="217"/>
      <w:bookmarkEnd w:id="218"/>
      <w:bookmarkEnd w:id="219"/>
      <w:bookmarkEnd w:id="220"/>
    </w:p>
    <w:p>
      <w:pPr>
        <w:pStyle w:val="61"/>
        <w:spacing w:afterLines="50" w:line="500" w:lineRule="atLeast"/>
        <w:rPr>
          <w:rFonts w:ascii="仿宋" w:hAnsi="仿宋" w:eastAsia="仿宋" w:cs="仿宋"/>
          <w:color w:val="auto"/>
          <w:sz w:val="24"/>
          <w:szCs w:val="24"/>
          <w:highlight w:val="none"/>
        </w:rPr>
      </w:pPr>
      <w:bookmarkStart w:id="221" w:name="_Toc2339"/>
      <w:r>
        <w:rPr>
          <w:rFonts w:hint="eastAsia" w:ascii="仿宋" w:hAnsi="仿宋" w:eastAsia="仿宋" w:cs="仿宋"/>
          <w:b/>
          <w:color w:val="auto"/>
          <w:sz w:val="24"/>
          <w:szCs w:val="24"/>
          <w:highlight w:val="none"/>
        </w:rPr>
        <w:t>（合同参考样本）</w:t>
      </w:r>
      <w:bookmarkEnd w:id="221"/>
    </w:p>
    <w:p>
      <w:pPr>
        <w:spacing w:afterLines="50" w:line="500" w:lineRule="atLeast"/>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napToGrid w:val="0"/>
        <w:spacing w:line="500" w:lineRule="atLeast"/>
        <w:rPr>
          <w:rFonts w:ascii="仿宋" w:hAnsi="仿宋" w:eastAsia="仿宋" w:cs="仿宋"/>
          <w:b/>
          <w:color w:val="auto"/>
          <w:sz w:val="30"/>
          <w:szCs w:val="30"/>
          <w:highlight w:val="none"/>
        </w:rPr>
      </w:pPr>
    </w:p>
    <w:p>
      <w:pPr>
        <w:snapToGrid w:val="0"/>
        <w:spacing w:line="500" w:lineRule="atLeast"/>
        <w:rPr>
          <w:rFonts w:ascii="仿宋" w:hAnsi="仿宋" w:eastAsia="仿宋" w:cs="仿宋"/>
          <w:b/>
          <w:color w:val="auto"/>
          <w:sz w:val="30"/>
          <w:szCs w:val="30"/>
          <w:highlight w:val="none"/>
        </w:rPr>
      </w:pPr>
    </w:p>
    <w:p>
      <w:pPr>
        <w:snapToGrid w:val="0"/>
        <w:spacing w:line="500" w:lineRule="atLeas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资金编号：</w:t>
      </w:r>
    </w:p>
    <w:p>
      <w:pPr>
        <w:snapToGrid w:val="0"/>
        <w:spacing w:line="500" w:lineRule="atLeast"/>
        <w:rPr>
          <w:rFonts w:ascii="仿宋" w:hAnsi="仿宋" w:eastAsia="仿宋" w:cs="仿宋"/>
          <w:b/>
          <w:color w:val="auto"/>
          <w:sz w:val="36"/>
          <w:highlight w:val="none"/>
        </w:rPr>
      </w:pPr>
    </w:p>
    <w:p>
      <w:pPr>
        <w:snapToGrid w:val="0"/>
        <w:spacing w:line="500" w:lineRule="atLeast"/>
        <w:rPr>
          <w:rFonts w:ascii="仿宋" w:hAnsi="仿宋" w:eastAsia="仿宋" w:cs="仿宋"/>
          <w:b/>
          <w:color w:val="auto"/>
          <w:sz w:val="36"/>
          <w:highlight w:val="none"/>
        </w:rPr>
      </w:pPr>
    </w:p>
    <w:p>
      <w:pPr>
        <w:snapToGrid w:val="0"/>
        <w:spacing w:line="500" w:lineRule="atLeast"/>
        <w:jc w:val="center"/>
        <w:rPr>
          <w:rFonts w:ascii="仿宋" w:hAnsi="仿宋" w:eastAsia="仿宋" w:cs="仿宋"/>
          <w:b/>
          <w:color w:val="auto"/>
          <w:sz w:val="30"/>
          <w:highlight w:val="none"/>
        </w:rPr>
      </w:pPr>
      <w:r>
        <w:rPr>
          <w:rFonts w:hint="eastAsia" w:ascii="仿宋" w:hAnsi="仿宋" w:eastAsia="仿宋" w:cs="仿宋"/>
          <w:b/>
          <w:bCs/>
          <w:color w:val="auto"/>
          <w:sz w:val="84"/>
          <w:szCs w:val="84"/>
          <w:highlight w:val="none"/>
        </w:rPr>
        <w:t>合同文本</w:t>
      </w:r>
    </w:p>
    <w:p>
      <w:pPr>
        <w:snapToGrid w:val="0"/>
        <w:spacing w:line="500" w:lineRule="atLeast"/>
        <w:jc w:val="center"/>
        <w:rPr>
          <w:rFonts w:ascii="仿宋" w:hAnsi="仿宋" w:eastAsia="仿宋" w:cs="仿宋"/>
          <w:b/>
          <w:color w:val="auto"/>
          <w:sz w:val="30"/>
          <w:highlight w:val="none"/>
        </w:rPr>
      </w:pPr>
    </w:p>
    <w:p>
      <w:pPr>
        <w:snapToGrid w:val="0"/>
        <w:spacing w:line="500" w:lineRule="atLeast"/>
        <w:jc w:val="both"/>
        <w:rPr>
          <w:rFonts w:ascii="仿宋" w:hAnsi="仿宋" w:eastAsia="仿宋" w:cs="仿宋"/>
          <w:b/>
          <w:color w:val="auto"/>
          <w:sz w:val="30"/>
          <w:highlight w:val="none"/>
        </w:rPr>
      </w:pPr>
    </w:p>
    <w:p>
      <w:pPr>
        <w:snapToGrid w:val="0"/>
        <w:spacing w:line="500" w:lineRule="atLeast"/>
        <w:jc w:val="both"/>
        <w:rPr>
          <w:rFonts w:ascii="仿宋" w:hAnsi="仿宋" w:eastAsia="仿宋" w:cs="仿宋"/>
          <w:b/>
          <w:color w:val="auto"/>
          <w:sz w:val="30"/>
          <w:highlight w:val="none"/>
        </w:rPr>
      </w:pPr>
    </w:p>
    <w:p>
      <w:pPr>
        <w:tabs>
          <w:tab w:val="left" w:pos="7360"/>
        </w:tabs>
        <w:snapToGrid w:val="0"/>
        <w:spacing w:line="500" w:lineRule="atLeast"/>
        <w:rPr>
          <w:rFonts w:ascii="仿宋" w:hAnsi="仿宋" w:eastAsia="仿宋" w:cs="仿宋"/>
          <w:b/>
          <w:color w:val="auto"/>
          <w:sz w:val="36"/>
          <w:highlight w:val="none"/>
        </w:rPr>
      </w:pPr>
      <w:r>
        <w:rPr>
          <w:rFonts w:hint="eastAsia" w:ascii="仿宋" w:hAnsi="仿宋" w:eastAsia="仿宋" w:cs="仿宋"/>
          <w:b/>
          <w:color w:val="auto"/>
          <w:sz w:val="36"/>
          <w:highlight w:val="none"/>
        </w:rPr>
        <w:tab/>
      </w:r>
    </w:p>
    <w:p>
      <w:pPr>
        <w:snapToGrid w:val="0"/>
        <w:spacing w:line="500" w:lineRule="atLeast"/>
        <w:ind w:firstLine="1796" w:firstLineChars="497"/>
        <w:rPr>
          <w:rFonts w:ascii="仿宋" w:hAnsi="仿宋" w:eastAsia="仿宋" w:cs="仿宋"/>
          <w:b/>
          <w:color w:val="auto"/>
          <w:sz w:val="36"/>
          <w:highlight w:val="none"/>
        </w:rPr>
      </w:pPr>
    </w:p>
    <w:p>
      <w:pPr>
        <w:snapToGrid w:val="0"/>
        <w:spacing w:line="500" w:lineRule="atLeast"/>
        <w:ind w:firstLine="1796" w:firstLineChars="497"/>
        <w:rPr>
          <w:rFonts w:ascii="仿宋" w:hAnsi="仿宋" w:eastAsia="仿宋" w:cs="仿宋"/>
          <w:b/>
          <w:color w:val="auto"/>
          <w:sz w:val="36"/>
          <w:highlight w:val="none"/>
        </w:rPr>
      </w:pPr>
      <w:r>
        <w:rPr>
          <w:rFonts w:hint="eastAsia" w:ascii="仿宋" w:hAnsi="仿宋" w:eastAsia="仿宋" w:cs="仿宋"/>
          <w:b/>
          <w:color w:val="auto"/>
          <w:sz w:val="36"/>
          <w:highlight w:val="none"/>
        </w:rPr>
        <w:t>项目名称:</w:t>
      </w:r>
      <w:r>
        <w:rPr>
          <w:rFonts w:hint="eastAsia" w:ascii="仿宋" w:hAnsi="仿宋" w:eastAsia="仿宋" w:cs="仿宋"/>
          <w:b/>
          <w:color w:val="auto"/>
          <w:sz w:val="36"/>
          <w:highlight w:val="none"/>
          <w:u w:val="single"/>
        </w:rPr>
        <w:t xml:space="preserve">                    </w:t>
      </w:r>
    </w:p>
    <w:p>
      <w:pPr>
        <w:snapToGrid w:val="0"/>
        <w:spacing w:beforeLines="100" w:line="500" w:lineRule="atLeast"/>
        <w:ind w:firstLine="1796" w:firstLineChars="497"/>
        <w:rPr>
          <w:rFonts w:ascii="仿宋" w:hAnsi="仿宋" w:eastAsia="仿宋" w:cs="仿宋"/>
          <w:b/>
          <w:color w:val="auto"/>
          <w:sz w:val="36"/>
          <w:highlight w:val="none"/>
          <w:u w:val="single"/>
        </w:rPr>
      </w:pPr>
      <w:r>
        <w:rPr>
          <w:rFonts w:hint="eastAsia" w:ascii="仿宋" w:hAnsi="仿宋" w:eastAsia="仿宋" w:cs="仿宋"/>
          <w:b/>
          <w:color w:val="auto"/>
          <w:sz w:val="36"/>
          <w:highlight w:val="none"/>
        </w:rPr>
        <w:t>项目编号:</w:t>
      </w:r>
      <w:r>
        <w:rPr>
          <w:rFonts w:hint="eastAsia" w:ascii="仿宋" w:hAnsi="仿宋" w:eastAsia="仿宋" w:cs="仿宋"/>
          <w:b/>
          <w:color w:val="auto"/>
          <w:sz w:val="36"/>
          <w:highlight w:val="none"/>
          <w:u w:val="single"/>
        </w:rPr>
        <w:t xml:space="preserve">                    </w:t>
      </w:r>
    </w:p>
    <w:p>
      <w:pPr>
        <w:snapToGrid w:val="0"/>
        <w:spacing w:line="500" w:lineRule="atLeast"/>
        <w:jc w:val="center"/>
        <w:rPr>
          <w:rFonts w:ascii="仿宋" w:hAnsi="仿宋" w:eastAsia="仿宋" w:cs="仿宋"/>
          <w:b/>
          <w:color w:val="auto"/>
          <w:sz w:val="36"/>
          <w:highlight w:val="none"/>
        </w:rPr>
      </w:pPr>
    </w:p>
    <w:p>
      <w:pPr>
        <w:snapToGrid w:val="0"/>
        <w:spacing w:line="500" w:lineRule="atLeast"/>
        <w:jc w:val="both"/>
        <w:rPr>
          <w:rFonts w:ascii="仿宋" w:hAnsi="仿宋" w:eastAsia="仿宋" w:cs="仿宋"/>
          <w:b/>
          <w:color w:val="auto"/>
          <w:sz w:val="36"/>
          <w:highlight w:val="none"/>
        </w:rPr>
      </w:pPr>
    </w:p>
    <w:p>
      <w:pPr>
        <w:snapToGrid w:val="0"/>
        <w:spacing w:line="500" w:lineRule="atLeast"/>
        <w:jc w:val="both"/>
        <w:rPr>
          <w:rFonts w:ascii="仿宋" w:hAnsi="仿宋" w:eastAsia="仿宋" w:cs="仿宋"/>
          <w:b/>
          <w:color w:val="auto"/>
          <w:sz w:val="36"/>
          <w:highlight w:val="none"/>
        </w:rPr>
      </w:pPr>
    </w:p>
    <w:p>
      <w:pPr>
        <w:snapToGrid w:val="0"/>
        <w:spacing w:line="500" w:lineRule="atLeast"/>
        <w:ind w:firstLine="1606" w:firstLineChars="5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甲        方:</w:t>
      </w:r>
      <w:r>
        <w:rPr>
          <w:rFonts w:hint="eastAsia" w:ascii="仿宋" w:hAnsi="仿宋" w:eastAsia="仿宋" w:cs="仿宋"/>
          <w:b/>
          <w:color w:val="auto"/>
          <w:sz w:val="32"/>
          <w:szCs w:val="32"/>
          <w:highlight w:val="none"/>
          <w:u w:val="single"/>
        </w:rPr>
        <w:t xml:space="preserve">                        </w:t>
      </w:r>
    </w:p>
    <w:p>
      <w:pPr>
        <w:snapToGrid w:val="0"/>
        <w:spacing w:beforeLines="100" w:line="500" w:lineRule="atLeast"/>
        <w:ind w:firstLine="1606" w:firstLineChars="500"/>
        <w:rPr>
          <w:rFonts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乙        方:</w:t>
      </w:r>
      <w:r>
        <w:rPr>
          <w:rFonts w:hint="eastAsia" w:ascii="仿宋" w:hAnsi="仿宋" w:eastAsia="仿宋" w:cs="仿宋"/>
          <w:b/>
          <w:color w:val="auto"/>
          <w:sz w:val="32"/>
          <w:szCs w:val="32"/>
          <w:highlight w:val="none"/>
          <w:u w:val="single"/>
        </w:rPr>
        <w:t xml:space="preserve">                        </w:t>
      </w:r>
    </w:p>
    <w:p>
      <w:pPr>
        <w:snapToGrid w:val="0"/>
        <w:spacing w:beforeLines="100" w:line="500" w:lineRule="atLeast"/>
        <w:ind w:firstLine="1606" w:firstLineChars="500"/>
        <w:rPr>
          <w:rFonts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代理机构名称：</w:t>
      </w:r>
      <w:r>
        <w:rPr>
          <w:rFonts w:hint="eastAsia" w:ascii="仿宋" w:hAnsi="仿宋" w:eastAsia="仿宋" w:cs="仿宋"/>
          <w:b/>
          <w:color w:val="auto"/>
          <w:sz w:val="32"/>
          <w:szCs w:val="32"/>
          <w:highlight w:val="none"/>
          <w:u w:val="single"/>
        </w:rPr>
        <w:t xml:space="preserve">                       </w:t>
      </w:r>
    </w:p>
    <w:p>
      <w:pPr>
        <w:snapToGrid w:val="0"/>
        <w:spacing w:beforeLines="100" w:line="500" w:lineRule="atLeast"/>
        <w:rPr>
          <w:rFonts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 xml:space="preserve">          合同生成日期：</w:t>
      </w:r>
      <w:r>
        <w:rPr>
          <w:rFonts w:hint="eastAsia" w:ascii="仿宋" w:hAnsi="仿宋" w:eastAsia="仿宋" w:cs="仿宋"/>
          <w:b/>
          <w:color w:val="auto"/>
          <w:sz w:val="32"/>
          <w:szCs w:val="32"/>
          <w:highlight w:val="none"/>
          <w:u w:val="single"/>
        </w:rPr>
        <w:t xml:space="preserve">                       </w:t>
      </w:r>
    </w:p>
    <w:p>
      <w:pPr>
        <w:adjustRightInd w:val="0"/>
        <w:snapToGrid w:val="0"/>
        <w:spacing w:line="500" w:lineRule="atLeast"/>
        <w:ind w:firstLine="960" w:firstLineChars="400"/>
        <w:rPr>
          <w:rFonts w:ascii="仿宋" w:hAnsi="仿宋" w:eastAsia="仿宋" w:cs="仿宋"/>
          <w:b/>
          <w:color w:val="auto"/>
          <w:sz w:val="36"/>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（甲方）所需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(工程名称)经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代理机构名称）以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磋商文件在国内以竞争性磋商方式进行采购。经评审小组确定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乙方）为成交投标人。甲、乙双方根据《中华人民共和国合同法》、《中华人民共和国政府招投标法》和其他法律、法规的规定，并按照公正、平等、自愿、诚实信用的原则，同意按照以下条款和条件，签署本合同。</w:t>
      </w:r>
    </w:p>
    <w:p>
      <w:pPr>
        <w:adjustRightInd w:val="0"/>
        <w:snapToGrid w:val="0"/>
        <w:spacing w:line="500" w:lineRule="atLeas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一、本合同由合同文本和下列文件组成</w:t>
      </w:r>
    </w:p>
    <w:p>
      <w:pPr>
        <w:adjustRightInd w:val="0"/>
        <w:snapToGri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1、磋商文件</w:t>
      </w:r>
    </w:p>
    <w:p>
      <w:pPr>
        <w:adjustRightInd w:val="0"/>
        <w:snapToGri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2、成交投标人报价文件</w:t>
      </w:r>
    </w:p>
    <w:p>
      <w:pPr>
        <w:adjustRightInd w:val="0"/>
        <w:snapToGri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3、成交投标人在磋商过程中做出的有关澄清、说明或者补正文件</w:t>
      </w:r>
    </w:p>
    <w:p>
      <w:pPr>
        <w:adjustRightInd w:val="0"/>
        <w:snapToGri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4、本合同附件</w:t>
      </w:r>
    </w:p>
    <w:p>
      <w:pPr>
        <w:snapToGrid w:val="0"/>
        <w:spacing w:line="500" w:lineRule="atLeast"/>
        <w:ind w:left="378" w:leftChars="189"/>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二、项目的名称、内容</w:t>
      </w:r>
      <w:r>
        <w:rPr>
          <w:rFonts w:hint="eastAsia" w:ascii="仿宋" w:hAnsi="仿宋" w:eastAsia="仿宋" w:cs="仿宋"/>
          <w:color w:val="auto"/>
          <w:sz w:val="24"/>
          <w:szCs w:val="24"/>
          <w:highlight w:val="none"/>
        </w:rPr>
        <w:t>_____________________________________________________________</w:t>
      </w:r>
    </w:p>
    <w:p>
      <w:pPr>
        <w:snapToGrid w:val="0"/>
        <w:spacing w:line="500" w:lineRule="atLeast"/>
        <w:ind w:left="95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（可后附详细工程内容或项目合同）</w:t>
      </w:r>
    </w:p>
    <w:p>
      <w:pPr>
        <w:snapToGrid w:val="0"/>
        <w:spacing w:line="500" w:lineRule="atLeast"/>
        <w:ind w:firstLine="382"/>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三、合同金额</w:t>
      </w:r>
    </w:p>
    <w:p>
      <w:pPr>
        <w:snapToGrid w:val="0"/>
        <w:spacing w:line="500" w:lineRule="atLeast"/>
        <w:ind w:firstLine="3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本工程为固定总价合同。</w:t>
      </w:r>
    </w:p>
    <w:p>
      <w:pPr>
        <w:snapToGrid w:val="0"/>
        <w:spacing w:line="500" w:lineRule="atLeast"/>
        <w:ind w:firstLine="3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合同总金额：</w:t>
      </w:r>
      <w:r>
        <w:rPr>
          <w:rFonts w:hint="eastAsia" w:ascii="仿宋" w:hAnsi="仿宋" w:eastAsia="仿宋" w:cs="仿宋"/>
          <w:color w:val="auto"/>
          <w:sz w:val="24"/>
          <w:szCs w:val="24"/>
          <w:highlight w:val="none"/>
          <w:u w:val="single"/>
        </w:rPr>
        <w:t xml:space="preserve">人民币                       </w:t>
      </w:r>
      <w:r>
        <w:rPr>
          <w:rFonts w:hint="eastAsia" w:ascii="仿宋" w:hAnsi="仿宋" w:eastAsia="仿宋" w:cs="仿宋"/>
          <w:color w:val="auto"/>
          <w:sz w:val="10"/>
          <w:szCs w:val="10"/>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w:t>
      </w:r>
    </w:p>
    <w:p>
      <w:pPr>
        <w:snapToGrid w:val="0"/>
        <w:spacing w:line="500" w:lineRule="atLeast"/>
        <w:ind w:firstLine="955"/>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人民币                                     </w:t>
      </w:r>
      <w:r>
        <w:rPr>
          <w:rFonts w:hint="eastAsia" w:ascii="仿宋" w:hAnsi="仿宋" w:eastAsia="仿宋" w:cs="仿宋"/>
          <w:color w:val="auto"/>
          <w:sz w:val="24"/>
          <w:szCs w:val="24"/>
          <w:highlight w:val="none"/>
        </w:rPr>
        <w:t>（小写）</w:t>
      </w:r>
    </w:p>
    <w:p>
      <w:pPr>
        <w:snapToGrid w:val="0"/>
        <w:spacing w:line="500" w:lineRule="atLeas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四、付款</w:t>
      </w:r>
    </w:p>
    <w:p>
      <w:pPr>
        <w:snapToGrid w:val="0"/>
        <w:spacing w:line="500" w:lineRule="atLeast"/>
        <w:ind w:firstLine="382"/>
        <w:rPr>
          <w:rFonts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tabs>
          <w:tab w:val="left" w:pos="764"/>
        </w:tabs>
        <w:snapToGrid w:val="0"/>
        <w:spacing w:line="500" w:lineRule="atLeast"/>
        <w:ind w:firstLine="236" w:firstLineChars="98"/>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五、时间、地点、验收方式</w:t>
      </w:r>
    </w:p>
    <w:p>
      <w:pPr>
        <w:tabs>
          <w:tab w:val="left" w:pos="764"/>
        </w:tabs>
        <w:snapToGrid w:val="0"/>
        <w:spacing w:line="500" w:lineRule="atLeast"/>
        <w:ind w:firstLine="235" w:firstLineChars="98"/>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1、时间：合同生效后于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以前，乙方完成全部工作。</w:t>
      </w:r>
    </w:p>
    <w:p>
      <w:pPr>
        <w:tabs>
          <w:tab w:val="left" w:pos="764"/>
        </w:tabs>
        <w:snapToGrid w:val="0"/>
        <w:spacing w:line="500" w:lineRule="atLeast"/>
        <w:ind w:firstLine="235" w:firstLineChars="98"/>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2、地点：甲方指定地点。</w:t>
      </w:r>
    </w:p>
    <w:p>
      <w:pPr>
        <w:tabs>
          <w:tab w:val="left" w:pos="764"/>
        </w:tabs>
        <w:snapToGrid w:val="0"/>
        <w:spacing w:line="500" w:lineRule="atLeast"/>
        <w:ind w:firstLine="235" w:firstLineChars="98"/>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3、验收方式：甲方自行组织验收。</w:t>
      </w:r>
    </w:p>
    <w:p>
      <w:pPr>
        <w:snapToGrid w:val="0"/>
        <w:spacing w:line="500" w:lineRule="atLeast"/>
        <w:ind w:left="362" w:leftChars="181" w:firstLine="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六、合同生效</w:t>
      </w:r>
    </w:p>
    <w:p>
      <w:pPr>
        <w:snapToGrid w:val="0"/>
        <w:spacing w:line="500" w:lineRule="atLeast"/>
        <w:ind w:left="362" w:leftChars="181" w:firstLine="2"/>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本合同为附条件生效合同，除甲乙双方签章，同时加盖代理机构合同审核章后，合同生效。 </w:t>
      </w:r>
    </w:p>
    <w:p>
      <w:pPr>
        <w:snapToGrid w:val="0"/>
        <w:spacing w:line="500" w:lineRule="atLeast"/>
        <w:ind w:left="362" w:leftChars="181" w:firstLine="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七、合同保存</w:t>
      </w:r>
    </w:p>
    <w:p>
      <w:pPr>
        <w:adjustRightInd w:val="0"/>
        <w:snapToGrid w:val="0"/>
        <w:spacing w:line="500" w:lineRule="atLeast"/>
        <w:ind w:firstLine="480" w:firstLineChars="20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本合同一式六份，甲方二份，乙方一份，代理机构三份。</w:t>
      </w:r>
    </w:p>
    <w:p>
      <w:pPr>
        <w:snapToGrid w:val="0"/>
        <w:spacing w:line="500" w:lineRule="atLeast"/>
        <w:ind w:left="362" w:leftChars="181" w:firstLine="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八、违约条款</w:t>
      </w:r>
    </w:p>
    <w:p>
      <w:pPr>
        <w:tabs>
          <w:tab w:val="left" w:pos="955"/>
          <w:tab w:val="left" w:pos="1146"/>
        </w:tabs>
        <w:snapToGri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（1）合同一方违约，违约方向对方支付违约金，违约金额为成交金额的10%。中标人违约， 可直接从</w:t>
      </w:r>
      <w:r>
        <w:rPr>
          <w:rFonts w:hint="eastAsia" w:ascii="仿宋" w:hAnsi="仿宋" w:eastAsia="仿宋" w:cs="仿宋"/>
          <w:color w:val="auto"/>
          <w:sz w:val="24"/>
          <w:szCs w:val="24"/>
          <w:highlight w:val="none"/>
        </w:rPr>
        <w:t>质保金</w:t>
      </w:r>
      <w:r>
        <w:rPr>
          <w:rFonts w:hint="eastAsia" w:ascii="仿宋" w:hAnsi="仿宋" w:eastAsia="仿宋" w:cs="仿宋"/>
          <w:color w:val="auto"/>
          <w:sz w:val="24"/>
          <w:szCs w:val="24"/>
          <w:highlight w:val="none"/>
        </w:rPr>
        <w:t>中扣除；采购单位违约， 从采购款项中扣除。</w:t>
      </w:r>
    </w:p>
    <w:p>
      <w:pPr>
        <w:tabs>
          <w:tab w:val="left" w:pos="955"/>
          <w:tab w:val="left" w:pos="1146"/>
        </w:tabs>
        <w:snapToGri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（2）成交投标人给采购单位造成的实际损失高于违约金的，成交投标人应给采购单位对高出违约金的部分予以赔偿。</w:t>
      </w:r>
    </w:p>
    <w:p>
      <w:pPr>
        <w:tabs>
          <w:tab w:val="left" w:pos="955"/>
          <w:tab w:val="left" w:pos="1146"/>
        </w:tabs>
        <w:snapToGri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成交投标人迟延履行合同、不完全履行合同或提供的服务不符合磋商文件的要求，除支付违约金外，采购单位有权要求其继续履行合同或重新提供符合要求的服务或解除本合同。采购单位要求解除本合同的， 成交投标人应退回采购单位已付合同价款并赔偿损失。</w:t>
      </w:r>
    </w:p>
    <w:p>
      <w:pPr>
        <w:tabs>
          <w:tab w:val="left" w:pos="955"/>
          <w:tab w:val="left" w:pos="1146"/>
        </w:tabs>
        <w:snapToGri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（4）其它未尽事宜，以《中华人民共和国合同法》规定为准。</w:t>
      </w:r>
    </w:p>
    <w:p>
      <w:pPr>
        <w:tabs>
          <w:tab w:val="left" w:pos="955"/>
          <w:tab w:val="left" w:pos="1146"/>
        </w:tabs>
        <w:snapToGrid w:val="0"/>
        <w:spacing w:line="500" w:lineRule="atLeas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九、争议解决</w:t>
      </w:r>
    </w:p>
    <w:p>
      <w:pPr>
        <w:tabs>
          <w:tab w:val="left" w:pos="955"/>
          <w:tab w:val="left" w:pos="1146"/>
        </w:tabs>
        <w:snapToGri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本</w:t>
      </w:r>
      <w:r>
        <w:rPr>
          <w:rFonts w:hint="eastAsia" w:ascii="仿宋" w:hAnsi="仿宋" w:eastAsia="仿宋" w:cs="仿宋"/>
          <w:color w:val="auto"/>
          <w:sz w:val="24"/>
          <w:szCs w:val="24"/>
          <w:highlight w:val="none"/>
        </w:rPr>
        <w:t>合同履行过程中发生的或者与本合同有关的任何争议，甲乙双方应协商解决，协商不成的，应向甲方住所地人民法院起诉解决。</w:t>
      </w:r>
    </w:p>
    <w:p>
      <w:pPr>
        <w:tabs>
          <w:tab w:val="left" w:pos="955"/>
          <w:tab w:val="left" w:pos="1146"/>
        </w:tabs>
        <w:snapToGrid w:val="0"/>
        <w:spacing w:line="500" w:lineRule="atLeast"/>
        <w:rPr>
          <w:rFonts w:ascii="仿宋" w:hAnsi="仿宋" w:eastAsia="仿宋" w:cs="仿宋"/>
          <w:color w:val="auto"/>
          <w:sz w:val="24"/>
          <w:szCs w:val="24"/>
          <w:highlight w:val="none"/>
        </w:rPr>
      </w:pPr>
    </w:p>
    <w:p>
      <w:pPr>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    方（公章）：                     乙    方（公章）：</w:t>
      </w:r>
    </w:p>
    <w:p>
      <w:pPr>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法定代表人或授权代理人：（签字）       法定代表人或授权代理人：（签字）</w:t>
      </w:r>
    </w:p>
    <w:p>
      <w:pPr>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开户单位：                             开户单位：</w:t>
      </w:r>
    </w:p>
    <w:p>
      <w:pPr>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pPr>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    号：                             帐    号： </w:t>
      </w:r>
    </w:p>
    <w:p>
      <w:pPr>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                             地    址：</w:t>
      </w:r>
    </w:p>
    <w:p>
      <w:pPr>
        <w:adjustRightInd w:val="0"/>
        <w:snapToGrid w:val="0"/>
        <w:spacing w:line="500" w:lineRule="atLeast"/>
        <w:rPr>
          <w:rFonts w:ascii="仿宋" w:hAnsi="仿宋" w:eastAsia="仿宋" w:cs="仿宋"/>
          <w:color w:val="auto"/>
          <w:sz w:val="24"/>
          <w:highlight w:val="none"/>
        </w:rPr>
      </w:pPr>
      <w:r>
        <w:rPr>
          <w:rFonts w:hint="eastAsia" w:ascii="仿宋" w:hAnsi="仿宋" w:eastAsia="仿宋" w:cs="仿宋"/>
          <w:color w:val="auto"/>
          <w:sz w:val="24"/>
          <w:highlight w:val="none"/>
        </w:rPr>
        <w:t>邮政编码：                             邮政编码：</w:t>
      </w:r>
    </w:p>
    <w:p>
      <w:pPr>
        <w:adjustRightInd w:val="0"/>
        <w:snapToGrid w:val="0"/>
        <w:spacing w:line="500" w:lineRule="atLeast"/>
        <w:rPr>
          <w:rFonts w:ascii="仿宋" w:hAnsi="仿宋" w:eastAsia="仿宋" w:cs="仿宋"/>
          <w:color w:val="auto"/>
          <w:sz w:val="24"/>
          <w:highlight w:val="none"/>
        </w:rPr>
      </w:pPr>
      <w:r>
        <w:rPr>
          <w:rFonts w:hint="eastAsia" w:ascii="仿宋" w:hAnsi="仿宋" w:eastAsia="仿宋" w:cs="仿宋"/>
          <w:color w:val="auto"/>
          <w:sz w:val="24"/>
          <w:highlight w:val="none"/>
        </w:rPr>
        <w:t>电    话：                             电    话：</w:t>
      </w:r>
    </w:p>
    <w:p>
      <w:pPr>
        <w:adjustRightInd w:val="0"/>
        <w:snapToGrid w:val="0"/>
        <w:spacing w:line="500" w:lineRule="atLeast"/>
        <w:rPr>
          <w:rFonts w:ascii="仿宋" w:hAnsi="仿宋" w:eastAsia="仿宋" w:cs="仿宋"/>
          <w:color w:val="auto"/>
          <w:sz w:val="24"/>
          <w:highlight w:val="none"/>
        </w:rPr>
      </w:pPr>
      <w:r>
        <w:rPr>
          <w:rFonts w:hint="eastAsia" w:ascii="仿宋" w:hAnsi="仿宋" w:eastAsia="仿宋" w:cs="仿宋"/>
          <w:color w:val="auto"/>
          <w:sz w:val="24"/>
          <w:highlight w:val="none"/>
        </w:rPr>
        <w:t>签订时间：</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签订时间：</w:t>
      </w:r>
    </w:p>
    <w:p>
      <w:pPr>
        <w:adjustRightInd w:val="0"/>
        <w:snapToGrid w:val="0"/>
        <w:spacing w:line="500" w:lineRule="atLeast"/>
        <w:rPr>
          <w:rFonts w:ascii="仿宋" w:hAnsi="仿宋" w:eastAsia="仿宋" w:cs="仿宋"/>
          <w:color w:val="auto"/>
          <w:sz w:val="24"/>
          <w:highlight w:val="none"/>
        </w:rPr>
      </w:pPr>
    </w:p>
    <w:p>
      <w:pPr>
        <w:adjustRightInd w:val="0"/>
        <w:snapToGrid w:val="0"/>
        <w:spacing w:line="500" w:lineRule="atLeast"/>
        <w:rPr>
          <w:rFonts w:ascii="仿宋" w:hAnsi="仿宋" w:eastAsia="仿宋" w:cs="仿宋"/>
          <w:color w:val="auto"/>
          <w:sz w:val="24"/>
          <w:highlight w:val="none"/>
        </w:rPr>
      </w:pPr>
      <w:r>
        <w:rPr>
          <w:rFonts w:hint="eastAsia" w:ascii="仿宋" w:hAnsi="仿宋" w:eastAsia="仿宋" w:cs="仿宋"/>
          <w:color w:val="auto"/>
          <w:sz w:val="24"/>
          <w:highlight w:val="none"/>
        </w:rPr>
        <w:t>此处加盖代理机构合同审核章，并签署日期（同时甲方、乙方、代理机构加盖骑缝章）</w:t>
      </w:r>
    </w:p>
    <w:p>
      <w:pPr>
        <w:snapToGrid w:val="0"/>
        <w:spacing w:beforeLines="50" w:line="500" w:lineRule="atLeast"/>
        <w:rPr>
          <w:rFonts w:ascii="仿宋" w:hAnsi="仿宋" w:eastAsia="仿宋" w:cs="仿宋"/>
          <w:color w:val="auto"/>
          <w:sz w:val="24"/>
          <w:highlight w:val="none"/>
        </w:rPr>
      </w:pPr>
    </w:p>
    <w:p>
      <w:pPr>
        <w:spacing w:beforeLines="50"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详 细 工 程 内 容</w:t>
      </w:r>
    </w:p>
    <w:p>
      <w:pPr>
        <w:pStyle w:val="2"/>
        <w:jc w:val="center"/>
        <w:rPr>
          <w:rFonts w:ascii="仿宋" w:hAnsi="仿宋" w:eastAsia="仿宋" w:cs="仿宋"/>
          <w:b w:val="0"/>
          <w:color w:val="auto"/>
          <w:szCs w:val="36"/>
          <w:highlight w:val="none"/>
        </w:rPr>
      </w:pPr>
      <w:bookmarkStart w:id="222" w:name="_Toc183264344"/>
      <w:bookmarkStart w:id="223" w:name="_Toc181180300"/>
      <w:bookmarkStart w:id="224" w:name="_Toc3663"/>
      <w:bookmarkStart w:id="225" w:name="_Toc27984"/>
      <w:bookmarkStart w:id="226" w:name="_Toc4371"/>
      <w:bookmarkStart w:id="227" w:name="_Toc10012"/>
      <w:bookmarkStart w:id="228" w:name="_Toc28451"/>
      <w:bookmarkStart w:id="229" w:name="_Toc6525"/>
      <w:bookmarkStart w:id="230" w:name="_Toc31690"/>
      <w:bookmarkStart w:id="231" w:name="_Toc9490"/>
      <w:bookmarkStart w:id="232" w:name="_Toc28834"/>
      <w:bookmarkStart w:id="233" w:name="_Toc5436"/>
      <w:bookmarkStart w:id="234" w:name="_Toc31628"/>
      <w:bookmarkStart w:id="235" w:name="_Toc31366"/>
      <w:bookmarkStart w:id="236" w:name="_Toc25183"/>
      <w:r>
        <w:rPr>
          <w:rFonts w:hint="eastAsia" w:ascii="仿宋" w:hAnsi="仿宋" w:eastAsia="仿宋" w:cs="仿宋"/>
          <w:color w:val="auto"/>
          <w:highlight w:val="none"/>
        </w:rPr>
        <w:t xml:space="preserve">第六部分  </w:t>
      </w:r>
      <w:bookmarkEnd w:id="222"/>
      <w:bookmarkEnd w:id="223"/>
      <w:r>
        <w:rPr>
          <w:rFonts w:hint="eastAsia" w:ascii="仿宋" w:hAnsi="仿宋" w:eastAsia="仿宋" w:cs="仿宋"/>
          <w:color w:val="auto"/>
          <w:highlight w:val="none"/>
        </w:rPr>
        <w:t>报价函部分格式</w:t>
      </w:r>
      <w:bookmarkEnd w:id="224"/>
      <w:bookmarkEnd w:id="225"/>
      <w:bookmarkEnd w:id="226"/>
      <w:bookmarkEnd w:id="227"/>
      <w:bookmarkEnd w:id="228"/>
      <w:bookmarkEnd w:id="229"/>
      <w:bookmarkEnd w:id="230"/>
      <w:bookmarkEnd w:id="231"/>
      <w:bookmarkEnd w:id="232"/>
      <w:bookmarkEnd w:id="233"/>
      <w:bookmarkEnd w:id="234"/>
      <w:bookmarkEnd w:id="235"/>
      <w:bookmarkEnd w:id="236"/>
    </w:p>
    <w:p>
      <w:pPr>
        <w:pStyle w:val="73"/>
        <w:spacing w:line="500" w:lineRule="atLeast"/>
        <w:outlineLvl w:val="1"/>
        <w:rPr>
          <w:rFonts w:ascii="仿宋" w:hAnsi="仿宋" w:eastAsia="仿宋" w:cs="仿宋"/>
          <w:color w:val="auto"/>
          <w:highlight w:val="none"/>
        </w:rPr>
      </w:pPr>
      <w:bookmarkStart w:id="237" w:name="_Toc183264345"/>
      <w:bookmarkStart w:id="238" w:name="_Toc13443"/>
      <w:bookmarkStart w:id="239" w:name="_Toc8362"/>
      <w:bookmarkStart w:id="240" w:name="_Toc26493"/>
      <w:bookmarkStart w:id="241" w:name="_Toc3757"/>
      <w:bookmarkStart w:id="242" w:name="_Toc5820"/>
      <w:bookmarkStart w:id="243" w:name="_Toc31460"/>
      <w:bookmarkStart w:id="244" w:name="_Toc1967"/>
      <w:bookmarkStart w:id="245" w:name="_Toc28419"/>
      <w:bookmarkStart w:id="246" w:name="_Toc14653"/>
      <w:bookmarkStart w:id="247" w:name="_Toc23040"/>
      <w:bookmarkStart w:id="248" w:name="_Toc32715"/>
      <w:bookmarkStart w:id="249" w:name="_Toc25577"/>
      <w:r>
        <w:rPr>
          <w:rFonts w:hint="eastAsia" w:ascii="仿宋" w:hAnsi="仿宋" w:eastAsia="仿宋" w:cs="仿宋"/>
          <w:color w:val="auto"/>
          <w:highlight w:val="none"/>
        </w:rPr>
        <w:t>一、</w:t>
      </w:r>
      <w:bookmarkEnd w:id="237"/>
      <w:r>
        <w:rPr>
          <w:rFonts w:hint="eastAsia" w:ascii="仿宋" w:hAnsi="仿宋" w:eastAsia="仿宋" w:cs="仿宋"/>
          <w:color w:val="auto"/>
          <w:highlight w:val="none"/>
        </w:rPr>
        <w:t>投  标  函</w:t>
      </w:r>
      <w:bookmarkEnd w:id="238"/>
      <w:bookmarkEnd w:id="239"/>
      <w:bookmarkEnd w:id="240"/>
      <w:bookmarkEnd w:id="241"/>
      <w:bookmarkEnd w:id="242"/>
      <w:bookmarkEnd w:id="243"/>
      <w:bookmarkEnd w:id="244"/>
      <w:bookmarkEnd w:id="245"/>
      <w:bookmarkEnd w:id="246"/>
      <w:bookmarkEnd w:id="247"/>
      <w:bookmarkEnd w:id="248"/>
      <w:bookmarkEnd w:id="249"/>
    </w:p>
    <w:p>
      <w:pPr>
        <w:pStyle w:val="15"/>
        <w:spacing w:line="500" w:lineRule="atLeast"/>
        <w:rPr>
          <w:rFonts w:ascii="仿宋" w:hAnsi="仿宋" w:eastAsia="仿宋" w:cs="仿宋"/>
          <w:color w:val="auto"/>
          <w:highlight w:val="none"/>
        </w:rPr>
      </w:pPr>
      <w:r>
        <w:rPr>
          <w:rFonts w:hint="eastAsia" w:ascii="仿宋" w:hAnsi="仿宋" w:eastAsia="仿宋" w:cs="仿宋"/>
          <w:color w:val="auto"/>
          <w:highlight w:val="none"/>
        </w:rPr>
        <w:t>采购人：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5"/>
        <w:spacing w:line="500" w:lineRule="atLeast"/>
        <w:ind w:left="-2" w:firstLine="480"/>
        <w:rPr>
          <w:rFonts w:ascii="仿宋" w:hAnsi="仿宋" w:eastAsia="仿宋" w:cs="仿宋"/>
          <w:color w:val="auto"/>
          <w:highlight w:val="none"/>
        </w:rPr>
      </w:pPr>
      <w:r>
        <w:rPr>
          <w:rFonts w:hint="eastAsia" w:ascii="仿宋" w:hAnsi="仿宋" w:eastAsia="仿宋" w:cs="仿宋"/>
          <w:color w:val="auto"/>
          <w:highlight w:val="none"/>
        </w:rPr>
        <w:t xml:space="preserve">经研究，我方决定参加项目编号为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的项目的竞争性磋商活动并提交报价文件，为此，我方郑重声明以下诸点，并负法律责任。</w:t>
      </w:r>
    </w:p>
    <w:p>
      <w:pPr>
        <w:pStyle w:val="15"/>
        <w:spacing w:line="500" w:lineRule="atLeast"/>
        <w:ind w:left="-2" w:firstLine="480"/>
        <w:rPr>
          <w:rFonts w:ascii="仿宋" w:hAnsi="仿宋" w:eastAsia="仿宋" w:cs="仿宋"/>
          <w:color w:val="auto"/>
          <w:highlight w:val="none"/>
        </w:rPr>
      </w:pPr>
      <w:r>
        <w:rPr>
          <w:rFonts w:hint="eastAsia" w:ascii="仿宋" w:hAnsi="仿宋" w:eastAsia="仿宋" w:cs="仿宋"/>
          <w:color w:val="auto"/>
          <w:highlight w:val="none"/>
        </w:rPr>
        <w:t>1、我方提交的报价文件，正本一份，副本五份。</w:t>
      </w:r>
    </w:p>
    <w:p>
      <w:pPr>
        <w:pStyle w:val="15"/>
        <w:spacing w:line="500" w:lineRule="atLeast"/>
        <w:ind w:left="-2" w:firstLine="480"/>
        <w:rPr>
          <w:rFonts w:ascii="仿宋" w:hAnsi="仿宋" w:eastAsia="仿宋" w:cs="仿宋"/>
          <w:color w:val="auto"/>
          <w:highlight w:val="none"/>
        </w:rPr>
      </w:pPr>
      <w:r>
        <w:rPr>
          <w:rFonts w:hint="eastAsia" w:ascii="仿宋" w:hAnsi="仿宋" w:eastAsia="仿宋" w:cs="仿宋"/>
          <w:color w:val="auto"/>
          <w:highlight w:val="none"/>
        </w:rPr>
        <w:t>2、如果我方的报价文件被接受，我方将履行竞争性磋商文件中规定的每一项要求，并按我方报价文件及其承诺按期、保质、保量提供服务。</w:t>
      </w:r>
    </w:p>
    <w:p>
      <w:pPr>
        <w:pStyle w:val="15"/>
        <w:spacing w:line="500" w:lineRule="atLeast"/>
        <w:ind w:left="-2" w:firstLine="480"/>
        <w:rPr>
          <w:rFonts w:ascii="仿宋" w:hAnsi="仿宋" w:eastAsia="仿宋" w:cs="仿宋"/>
          <w:color w:val="auto"/>
          <w:highlight w:val="none"/>
        </w:rPr>
      </w:pPr>
      <w:r>
        <w:rPr>
          <w:rFonts w:hint="eastAsia" w:ascii="仿宋" w:hAnsi="仿宋" w:eastAsia="仿宋" w:cs="仿宋"/>
          <w:color w:val="auto"/>
          <w:highlight w:val="none"/>
        </w:rPr>
        <w:t>3、我方理解最低报价不是中标的唯一条件，贵机构有选择中标人的权利。</w:t>
      </w:r>
    </w:p>
    <w:p>
      <w:pPr>
        <w:pStyle w:val="15"/>
        <w:spacing w:line="500" w:lineRule="atLeast"/>
        <w:ind w:left="-2" w:firstLine="480"/>
        <w:rPr>
          <w:rFonts w:ascii="仿宋" w:hAnsi="仿宋" w:eastAsia="仿宋" w:cs="仿宋"/>
          <w:color w:val="auto"/>
          <w:highlight w:val="none"/>
        </w:rPr>
      </w:pPr>
      <w:r>
        <w:rPr>
          <w:rFonts w:hint="eastAsia" w:ascii="仿宋" w:hAnsi="仿宋" w:eastAsia="仿宋" w:cs="仿宋"/>
          <w:color w:val="auto"/>
          <w:highlight w:val="none"/>
        </w:rPr>
        <w:t>4、我方愿按《中华人民共和国合同法》履行自己的全部责任。</w:t>
      </w:r>
    </w:p>
    <w:p>
      <w:pPr>
        <w:pStyle w:val="15"/>
        <w:spacing w:line="500" w:lineRule="atLeast"/>
        <w:ind w:left="-2" w:firstLine="480"/>
        <w:rPr>
          <w:rFonts w:ascii="仿宋" w:hAnsi="仿宋" w:eastAsia="仿宋" w:cs="仿宋"/>
          <w:color w:val="auto"/>
          <w:highlight w:val="none"/>
        </w:rPr>
      </w:pPr>
      <w:r>
        <w:rPr>
          <w:rFonts w:hint="eastAsia" w:ascii="仿宋" w:hAnsi="仿宋" w:eastAsia="仿宋" w:cs="仿宋"/>
          <w:color w:val="auto"/>
          <w:highlight w:val="none"/>
        </w:rPr>
        <w:t>5、我方同意按竞争性磋商文件规定交纳投标保证金、中标服务费、公证费（见证费），并遵守贵机构有关磋商会议的各项规定。</w:t>
      </w:r>
    </w:p>
    <w:p>
      <w:pPr>
        <w:pStyle w:val="15"/>
        <w:spacing w:line="500" w:lineRule="atLeast"/>
        <w:ind w:left="-2" w:firstLine="480"/>
        <w:rPr>
          <w:rFonts w:ascii="仿宋" w:hAnsi="仿宋" w:eastAsia="仿宋" w:cs="仿宋"/>
          <w:color w:val="auto"/>
          <w:highlight w:val="none"/>
        </w:rPr>
      </w:pPr>
      <w:r>
        <w:rPr>
          <w:rFonts w:hint="eastAsia" w:ascii="仿宋" w:hAnsi="仿宋" w:eastAsia="仿宋" w:cs="仿宋"/>
          <w:color w:val="auto"/>
          <w:highlight w:val="none"/>
        </w:rPr>
        <w:t>6、我方的报价文件自公开报价之日起有效期为</w:t>
      </w:r>
      <w:r>
        <w:rPr>
          <w:rFonts w:hint="eastAsia" w:ascii="仿宋" w:hAnsi="仿宋" w:eastAsia="仿宋" w:cs="仿宋"/>
          <w:color w:val="auto"/>
          <w:highlight w:val="none"/>
          <w:u w:val="single"/>
        </w:rPr>
        <w:t>90</w:t>
      </w:r>
      <w:r>
        <w:rPr>
          <w:rFonts w:hint="eastAsia" w:ascii="仿宋" w:hAnsi="仿宋" w:eastAsia="仿宋" w:cs="仿宋"/>
          <w:color w:val="auto"/>
          <w:highlight w:val="none"/>
        </w:rPr>
        <w:t>日历日。</w:t>
      </w:r>
    </w:p>
    <w:p>
      <w:pPr>
        <w:pStyle w:val="15"/>
        <w:spacing w:line="500" w:lineRule="atLeast"/>
        <w:ind w:left="-2" w:firstLine="480"/>
        <w:rPr>
          <w:rFonts w:ascii="仿宋" w:hAnsi="仿宋" w:eastAsia="仿宋" w:cs="仿宋"/>
          <w:color w:val="auto"/>
          <w:highlight w:val="none"/>
        </w:rPr>
      </w:pPr>
      <w:r>
        <w:rPr>
          <w:rFonts w:hint="eastAsia" w:ascii="仿宋" w:hAnsi="仿宋" w:eastAsia="仿宋" w:cs="仿宋"/>
          <w:color w:val="auto"/>
          <w:highlight w:val="none"/>
        </w:rPr>
        <w:t>7、我方若未成为成交投标人，贵机构有权不做解释。</w:t>
      </w:r>
    </w:p>
    <w:p>
      <w:pPr>
        <w:pStyle w:val="15"/>
        <w:spacing w:line="500" w:lineRule="atLeast"/>
        <w:ind w:left="-2" w:firstLine="480"/>
        <w:rPr>
          <w:rFonts w:ascii="仿宋" w:hAnsi="仿宋" w:eastAsia="仿宋" w:cs="仿宋"/>
          <w:color w:val="auto"/>
          <w:highlight w:val="none"/>
        </w:rPr>
      </w:pPr>
      <w:r>
        <w:rPr>
          <w:rFonts w:hint="eastAsia" w:ascii="仿宋" w:hAnsi="仿宋" w:eastAsia="仿宋" w:cs="仿宋"/>
          <w:color w:val="auto"/>
          <w:highlight w:val="none"/>
        </w:rPr>
        <w:t>8、与本投标有关的一切正式往来通讯请寄：</w:t>
      </w:r>
    </w:p>
    <w:p>
      <w:pPr>
        <w:pStyle w:val="15"/>
        <w:spacing w:line="500" w:lineRule="atLeast"/>
        <w:ind w:left="544" w:leftChars="272" w:firstLine="382"/>
        <w:rPr>
          <w:rFonts w:ascii="仿宋" w:hAnsi="仿宋" w:eastAsia="仿宋" w:cs="仿宋"/>
          <w:color w:val="auto"/>
          <w:highlight w:val="none"/>
        </w:rPr>
      </w:pPr>
      <w:r>
        <w:rPr>
          <w:rFonts w:hint="eastAsia" w:ascii="仿宋" w:hAnsi="仿宋" w:eastAsia="仿宋" w:cs="仿宋"/>
          <w:color w:val="auto"/>
          <w:highlight w:val="none"/>
        </w:rPr>
        <w:t>投标人代表姓名、职务：</w:t>
      </w:r>
    </w:p>
    <w:p>
      <w:pPr>
        <w:pStyle w:val="15"/>
        <w:spacing w:line="500" w:lineRule="atLeast"/>
        <w:ind w:left="544" w:leftChars="272" w:firstLine="382"/>
        <w:rPr>
          <w:rFonts w:ascii="仿宋" w:hAnsi="仿宋" w:eastAsia="仿宋" w:cs="仿宋"/>
          <w:color w:val="auto"/>
          <w:highlight w:val="none"/>
        </w:rPr>
      </w:pPr>
      <w:r>
        <w:rPr>
          <w:rFonts w:hint="eastAsia" w:ascii="仿宋" w:hAnsi="仿宋" w:eastAsia="仿宋" w:cs="仿宋"/>
          <w:color w:val="auto"/>
          <w:highlight w:val="none"/>
        </w:rPr>
        <w:t>投标人单位全称（公章）</w:t>
      </w:r>
    </w:p>
    <w:p>
      <w:pPr>
        <w:pStyle w:val="15"/>
        <w:spacing w:line="500" w:lineRule="atLeast"/>
        <w:ind w:left="544" w:leftChars="272" w:firstLine="382"/>
        <w:rPr>
          <w:rFonts w:ascii="仿宋" w:hAnsi="仿宋" w:eastAsia="仿宋" w:cs="仿宋"/>
          <w:color w:val="auto"/>
          <w:highlight w:val="none"/>
        </w:rPr>
      </w:pPr>
      <w:r>
        <w:rPr>
          <w:rFonts w:hint="eastAsia" w:ascii="仿宋" w:hAnsi="仿宋" w:eastAsia="仿宋" w:cs="仿宋"/>
          <w:color w:val="auto"/>
          <w:highlight w:val="none"/>
        </w:rPr>
        <w:t>法定代表人或其授权代理人签字：</w:t>
      </w:r>
    </w:p>
    <w:p>
      <w:pPr>
        <w:pStyle w:val="15"/>
        <w:spacing w:line="500" w:lineRule="atLeast"/>
        <w:ind w:left="544" w:leftChars="272"/>
        <w:rPr>
          <w:rFonts w:ascii="仿宋" w:hAnsi="仿宋" w:eastAsia="仿宋" w:cs="仿宋"/>
          <w:color w:val="auto"/>
          <w:highlight w:val="none"/>
        </w:rPr>
      </w:pPr>
      <w:r>
        <w:rPr>
          <w:rFonts w:hint="eastAsia" w:ascii="仿宋" w:hAnsi="仿宋" w:eastAsia="仿宋" w:cs="仿宋"/>
          <w:color w:val="auto"/>
          <w:highlight w:val="none"/>
        </w:rPr>
        <w:t xml:space="preserve">   地    址：</w:t>
      </w:r>
    </w:p>
    <w:p>
      <w:pPr>
        <w:pStyle w:val="15"/>
        <w:spacing w:line="500" w:lineRule="atLeast"/>
        <w:ind w:left="544" w:leftChars="272"/>
        <w:rPr>
          <w:rFonts w:ascii="仿宋" w:hAnsi="仿宋" w:eastAsia="仿宋" w:cs="仿宋"/>
          <w:color w:val="auto"/>
          <w:highlight w:val="none"/>
        </w:rPr>
      </w:pPr>
      <w:r>
        <w:rPr>
          <w:rFonts w:hint="eastAsia" w:ascii="仿宋" w:hAnsi="仿宋" w:eastAsia="仿宋" w:cs="仿宋"/>
          <w:color w:val="auto"/>
          <w:highlight w:val="none"/>
        </w:rPr>
        <w:t xml:space="preserve">   邮政编码：</w:t>
      </w:r>
    </w:p>
    <w:p>
      <w:pPr>
        <w:pStyle w:val="15"/>
        <w:spacing w:line="500" w:lineRule="atLeast"/>
        <w:ind w:left="544" w:leftChars="272"/>
        <w:rPr>
          <w:rFonts w:ascii="仿宋" w:hAnsi="仿宋" w:eastAsia="仿宋" w:cs="仿宋"/>
          <w:color w:val="auto"/>
          <w:highlight w:val="none"/>
        </w:rPr>
      </w:pPr>
      <w:r>
        <w:rPr>
          <w:rFonts w:hint="eastAsia" w:ascii="仿宋" w:hAnsi="仿宋" w:eastAsia="仿宋" w:cs="仿宋"/>
          <w:color w:val="auto"/>
          <w:highlight w:val="none"/>
        </w:rPr>
        <w:t xml:space="preserve">   电    话：</w:t>
      </w:r>
    </w:p>
    <w:p>
      <w:pPr>
        <w:pStyle w:val="15"/>
        <w:spacing w:line="500" w:lineRule="atLeast"/>
        <w:ind w:left="544" w:leftChars="272"/>
        <w:rPr>
          <w:rFonts w:ascii="仿宋" w:hAnsi="仿宋" w:eastAsia="仿宋" w:cs="仿宋"/>
          <w:color w:val="auto"/>
          <w:highlight w:val="none"/>
        </w:rPr>
      </w:pPr>
      <w:r>
        <w:rPr>
          <w:rFonts w:hint="eastAsia" w:ascii="仿宋" w:hAnsi="仿宋" w:eastAsia="仿宋" w:cs="仿宋"/>
          <w:color w:val="auto"/>
          <w:highlight w:val="none"/>
        </w:rPr>
        <w:t xml:space="preserve">   传    真：</w:t>
      </w:r>
    </w:p>
    <w:p>
      <w:pPr>
        <w:pStyle w:val="15"/>
        <w:tabs>
          <w:tab w:val="left" w:pos="0"/>
          <w:tab w:val="left" w:pos="720"/>
          <w:tab w:val="left" w:pos="1440"/>
          <w:tab w:val="left" w:pos="2160"/>
          <w:tab w:val="left" w:pos="2880"/>
          <w:tab w:val="left" w:pos="3600"/>
          <w:tab w:val="left" w:pos="4320"/>
        </w:tabs>
        <w:spacing w:line="500" w:lineRule="atLeast"/>
        <w:ind w:left="6660" w:firstLine="480"/>
        <w:rPr>
          <w:rFonts w:ascii="仿宋" w:hAnsi="仿宋" w:eastAsia="仿宋" w:cs="仿宋"/>
          <w:color w:val="auto"/>
          <w:highlight w:val="none"/>
        </w:rPr>
      </w:pPr>
    </w:p>
    <w:p>
      <w:pPr>
        <w:pStyle w:val="15"/>
        <w:tabs>
          <w:tab w:val="left" w:pos="0"/>
          <w:tab w:val="left" w:pos="720"/>
          <w:tab w:val="left" w:pos="1440"/>
          <w:tab w:val="left" w:pos="2160"/>
          <w:tab w:val="left" w:pos="2880"/>
          <w:tab w:val="left" w:pos="3600"/>
          <w:tab w:val="left" w:pos="4320"/>
        </w:tabs>
        <w:spacing w:line="500" w:lineRule="atLeast"/>
        <w:ind w:left="6660" w:firstLine="480"/>
        <w:rPr>
          <w:rFonts w:ascii="仿宋" w:hAnsi="仿宋" w:eastAsia="仿宋" w:cs="仿宋"/>
          <w:b/>
          <w:color w:val="auto"/>
          <w:highlight w:val="none"/>
        </w:rPr>
      </w:pPr>
      <w:r>
        <w:rPr>
          <w:rFonts w:hint="eastAsia" w:ascii="仿宋" w:hAnsi="仿宋" w:eastAsia="仿宋" w:cs="仿宋"/>
          <w:color w:val="auto"/>
          <w:highlight w:val="none"/>
        </w:rPr>
        <w:t>年   月   日</w:t>
      </w:r>
      <w:bookmarkStart w:id="250" w:name="_Toc7637"/>
      <w:bookmarkStart w:id="251" w:name="_Toc10170"/>
      <w:bookmarkStart w:id="252" w:name="_Toc10519"/>
      <w:bookmarkStart w:id="253" w:name="_Toc17009"/>
      <w:bookmarkStart w:id="254" w:name="_Toc183264346"/>
    </w:p>
    <w:bookmarkEnd w:id="250"/>
    <w:bookmarkEnd w:id="251"/>
    <w:bookmarkEnd w:id="252"/>
    <w:p>
      <w:pPr>
        <w:pStyle w:val="73"/>
        <w:spacing w:line="500" w:lineRule="atLeast"/>
        <w:outlineLvl w:val="1"/>
        <w:rPr>
          <w:rFonts w:ascii="仿宋" w:hAnsi="仿宋" w:eastAsia="仿宋" w:cs="仿宋"/>
          <w:color w:val="auto"/>
          <w:highlight w:val="none"/>
        </w:rPr>
      </w:pPr>
      <w:bookmarkStart w:id="255" w:name="_Toc9805"/>
      <w:bookmarkStart w:id="256" w:name="_Toc1499"/>
      <w:bookmarkStart w:id="257" w:name="_Toc740"/>
      <w:bookmarkStart w:id="258" w:name="_Toc15853"/>
      <w:bookmarkStart w:id="259" w:name="_Toc23301"/>
      <w:bookmarkStart w:id="260" w:name="_Toc9563"/>
      <w:bookmarkStart w:id="261" w:name="_Toc11257"/>
      <w:bookmarkStart w:id="262" w:name="_Toc6430"/>
      <w:bookmarkStart w:id="263" w:name="_Toc806"/>
      <w:bookmarkStart w:id="264" w:name="_Toc13445"/>
      <w:bookmarkStart w:id="265" w:name="_Toc10451"/>
    </w:p>
    <w:p>
      <w:pPr>
        <w:pStyle w:val="73"/>
        <w:spacing w:line="500" w:lineRule="atLeast"/>
        <w:outlineLvl w:val="1"/>
        <w:rPr>
          <w:rFonts w:ascii="仿宋" w:hAnsi="仿宋" w:eastAsia="仿宋" w:cs="仿宋"/>
          <w:color w:val="auto"/>
          <w:highlight w:val="none"/>
        </w:rPr>
      </w:pPr>
    </w:p>
    <w:p>
      <w:pPr>
        <w:pStyle w:val="15"/>
        <w:spacing w:line="500" w:lineRule="atLeast"/>
        <w:rPr>
          <w:rFonts w:ascii="仿宋" w:hAnsi="仿宋" w:eastAsia="仿宋" w:cs="仿宋"/>
          <w:color w:val="auto"/>
          <w:szCs w:val="22"/>
          <w:highlight w:val="none"/>
        </w:rPr>
      </w:pPr>
    </w:p>
    <w:p>
      <w:pPr>
        <w:pStyle w:val="15"/>
        <w:spacing w:line="500" w:lineRule="atLeast"/>
        <w:ind w:left="-2" w:firstLine="48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二、法定代表人身份证明书</w:t>
      </w:r>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rPr>
          <w:rFonts w:ascii="仿宋" w:hAnsi="仿宋" w:eastAsia="仿宋" w:cs="仿宋"/>
          <w:color w:val="auto"/>
          <w:szCs w:val="22"/>
          <w:highlight w:val="none"/>
        </w:rPr>
      </w:pPr>
      <w:r>
        <w:rPr>
          <w:rFonts w:hint="eastAsia" w:ascii="仿宋" w:hAnsi="仿宋" w:eastAsia="仿宋" w:cs="仿宋"/>
          <w:color w:val="auto"/>
          <w:szCs w:val="22"/>
          <w:highlight w:val="none"/>
        </w:rPr>
        <w:t>单位名称：</w:t>
      </w:r>
      <w:r>
        <w:rPr>
          <w:rFonts w:hint="eastAsia" w:ascii="仿宋" w:hAnsi="仿宋" w:eastAsia="仿宋" w:cs="仿宋"/>
          <w:color w:val="auto"/>
          <w:szCs w:val="22"/>
          <w:highlight w:val="none"/>
        </w:rPr>
        <w:tab/>
      </w:r>
      <w:r>
        <w:rPr>
          <w:rFonts w:hint="eastAsia" w:ascii="仿宋" w:hAnsi="仿宋" w:eastAsia="仿宋" w:cs="仿宋"/>
          <w:color w:val="auto"/>
          <w:szCs w:val="22"/>
          <w:highlight w:val="none"/>
        </w:rPr>
        <w:tab/>
      </w:r>
    </w:p>
    <w:p>
      <w:pPr>
        <w:pStyle w:val="15"/>
        <w:spacing w:line="500" w:lineRule="atLeast"/>
        <w:ind w:left="-2" w:firstLine="480"/>
        <w:rPr>
          <w:rFonts w:ascii="仿宋" w:hAnsi="仿宋" w:eastAsia="仿宋" w:cs="仿宋"/>
          <w:color w:val="auto"/>
          <w:szCs w:val="22"/>
          <w:highlight w:val="none"/>
        </w:rPr>
      </w:pPr>
      <w:r>
        <w:rPr>
          <w:rFonts w:hint="eastAsia" w:ascii="仿宋" w:hAnsi="仿宋" w:eastAsia="仿宋" w:cs="仿宋"/>
          <w:color w:val="auto"/>
          <w:szCs w:val="22"/>
          <w:highlight w:val="none"/>
        </w:rPr>
        <w:t>单位性质：</w:t>
      </w:r>
      <w:r>
        <w:rPr>
          <w:rFonts w:hint="eastAsia" w:ascii="仿宋" w:hAnsi="仿宋" w:eastAsia="仿宋" w:cs="仿宋"/>
          <w:color w:val="auto"/>
          <w:szCs w:val="22"/>
          <w:highlight w:val="none"/>
        </w:rPr>
        <w:tab/>
      </w:r>
      <w:r>
        <w:rPr>
          <w:rFonts w:hint="eastAsia" w:ascii="仿宋" w:hAnsi="仿宋" w:eastAsia="仿宋" w:cs="仿宋"/>
          <w:color w:val="auto"/>
          <w:szCs w:val="22"/>
          <w:highlight w:val="none"/>
        </w:rPr>
        <w:tab/>
      </w:r>
    </w:p>
    <w:p>
      <w:pPr>
        <w:pStyle w:val="15"/>
        <w:spacing w:line="500" w:lineRule="atLeast"/>
        <w:ind w:left="-2" w:firstLine="480"/>
        <w:rPr>
          <w:rFonts w:ascii="仿宋" w:hAnsi="仿宋" w:eastAsia="仿宋" w:cs="仿宋"/>
          <w:color w:val="auto"/>
          <w:szCs w:val="22"/>
          <w:highlight w:val="none"/>
        </w:rPr>
      </w:pPr>
      <w:r>
        <w:rPr>
          <w:rFonts w:hint="eastAsia" w:ascii="仿宋" w:hAnsi="仿宋" w:eastAsia="仿宋" w:cs="仿宋"/>
          <w:color w:val="auto"/>
          <w:szCs w:val="22"/>
          <w:highlight w:val="none"/>
        </w:rPr>
        <w:t>地址：</w:t>
      </w:r>
      <w:r>
        <w:rPr>
          <w:rFonts w:hint="eastAsia" w:ascii="仿宋" w:hAnsi="仿宋" w:eastAsia="仿宋" w:cs="仿宋"/>
          <w:color w:val="auto"/>
          <w:szCs w:val="22"/>
          <w:highlight w:val="none"/>
        </w:rPr>
        <w:tab/>
      </w:r>
      <w:r>
        <w:rPr>
          <w:rFonts w:hint="eastAsia" w:ascii="仿宋" w:hAnsi="仿宋" w:eastAsia="仿宋" w:cs="仿宋"/>
          <w:color w:val="auto"/>
          <w:szCs w:val="22"/>
          <w:highlight w:val="none"/>
        </w:rPr>
        <w:tab/>
      </w:r>
      <w:r>
        <w:rPr>
          <w:rFonts w:hint="eastAsia" w:ascii="仿宋" w:hAnsi="仿宋" w:eastAsia="仿宋" w:cs="仿宋"/>
          <w:color w:val="auto"/>
          <w:szCs w:val="22"/>
          <w:highlight w:val="none"/>
        </w:rPr>
        <w:tab/>
      </w:r>
      <w:r>
        <w:rPr>
          <w:rFonts w:hint="eastAsia" w:ascii="仿宋" w:hAnsi="仿宋" w:eastAsia="仿宋" w:cs="仿宋"/>
          <w:color w:val="auto"/>
          <w:szCs w:val="22"/>
          <w:highlight w:val="none"/>
        </w:rPr>
        <w:tab/>
      </w:r>
    </w:p>
    <w:p>
      <w:pPr>
        <w:pStyle w:val="15"/>
        <w:spacing w:line="500" w:lineRule="atLeast"/>
        <w:ind w:left="-2" w:firstLine="480"/>
        <w:rPr>
          <w:rFonts w:ascii="仿宋" w:hAnsi="仿宋" w:eastAsia="仿宋" w:cs="仿宋"/>
          <w:color w:val="auto"/>
          <w:szCs w:val="22"/>
          <w:highlight w:val="none"/>
        </w:rPr>
      </w:pPr>
      <w:r>
        <w:rPr>
          <w:rFonts w:hint="eastAsia" w:ascii="仿宋" w:hAnsi="仿宋" w:eastAsia="仿宋" w:cs="仿宋"/>
          <w:color w:val="auto"/>
          <w:szCs w:val="22"/>
          <w:highlight w:val="none"/>
        </w:rPr>
        <w:t>成立时间：  年   月   日</w:t>
      </w:r>
    </w:p>
    <w:p>
      <w:pPr>
        <w:pStyle w:val="15"/>
        <w:spacing w:line="500" w:lineRule="atLeast"/>
        <w:ind w:left="-2" w:firstLine="480"/>
        <w:rPr>
          <w:rFonts w:ascii="仿宋" w:hAnsi="仿宋" w:eastAsia="仿宋" w:cs="仿宋"/>
          <w:color w:val="auto"/>
          <w:szCs w:val="22"/>
          <w:highlight w:val="none"/>
        </w:rPr>
      </w:pPr>
      <w:r>
        <w:rPr>
          <w:rFonts w:hint="eastAsia" w:ascii="仿宋" w:hAnsi="仿宋" w:eastAsia="仿宋" w:cs="仿宋"/>
          <w:color w:val="auto"/>
          <w:szCs w:val="22"/>
          <w:highlight w:val="none"/>
        </w:rPr>
        <w:t>经营期限：</w:t>
      </w:r>
      <w:r>
        <w:rPr>
          <w:rFonts w:hint="eastAsia" w:ascii="仿宋" w:hAnsi="仿宋" w:eastAsia="仿宋" w:cs="仿宋"/>
          <w:color w:val="auto"/>
          <w:szCs w:val="22"/>
          <w:highlight w:val="none"/>
        </w:rPr>
        <w:tab/>
      </w:r>
      <w:r>
        <w:rPr>
          <w:rFonts w:hint="eastAsia" w:ascii="仿宋" w:hAnsi="仿宋" w:eastAsia="仿宋" w:cs="仿宋"/>
          <w:color w:val="auto"/>
          <w:szCs w:val="22"/>
          <w:highlight w:val="none"/>
        </w:rPr>
        <w:tab/>
      </w:r>
    </w:p>
    <w:p>
      <w:pPr>
        <w:pStyle w:val="15"/>
        <w:spacing w:line="500" w:lineRule="atLeast"/>
        <w:ind w:left="-2" w:firstLine="480"/>
        <w:rPr>
          <w:rFonts w:ascii="仿宋" w:hAnsi="仿宋" w:eastAsia="仿宋" w:cs="仿宋"/>
          <w:color w:val="auto"/>
          <w:szCs w:val="22"/>
          <w:highlight w:val="none"/>
        </w:rPr>
      </w:pPr>
      <w:r>
        <w:rPr>
          <w:rFonts w:hint="eastAsia" w:ascii="仿宋" w:hAnsi="仿宋" w:eastAsia="仿宋" w:cs="仿宋"/>
          <w:color w:val="auto"/>
          <w:szCs w:val="22"/>
          <w:highlight w:val="none"/>
        </w:rPr>
        <w:t>姓名：性别：年龄：职务：</w:t>
      </w:r>
      <w:r>
        <w:rPr>
          <w:rFonts w:hint="eastAsia" w:ascii="仿宋" w:hAnsi="仿宋" w:eastAsia="仿宋" w:cs="仿宋"/>
          <w:color w:val="auto"/>
          <w:szCs w:val="22"/>
          <w:highlight w:val="none"/>
        </w:rPr>
        <w:tab/>
      </w:r>
    </w:p>
    <w:p>
      <w:pPr>
        <w:pStyle w:val="15"/>
        <w:spacing w:line="500" w:lineRule="atLeast"/>
        <w:ind w:left="-2" w:firstLine="480"/>
        <w:rPr>
          <w:rFonts w:ascii="仿宋" w:hAnsi="仿宋" w:eastAsia="仿宋" w:cs="仿宋"/>
          <w:color w:val="auto"/>
          <w:szCs w:val="22"/>
          <w:highlight w:val="none"/>
        </w:rPr>
      </w:pPr>
      <w:r>
        <w:rPr>
          <w:rFonts w:hint="eastAsia" w:ascii="仿宋" w:hAnsi="仿宋" w:eastAsia="仿宋" w:cs="仿宋"/>
          <w:color w:val="auto"/>
          <w:szCs w:val="22"/>
          <w:highlight w:val="none"/>
        </w:rPr>
        <w:t>系（供应商单位名称）的法定代表人。</w:t>
      </w:r>
    </w:p>
    <w:p>
      <w:pPr>
        <w:pStyle w:val="15"/>
        <w:spacing w:line="500" w:lineRule="atLeast"/>
        <w:ind w:left="-2" w:firstLine="480"/>
        <w:rPr>
          <w:rFonts w:ascii="仿宋" w:hAnsi="仿宋" w:eastAsia="仿宋" w:cs="仿宋"/>
          <w:color w:val="auto"/>
          <w:szCs w:val="22"/>
          <w:highlight w:val="none"/>
        </w:rPr>
      </w:pPr>
      <w:r>
        <w:rPr>
          <w:rFonts w:ascii="仿宋" w:hAnsi="仿宋" w:eastAsia="仿宋" w:cs="仿宋"/>
          <w:color w:val="auto"/>
          <w:szCs w:val="22"/>
          <w:highlight w:val="none"/>
        </w:rPr>
        <mc:AlternateContent>
          <mc:Choice Requires="wps">
            <w:drawing>
              <wp:anchor distT="0" distB="0" distL="114300" distR="114300" simplePos="0" relativeHeight="251657216" behindDoc="1" locked="1" layoutInCell="1" allowOverlap="1">
                <wp:simplePos x="0" y="0"/>
                <wp:positionH relativeFrom="column">
                  <wp:posOffset>1031875</wp:posOffset>
                </wp:positionH>
                <wp:positionV relativeFrom="paragraph">
                  <wp:posOffset>-1905</wp:posOffset>
                </wp:positionV>
                <wp:extent cx="4200525" cy="1964690"/>
                <wp:effectExtent l="9525" t="9525" r="19050" b="26035"/>
                <wp:wrapNone/>
                <wp:docPr id="3" name="Rectangle 2"/>
                <wp:cNvGraphicFramePr/>
                <a:graphic xmlns:a="http://schemas.openxmlformats.org/drawingml/2006/main">
                  <a:graphicData uri="http://schemas.microsoft.com/office/word/2010/wordprocessingShape">
                    <wps:wsp>
                      <wps:cNvSpPr/>
                      <wps:spPr>
                        <a:xfrm>
                          <a:off x="0" y="0"/>
                          <a:ext cx="4200525" cy="196469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pPr>
                          </w:p>
                          <w:p>
                            <w:pPr>
                              <w:jc w:val="center"/>
                              <w:rPr>
                                <w:rFonts w:ascii="仿宋_GB2312" w:eastAsia="仿宋_GB2312"/>
                              </w:rPr>
                            </w:pPr>
                          </w:p>
                          <w:p>
                            <w:pPr>
                              <w:jc w:val="center"/>
                              <w:rPr>
                                <w:rFonts w:ascii="宋体" w:hAnsi="宋体"/>
                                <w:sz w:val="28"/>
                                <w:szCs w:val="28"/>
                              </w:rPr>
                            </w:pPr>
                            <w:r>
                              <w:rPr>
                                <w:rFonts w:ascii="宋体" w:hAnsi="宋体"/>
                                <w:sz w:val="28"/>
                                <w:szCs w:val="28"/>
                              </w:rPr>
                              <w:t>请附：法定代表人身份证复印件</w:t>
                            </w:r>
                          </w:p>
                        </w:txbxContent>
                      </wps:txbx>
                      <wps:bodyPr upright="1"/>
                    </wps:wsp>
                  </a:graphicData>
                </a:graphic>
              </wp:anchor>
            </w:drawing>
          </mc:Choice>
          <mc:Fallback>
            <w:pict>
              <v:rect id="Rectangle 2" o:spid="_x0000_s1026" o:spt="1" style="position:absolute;left:0pt;margin-left:81.25pt;margin-top:-0.15pt;height:154.7pt;width:330.75pt;z-index:-251659264;mso-width-relative:page;mso-height-relative:page;" fillcolor="#FFFFFF" filled="t" stroked="t" coordsize="21600,21600" o:gfxdata="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9XFk/a&#10;AAAACQEAAA8AAAAAAAAAAQAgAAAAIgAAAGRycy9kb3ducmV2LnhtbFBLAQIUABQAAAAIAIdO4kBm&#10;BOwW5QEAAO4DAAAOAAAAAAAAAAEAIAAAACkBAABkcnMvZTJvRG9jLnhtbFBLBQYAAAAABgAGAFkB&#10;AACABQAAAAA=&#10;">
                <v:fill on="t" focussize="0,0"/>
                <v:stroke weight="1.5pt" color="#000000" joinstyle="miter"/>
                <v:imagedata o:title=""/>
                <o:lock v:ext="edit" aspectratio="f"/>
                <v:textbox>
                  <w:txbxContent>
                    <w:p>
                      <w:pPr>
                        <w:jc w:val="center"/>
                      </w:pPr>
                    </w:p>
                    <w:p>
                      <w:pPr>
                        <w:jc w:val="center"/>
                      </w:pPr>
                    </w:p>
                    <w:p>
                      <w:pPr>
                        <w:jc w:val="center"/>
                      </w:pPr>
                    </w:p>
                    <w:p>
                      <w:pPr>
                        <w:jc w:val="center"/>
                      </w:pPr>
                    </w:p>
                    <w:p>
                      <w:pPr>
                        <w:jc w:val="center"/>
                        <w:rPr>
                          <w:rFonts w:ascii="仿宋_GB2312" w:eastAsia="仿宋_GB2312"/>
                        </w:rPr>
                      </w:pPr>
                    </w:p>
                    <w:p>
                      <w:pPr>
                        <w:jc w:val="center"/>
                        <w:rPr>
                          <w:rFonts w:ascii="宋体" w:hAnsi="宋体"/>
                          <w:sz w:val="28"/>
                          <w:szCs w:val="28"/>
                        </w:rPr>
                      </w:pPr>
                      <w:r>
                        <w:rPr>
                          <w:rFonts w:ascii="宋体" w:hAnsi="宋体"/>
                          <w:sz w:val="28"/>
                          <w:szCs w:val="28"/>
                        </w:rPr>
                        <w:t>请附：法定代表人身份证复印件</w:t>
                      </w:r>
                    </w:p>
                  </w:txbxContent>
                </v:textbox>
                <w10:anchorlock/>
              </v:rect>
            </w:pict>
          </mc:Fallback>
        </mc:AlternateContent>
      </w:r>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rPr>
          <w:rFonts w:ascii="仿宋" w:hAnsi="仿宋" w:eastAsia="仿宋" w:cs="仿宋"/>
          <w:color w:val="auto"/>
          <w:szCs w:val="22"/>
          <w:highlight w:val="none"/>
        </w:rPr>
      </w:pPr>
      <w:r>
        <w:rPr>
          <w:rFonts w:hint="eastAsia" w:ascii="仿宋" w:hAnsi="仿宋" w:eastAsia="仿宋" w:cs="仿宋"/>
          <w:color w:val="auto"/>
          <w:szCs w:val="22"/>
          <w:highlight w:val="none"/>
        </w:rPr>
        <w:t>特此证明</w:t>
      </w:r>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rPr>
          <w:rFonts w:ascii="仿宋" w:hAnsi="仿宋" w:eastAsia="仿宋" w:cs="仿宋"/>
          <w:color w:val="auto"/>
          <w:szCs w:val="22"/>
          <w:highlight w:val="none"/>
        </w:rPr>
      </w:pPr>
      <w:r>
        <w:rPr>
          <w:rFonts w:hint="eastAsia" w:ascii="仿宋" w:hAnsi="仿宋" w:eastAsia="仿宋" w:cs="仿宋"/>
          <w:color w:val="auto"/>
          <w:szCs w:val="22"/>
          <w:highlight w:val="none"/>
        </w:rPr>
        <w:t xml:space="preserve">       供应商：（加盖公章）</w:t>
      </w:r>
    </w:p>
    <w:p>
      <w:pPr>
        <w:pStyle w:val="15"/>
        <w:spacing w:line="500" w:lineRule="atLeast"/>
        <w:ind w:left="-2" w:firstLine="480"/>
        <w:rPr>
          <w:rFonts w:ascii="仿宋" w:hAnsi="仿宋" w:eastAsia="仿宋" w:cs="仿宋"/>
          <w:color w:val="auto"/>
          <w:szCs w:val="22"/>
          <w:highlight w:val="none"/>
        </w:rPr>
      </w:pPr>
      <w:r>
        <w:rPr>
          <w:rFonts w:hint="eastAsia" w:ascii="仿宋" w:hAnsi="仿宋" w:eastAsia="仿宋" w:cs="仿宋"/>
          <w:color w:val="auto"/>
          <w:szCs w:val="22"/>
          <w:highlight w:val="none"/>
        </w:rPr>
        <w:t xml:space="preserve">       法人代表（签字）：             </w:t>
      </w:r>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rPr>
          <w:rFonts w:ascii="仿宋" w:hAnsi="仿宋" w:eastAsia="仿宋" w:cs="仿宋"/>
          <w:color w:val="auto"/>
          <w:szCs w:val="22"/>
          <w:highlight w:val="none"/>
        </w:rPr>
      </w:pPr>
      <w:r>
        <w:rPr>
          <w:rFonts w:hint="eastAsia" w:ascii="仿宋" w:hAnsi="仿宋" w:eastAsia="仿宋" w:cs="仿宋"/>
          <w:color w:val="auto"/>
          <w:szCs w:val="22"/>
          <w:highlight w:val="none"/>
        </w:rPr>
        <w:t xml:space="preserve">                                                   年   月   日</w:t>
      </w:r>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三、法定代表人授权委托书</w:t>
      </w:r>
      <w:bookmarkEnd w:id="253"/>
      <w:bookmarkEnd w:id="254"/>
      <w:bookmarkEnd w:id="255"/>
      <w:bookmarkEnd w:id="256"/>
      <w:bookmarkEnd w:id="257"/>
      <w:bookmarkEnd w:id="258"/>
      <w:bookmarkEnd w:id="259"/>
      <w:bookmarkEnd w:id="260"/>
      <w:bookmarkEnd w:id="261"/>
      <w:bookmarkEnd w:id="262"/>
      <w:bookmarkEnd w:id="263"/>
      <w:bookmarkEnd w:id="264"/>
      <w:bookmarkEnd w:id="265"/>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rPr>
          <w:rFonts w:ascii="仿宋" w:hAnsi="仿宋" w:eastAsia="仿宋" w:cs="仿宋"/>
          <w:color w:val="auto"/>
          <w:szCs w:val="22"/>
          <w:highlight w:val="none"/>
        </w:rPr>
      </w:pPr>
      <w:r>
        <w:rPr>
          <w:rFonts w:hint="eastAsia" w:ascii="仿宋" w:hAnsi="仿宋" w:eastAsia="仿宋" w:cs="仿宋"/>
          <w:color w:val="auto"/>
          <w:szCs w:val="22"/>
          <w:highlight w:val="none"/>
          <w:u w:val="single"/>
        </w:rPr>
        <w:t xml:space="preserve">                         </w:t>
      </w:r>
      <w:r>
        <w:rPr>
          <w:rFonts w:hint="eastAsia" w:ascii="仿宋" w:hAnsi="仿宋" w:eastAsia="仿宋" w:cs="仿宋"/>
          <w:color w:val="auto"/>
          <w:szCs w:val="22"/>
          <w:highlight w:val="none"/>
        </w:rPr>
        <w:t>（投标人名称）法定代表人</w:t>
      </w:r>
      <w:r>
        <w:rPr>
          <w:rFonts w:hint="eastAsia" w:ascii="仿宋" w:hAnsi="仿宋" w:eastAsia="仿宋" w:cs="仿宋"/>
          <w:color w:val="auto"/>
          <w:szCs w:val="22"/>
          <w:highlight w:val="none"/>
          <w:u w:val="single"/>
        </w:rPr>
        <w:t xml:space="preserve">                    </w:t>
      </w:r>
      <w:r>
        <w:rPr>
          <w:rFonts w:hint="eastAsia" w:ascii="仿宋" w:hAnsi="仿宋" w:eastAsia="仿宋" w:cs="仿宋"/>
          <w:color w:val="auto"/>
          <w:szCs w:val="22"/>
          <w:highlight w:val="none"/>
        </w:rPr>
        <w:t>授权我单位</w:t>
      </w:r>
      <w:r>
        <w:rPr>
          <w:rFonts w:hint="eastAsia" w:ascii="仿宋" w:hAnsi="仿宋" w:eastAsia="仿宋" w:cs="仿宋"/>
          <w:color w:val="auto"/>
          <w:szCs w:val="22"/>
          <w:highlight w:val="none"/>
          <w:u w:val="single"/>
        </w:rPr>
        <w:t xml:space="preserve">                      </w:t>
      </w:r>
      <w:r>
        <w:rPr>
          <w:rFonts w:hint="eastAsia" w:ascii="仿宋" w:hAnsi="仿宋" w:eastAsia="仿宋" w:cs="仿宋"/>
          <w:color w:val="auto"/>
          <w:szCs w:val="22"/>
          <w:highlight w:val="none"/>
        </w:rPr>
        <w:t>（职务或职称）</w:t>
      </w:r>
      <w:r>
        <w:rPr>
          <w:rFonts w:hint="eastAsia" w:ascii="仿宋" w:hAnsi="仿宋" w:eastAsia="仿宋" w:cs="仿宋"/>
          <w:color w:val="auto"/>
          <w:szCs w:val="22"/>
          <w:highlight w:val="none"/>
          <w:u w:val="single"/>
        </w:rPr>
        <w:t xml:space="preserve">                    </w:t>
      </w:r>
      <w:r>
        <w:rPr>
          <w:rFonts w:hint="eastAsia" w:ascii="仿宋" w:hAnsi="仿宋" w:eastAsia="仿宋" w:cs="仿宋"/>
          <w:color w:val="auto"/>
          <w:szCs w:val="22"/>
          <w:highlight w:val="none"/>
        </w:rPr>
        <w:t>（姓名）为我单位本次磋商授权代理人，全权办理此次</w:t>
      </w:r>
      <w:r>
        <w:rPr>
          <w:rFonts w:hint="eastAsia" w:ascii="仿宋" w:hAnsi="仿宋" w:eastAsia="仿宋" w:cs="仿宋"/>
          <w:color w:val="auto"/>
          <w:szCs w:val="22"/>
          <w:highlight w:val="none"/>
          <w:u w:val="single"/>
        </w:rPr>
        <w:t xml:space="preserve">                                    </w:t>
      </w:r>
      <w:r>
        <w:rPr>
          <w:rFonts w:hint="eastAsia" w:ascii="仿宋" w:hAnsi="仿宋" w:eastAsia="仿宋" w:cs="仿宋"/>
          <w:color w:val="auto"/>
          <w:szCs w:val="22"/>
          <w:highlight w:val="none"/>
        </w:rPr>
        <w:t xml:space="preserve"> 竞争性磋商政府采购项目（项目编号：</w:t>
      </w:r>
      <w:r>
        <w:rPr>
          <w:rFonts w:hint="eastAsia" w:ascii="仿宋" w:hAnsi="仿宋" w:eastAsia="仿宋" w:cs="仿宋"/>
          <w:color w:val="auto"/>
          <w:szCs w:val="22"/>
          <w:highlight w:val="none"/>
          <w:u w:val="single"/>
        </w:rPr>
        <w:t xml:space="preserve">                </w:t>
      </w:r>
      <w:r>
        <w:rPr>
          <w:rFonts w:hint="eastAsia" w:ascii="仿宋" w:hAnsi="仿宋" w:eastAsia="仿宋" w:cs="仿宋"/>
          <w:color w:val="auto"/>
          <w:szCs w:val="22"/>
          <w:highlight w:val="none"/>
        </w:rPr>
        <w:t xml:space="preserve"> ）的一切事宜。代理人在该项目活动中所签署的一切文件，我（单位）均予承认。</w:t>
      </w:r>
    </w:p>
    <w:p>
      <w:pPr>
        <w:pStyle w:val="15"/>
        <w:spacing w:line="500" w:lineRule="atLeast"/>
        <w:ind w:left="-2" w:firstLine="480"/>
        <w:rPr>
          <w:rFonts w:ascii="仿宋" w:hAnsi="仿宋" w:eastAsia="仿宋" w:cs="仿宋"/>
          <w:color w:val="auto"/>
          <w:szCs w:val="22"/>
          <w:highlight w:val="none"/>
        </w:rPr>
      </w:pPr>
      <w:r>
        <w:rPr>
          <w:rFonts w:hint="eastAsia" w:ascii="仿宋" w:hAnsi="仿宋" w:eastAsia="仿宋" w:cs="仿宋"/>
          <w:color w:val="auto"/>
          <w:szCs w:val="22"/>
          <w:highlight w:val="none"/>
        </w:rPr>
        <w:t>代理人无转委托权。</w:t>
      </w:r>
    </w:p>
    <w:p>
      <w:pPr>
        <w:pStyle w:val="15"/>
        <w:spacing w:line="500" w:lineRule="atLeast"/>
        <w:ind w:left="-2" w:firstLine="480"/>
        <w:rPr>
          <w:rFonts w:ascii="仿宋" w:hAnsi="仿宋" w:eastAsia="仿宋" w:cs="仿宋"/>
          <w:color w:val="auto"/>
          <w:szCs w:val="22"/>
          <w:highlight w:val="none"/>
        </w:rPr>
      </w:pPr>
    </w:p>
    <w:p>
      <w:pPr>
        <w:pStyle w:val="15"/>
        <w:spacing w:line="500" w:lineRule="atLeast"/>
        <w:ind w:left="-2" w:firstLine="480"/>
        <w:rPr>
          <w:rFonts w:ascii="仿宋" w:hAnsi="仿宋" w:eastAsia="仿宋" w:cs="仿宋"/>
          <w:color w:val="auto"/>
          <w:szCs w:val="22"/>
          <w:highlight w:val="none"/>
        </w:rPr>
      </w:pPr>
      <w:r>
        <w:rPr>
          <w:rFonts w:hint="eastAsia" w:ascii="仿宋" w:hAnsi="仿宋" w:eastAsia="仿宋" w:cs="仿宋"/>
          <w:color w:val="auto"/>
          <w:szCs w:val="22"/>
          <w:highlight w:val="none"/>
        </w:rPr>
        <w:t>特此授权。</w:t>
      </w:r>
    </w:p>
    <w:p>
      <w:pPr>
        <w:pStyle w:val="15"/>
        <w:spacing w:line="500" w:lineRule="atLeast"/>
        <w:ind w:left="-2" w:firstLine="480"/>
        <w:rPr>
          <w:rFonts w:ascii="仿宋" w:hAnsi="仿宋" w:eastAsia="仿宋" w:cs="仿宋"/>
          <w:color w:val="auto"/>
          <w:szCs w:val="22"/>
          <w:highlight w:val="none"/>
        </w:rPr>
      </w:pPr>
    </w:p>
    <w:tbl>
      <w:tblPr>
        <w:tblStyle w:val="4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1" w:hRule="atLeast"/>
          <w:jc w:val="center"/>
        </w:trPr>
        <w:tc>
          <w:tcPr>
            <w:tcW w:w="9071" w:type="dxa"/>
            <w:vAlign w:val="center"/>
          </w:tcPr>
          <w:p>
            <w:pPr>
              <w:pStyle w:val="15"/>
              <w:spacing w:line="500" w:lineRule="atLeast"/>
              <w:ind w:left="-2" w:firstLine="480"/>
              <w:rPr>
                <w:rFonts w:ascii="仿宋" w:hAnsi="仿宋" w:eastAsia="仿宋" w:cs="仿宋"/>
                <w:color w:val="auto"/>
                <w:szCs w:val="22"/>
                <w:highlight w:val="none"/>
              </w:rPr>
            </w:pPr>
            <w:r>
              <w:rPr>
                <w:rFonts w:hint="eastAsia" w:ascii="仿宋" w:hAnsi="仿宋" w:eastAsia="仿宋" w:cs="仿宋"/>
                <w:color w:val="auto"/>
                <w:szCs w:val="22"/>
                <w:highlight w:val="none"/>
              </w:rPr>
              <w:t>被授权人身份证复印件粘贴处（正反两面）</w:t>
            </w:r>
          </w:p>
        </w:tc>
      </w:tr>
    </w:tbl>
    <w:p>
      <w:pPr>
        <w:pStyle w:val="15"/>
        <w:spacing w:line="500" w:lineRule="atLeast"/>
        <w:rPr>
          <w:rFonts w:ascii="仿宋" w:hAnsi="仿宋" w:eastAsia="仿宋" w:cs="仿宋"/>
          <w:color w:val="auto"/>
          <w:highlight w:val="none"/>
        </w:rPr>
      </w:pPr>
    </w:p>
    <w:p>
      <w:pPr>
        <w:pStyle w:val="15"/>
        <w:spacing w:line="500" w:lineRule="atLeast"/>
        <w:rPr>
          <w:rFonts w:ascii="仿宋" w:hAnsi="仿宋" w:eastAsia="仿宋" w:cs="仿宋"/>
          <w:color w:val="auto"/>
          <w:highlight w:val="none"/>
        </w:rPr>
      </w:pPr>
      <w:r>
        <w:rPr>
          <w:rFonts w:hint="eastAsia" w:ascii="仿宋" w:hAnsi="仿宋" w:eastAsia="仿宋" w:cs="仿宋"/>
          <w:color w:val="auto"/>
          <w:highlight w:val="none"/>
        </w:rPr>
        <w:t>授权单位（公章）：</w:t>
      </w:r>
      <w:r>
        <w:rPr>
          <w:rFonts w:hint="eastAsia" w:ascii="仿宋" w:hAnsi="仿宋" w:eastAsia="仿宋" w:cs="仿宋"/>
          <w:color w:val="auto"/>
          <w:highlight w:val="none"/>
          <w:u w:val="single"/>
        </w:rPr>
        <w:t xml:space="preserve">                        </w:t>
      </w:r>
    </w:p>
    <w:p>
      <w:pPr>
        <w:pStyle w:val="15"/>
        <w:spacing w:line="500" w:lineRule="atLeast"/>
        <w:rPr>
          <w:rFonts w:ascii="仿宋" w:hAnsi="仿宋" w:eastAsia="仿宋" w:cs="仿宋"/>
          <w:color w:val="auto"/>
          <w:highlight w:val="none"/>
        </w:rPr>
      </w:pPr>
    </w:p>
    <w:p>
      <w:pPr>
        <w:pStyle w:val="15"/>
        <w:spacing w:line="500" w:lineRule="atLeast"/>
        <w:rPr>
          <w:rFonts w:ascii="仿宋" w:hAnsi="仿宋" w:eastAsia="仿宋" w:cs="仿宋"/>
          <w:color w:val="auto"/>
          <w:highlight w:val="none"/>
        </w:rPr>
      </w:pPr>
      <w:r>
        <w:rPr>
          <w:rFonts w:hint="eastAsia" w:ascii="仿宋" w:hAnsi="仿宋" w:eastAsia="仿宋" w:cs="仿宋"/>
          <w:color w:val="auto"/>
          <w:highlight w:val="none"/>
        </w:rPr>
        <w:t>法定代表人（签字）：</w:t>
      </w:r>
      <w:r>
        <w:rPr>
          <w:rFonts w:hint="eastAsia" w:ascii="仿宋" w:hAnsi="仿宋" w:eastAsia="仿宋" w:cs="仿宋"/>
          <w:color w:val="auto"/>
          <w:highlight w:val="none"/>
          <w:u w:val="single"/>
        </w:rPr>
        <w:t xml:space="preserve">                      </w:t>
      </w:r>
    </w:p>
    <w:p>
      <w:pPr>
        <w:spacing w:line="500" w:lineRule="atLeast"/>
        <w:rPr>
          <w:rFonts w:ascii="仿宋" w:hAnsi="仿宋" w:eastAsia="仿宋" w:cs="仿宋"/>
          <w:color w:val="auto"/>
          <w:sz w:val="24"/>
          <w:highlight w:val="none"/>
        </w:rPr>
      </w:pPr>
    </w:p>
    <w:p>
      <w:pPr>
        <w:spacing w:line="500" w:lineRule="atLeast"/>
        <w:rPr>
          <w:rFonts w:ascii="仿宋" w:hAnsi="仿宋" w:eastAsia="仿宋" w:cs="仿宋"/>
          <w:color w:val="auto"/>
          <w:sz w:val="24"/>
          <w:highlight w:val="none"/>
        </w:rPr>
      </w:pPr>
    </w:p>
    <w:p>
      <w:pPr>
        <w:spacing w:before="240" w:line="500" w:lineRule="atLeast"/>
        <w:ind w:left="-126" w:leftChars="-287" w:hanging="448" w:hangingChars="178"/>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日期：</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年</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月</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日</w:t>
      </w:r>
    </w:p>
    <w:p>
      <w:pPr>
        <w:tabs>
          <w:tab w:val="left" w:pos="0"/>
          <w:tab w:val="left" w:pos="720"/>
          <w:tab w:val="left" w:pos="1440"/>
          <w:tab w:val="left" w:pos="2160"/>
          <w:tab w:val="left" w:pos="2880"/>
          <w:tab w:val="left" w:pos="3600"/>
          <w:tab w:val="left" w:pos="4320"/>
        </w:tabs>
        <w:autoSpaceDE w:val="0"/>
        <w:autoSpaceDN w:val="0"/>
        <w:adjustRightInd w:val="0"/>
        <w:spacing w:line="500" w:lineRule="atLeast"/>
        <w:outlineLvl w:val="1"/>
        <w:rPr>
          <w:rFonts w:ascii="仿宋" w:hAnsi="仿宋" w:eastAsia="仿宋" w:cs="仿宋"/>
          <w:color w:val="auto"/>
          <w:highlight w:val="none"/>
        </w:rPr>
      </w:pPr>
      <w:bookmarkStart w:id="266" w:name="_Toc1045"/>
    </w:p>
    <w:p>
      <w:pPr>
        <w:pStyle w:val="73"/>
        <w:spacing w:line="500" w:lineRule="atLeast"/>
        <w:jc w:val="both"/>
        <w:outlineLvl w:val="1"/>
        <w:rPr>
          <w:rFonts w:ascii="仿宋" w:hAnsi="仿宋" w:eastAsia="仿宋" w:cs="仿宋"/>
          <w:color w:val="auto"/>
          <w:highlight w:val="none"/>
        </w:rPr>
      </w:pPr>
      <w:bookmarkStart w:id="267" w:name="_Toc29541"/>
      <w:bookmarkStart w:id="268" w:name="_Toc14899"/>
      <w:bookmarkStart w:id="269" w:name="_Toc7927"/>
      <w:bookmarkStart w:id="270" w:name="_Toc6472"/>
      <w:bookmarkStart w:id="271" w:name="_Toc11259"/>
      <w:bookmarkStart w:id="272" w:name="_Toc20455"/>
      <w:bookmarkStart w:id="273" w:name="_Toc20128"/>
      <w:bookmarkStart w:id="274" w:name="_Toc22430"/>
      <w:bookmarkStart w:id="275" w:name="_Toc19766"/>
      <w:bookmarkStart w:id="276" w:name="_Toc7267"/>
      <w:bookmarkStart w:id="277" w:name="_Toc16985"/>
    </w:p>
    <w:p>
      <w:pPr>
        <w:pStyle w:val="73"/>
        <w:spacing w:line="500" w:lineRule="atLeast"/>
        <w:jc w:val="both"/>
        <w:outlineLvl w:val="1"/>
        <w:rPr>
          <w:rFonts w:ascii="仿宋" w:hAnsi="仿宋" w:eastAsia="仿宋" w:cs="仿宋"/>
          <w:color w:val="auto"/>
          <w:highlight w:val="none"/>
        </w:rPr>
      </w:pPr>
    </w:p>
    <w:p>
      <w:pPr>
        <w:pStyle w:val="73"/>
        <w:spacing w:line="500" w:lineRule="atLeast"/>
        <w:outlineLvl w:val="1"/>
        <w:rPr>
          <w:rFonts w:ascii="仿宋" w:hAnsi="仿宋" w:eastAsia="仿宋" w:cs="仿宋"/>
          <w:b/>
          <w:bCs/>
          <w:color w:val="auto"/>
          <w:highlight w:val="none"/>
        </w:rPr>
      </w:pPr>
      <w:r>
        <w:rPr>
          <w:rFonts w:hint="eastAsia" w:ascii="仿宋" w:hAnsi="仿宋" w:eastAsia="仿宋" w:cs="仿宋"/>
          <w:b/>
          <w:bCs/>
          <w:color w:val="auto"/>
          <w:highlight w:val="none"/>
        </w:rPr>
        <w:t>四、投标保证金</w:t>
      </w:r>
      <w:bookmarkEnd w:id="266"/>
      <w:bookmarkEnd w:id="267"/>
      <w:bookmarkEnd w:id="268"/>
      <w:bookmarkEnd w:id="269"/>
      <w:bookmarkEnd w:id="270"/>
      <w:bookmarkEnd w:id="271"/>
      <w:bookmarkEnd w:id="272"/>
      <w:bookmarkEnd w:id="273"/>
      <w:bookmarkEnd w:id="274"/>
      <w:bookmarkEnd w:id="275"/>
      <w:bookmarkEnd w:id="276"/>
      <w:bookmarkEnd w:id="277"/>
    </w:p>
    <w:p>
      <w:pPr>
        <w:pStyle w:val="47"/>
        <w:spacing w:beforeLines="50" w:line="500" w:lineRule="atLeast"/>
        <w:ind w:firstLine="0" w:firstLineChars="0"/>
        <w:jc w:val="center"/>
        <w:rPr>
          <w:rFonts w:ascii="仿宋" w:hAnsi="仿宋" w:eastAsia="仿宋" w:cs="仿宋"/>
          <w:color w:val="auto"/>
          <w:sz w:val="32"/>
          <w:highlight w:val="none"/>
        </w:rPr>
      </w:pPr>
    </w:p>
    <w:p>
      <w:pPr>
        <w:pStyle w:val="47"/>
        <w:spacing w:beforeLines="50" w:line="500" w:lineRule="atLeast"/>
        <w:ind w:firstLine="504"/>
        <w:rPr>
          <w:rFonts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（下称“投标人”）于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日参加（下称“采购人”）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项目的竞争性磋商。投标人在此承担向采购人支付总金额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元的责任。</w:t>
      </w:r>
    </w:p>
    <w:p>
      <w:pPr>
        <w:pStyle w:val="47"/>
        <w:spacing w:beforeLines="50" w:line="500" w:lineRule="atLeast"/>
        <w:ind w:firstLine="504"/>
        <w:rPr>
          <w:rFonts w:ascii="仿宋" w:hAnsi="仿宋" w:eastAsia="仿宋" w:cs="仿宋"/>
          <w:color w:val="auto"/>
          <w:highlight w:val="none"/>
        </w:rPr>
      </w:pPr>
      <w:r>
        <w:rPr>
          <w:rFonts w:hint="eastAsia" w:ascii="仿宋" w:hAnsi="仿宋" w:eastAsia="仿宋" w:cs="仿宋"/>
          <w:color w:val="auto"/>
          <w:highlight w:val="none"/>
        </w:rPr>
        <w:t>投标保证金在报价有效期内保持有效。</w:t>
      </w:r>
    </w:p>
    <w:p>
      <w:pPr>
        <w:spacing w:before="240" w:line="500" w:lineRule="atLeast"/>
        <w:ind w:left="546"/>
        <w:rPr>
          <w:rFonts w:ascii="仿宋" w:hAnsi="仿宋" w:eastAsia="仿宋" w:cs="仿宋"/>
          <w:color w:val="auto"/>
          <w:spacing w:val="6"/>
          <w:sz w:val="24"/>
          <w:highlight w:val="none"/>
        </w:rPr>
      </w:pPr>
    </w:p>
    <w:tbl>
      <w:tblPr>
        <w:tblStyle w:val="41"/>
        <w:tblW w:w="861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26" w:hRule="atLeast"/>
          <w:jc w:val="center"/>
        </w:trPr>
        <w:tc>
          <w:tcPr>
            <w:tcW w:w="8610" w:type="dxa"/>
            <w:vAlign w:val="center"/>
          </w:tcPr>
          <w:p>
            <w:pPr>
              <w:widowControl w:val="0"/>
              <w:spacing w:before="240" w:line="500" w:lineRule="atLeast"/>
              <w:jc w:val="center"/>
              <w:rPr>
                <w:rFonts w:ascii="仿宋" w:hAnsi="仿宋" w:eastAsia="仿宋" w:cs="仿宋"/>
                <w:bCs/>
                <w:color w:val="auto"/>
                <w:spacing w:val="6"/>
                <w:sz w:val="24"/>
                <w:szCs w:val="30"/>
                <w:highlight w:val="none"/>
              </w:rPr>
            </w:pPr>
            <w:r>
              <w:rPr>
                <w:rFonts w:hint="eastAsia" w:ascii="仿宋" w:hAnsi="仿宋" w:eastAsia="仿宋" w:cs="仿宋"/>
                <w:bCs/>
                <w:color w:val="auto"/>
                <w:spacing w:val="6"/>
                <w:sz w:val="24"/>
                <w:szCs w:val="30"/>
                <w:highlight w:val="none"/>
              </w:rPr>
              <w:t>投标保证金证明</w:t>
            </w:r>
          </w:p>
          <w:p>
            <w:pPr>
              <w:widowControl w:val="0"/>
              <w:spacing w:before="240" w:line="500" w:lineRule="atLeast"/>
              <w:jc w:val="center"/>
              <w:rPr>
                <w:rFonts w:ascii="仿宋" w:hAnsi="仿宋" w:eastAsia="仿宋" w:cs="仿宋"/>
                <w:b/>
                <w:bCs/>
                <w:color w:val="auto"/>
                <w:sz w:val="32"/>
                <w:szCs w:val="32"/>
                <w:highlight w:val="none"/>
              </w:rPr>
            </w:pPr>
            <w:r>
              <w:rPr>
                <w:rFonts w:hint="eastAsia" w:ascii="仿宋" w:hAnsi="仿宋" w:eastAsia="仿宋" w:cs="仿宋"/>
                <w:bCs/>
                <w:color w:val="auto"/>
                <w:spacing w:val="6"/>
                <w:sz w:val="24"/>
                <w:szCs w:val="30"/>
                <w:highlight w:val="none"/>
              </w:rPr>
              <w:t>（粘贴处）</w:t>
            </w:r>
          </w:p>
        </w:tc>
      </w:tr>
    </w:tbl>
    <w:p>
      <w:pPr>
        <w:spacing w:before="240" w:line="500" w:lineRule="atLeast"/>
        <w:ind w:firstLine="504" w:firstLineChars="200"/>
        <w:rPr>
          <w:rFonts w:ascii="仿宋" w:hAnsi="仿宋" w:eastAsia="仿宋" w:cs="仿宋"/>
          <w:color w:val="auto"/>
          <w:spacing w:val="6"/>
          <w:sz w:val="24"/>
          <w:highlight w:val="none"/>
        </w:rPr>
      </w:pPr>
    </w:p>
    <w:p>
      <w:pPr>
        <w:spacing w:before="240" w:line="500" w:lineRule="atLeast"/>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投标人：（盖章）</w:t>
      </w:r>
    </w:p>
    <w:p>
      <w:pPr>
        <w:spacing w:before="240" w:line="500" w:lineRule="atLeast"/>
        <w:ind w:firstLine="504" w:firstLineChars="200"/>
        <w:rPr>
          <w:rFonts w:ascii="仿宋" w:hAnsi="仿宋" w:eastAsia="仿宋" w:cs="仿宋"/>
          <w:color w:val="auto"/>
          <w:spacing w:val="6"/>
          <w:sz w:val="24"/>
          <w:highlight w:val="none"/>
        </w:rPr>
      </w:pPr>
    </w:p>
    <w:p>
      <w:pPr>
        <w:pStyle w:val="47"/>
        <w:spacing w:before="240" w:line="500" w:lineRule="atLeast"/>
        <w:ind w:firstLine="504"/>
        <w:rPr>
          <w:rFonts w:ascii="仿宋" w:hAnsi="仿宋" w:eastAsia="仿宋" w:cs="仿宋"/>
          <w:color w:val="auto"/>
          <w:highlight w:val="none"/>
        </w:rPr>
      </w:pPr>
      <w:r>
        <w:rPr>
          <w:rFonts w:hint="eastAsia" w:ascii="仿宋" w:hAnsi="仿宋" w:eastAsia="仿宋" w:cs="仿宋"/>
          <w:color w:val="auto"/>
          <w:highlight w:val="none"/>
        </w:rPr>
        <w:t>法定代表人或其授权代理人（签字）：</w:t>
      </w:r>
    </w:p>
    <w:p>
      <w:pPr>
        <w:spacing w:before="240" w:line="500" w:lineRule="atLeast"/>
        <w:ind w:left="-126" w:leftChars="-287" w:hanging="448" w:hangingChars="178"/>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w:t>
      </w:r>
    </w:p>
    <w:p>
      <w:pPr>
        <w:spacing w:before="240" w:line="500" w:lineRule="atLeas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日期：</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年</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月</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日</w:t>
      </w:r>
    </w:p>
    <w:p>
      <w:pPr>
        <w:spacing w:line="500" w:lineRule="atLeast"/>
        <w:rPr>
          <w:rFonts w:ascii="仿宋" w:hAnsi="仿宋" w:eastAsia="仿宋" w:cs="仿宋"/>
          <w:color w:val="auto"/>
          <w:highlight w:val="none"/>
        </w:rPr>
      </w:pPr>
      <w:bookmarkStart w:id="278" w:name="_Toc18763"/>
      <w:bookmarkStart w:id="279" w:name="_Toc19728"/>
      <w:bookmarkStart w:id="280" w:name="_Toc30168"/>
      <w:bookmarkStart w:id="281" w:name="_Toc9503"/>
      <w:bookmarkStart w:id="282" w:name="_Toc4564"/>
      <w:bookmarkStart w:id="283" w:name="_Toc15824"/>
      <w:bookmarkStart w:id="284" w:name="_Toc27207"/>
      <w:bookmarkStart w:id="285" w:name="_Toc23392"/>
      <w:bookmarkStart w:id="286" w:name="_Toc24576"/>
      <w:bookmarkStart w:id="287" w:name="_Toc13113"/>
    </w:p>
    <w:p>
      <w:pPr>
        <w:pStyle w:val="73"/>
        <w:spacing w:line="500" w:lineRule="atLeast"/>
        <w:jc w:val="both"/>
        <w:outlineLvl w:val="1"/>
        <w:rPr>
          <w:rFonts w:ascii="仿宋" w:hAnsi="仿宋" w:eastAsia="仿宋" w:cs="仿宋"/>
          <w:color w:val="auto"/>
          <w:highlight w:val="none"/>
        </w:rPr>
      </w:pPr>
    </w:p>
    <w:p>
      <w:pPr>
        <w:pStyle w:val="73"/>
        <w:spacing w:line="500" w:lineRule="atLeast"/>
        <w:jc w:val="both"/>
        <w:outlineLvl w:val="1"/>
        <w:rPr>
          <w:rFonts w:ascii="仿宋" w:hAnsi="仿宋" w:eastAsia="仿宋" w:cs="仿宋"/>
          <w:color w:val="auto"/>
          <w:highlight w:val="none"/>
        </w:rPr>
      </w:pPr>
    </w:p>
    <w:p>
      <w:pPr>
        <w:pStyle w:val="73"/>
        <w:spacing w:line="500" w:lineRule="atLeast"/>
        <w:jc w:val="both"/>
        <w:outlineLvl w:val="1"/>
        <w:rPr>
          <w:rFonts w:ascii="仿宋" w:hAnsi="仿宋" w:eastAsia="仿宋" w:cs="仿宋"/>
          <w:color w:val="auto"/>
          <w:highlight w:val="none"/>
        </w:rPr>
      </w:pPr>
    </w:p>
    <w:p>
      <w:pPr>
        <w:pStyle w:val="73"/>
        <w:spacing w:line="500" w:lineRule="atLeast"/>
        <w:outlineLvl w:val="1"/>
        <w:rPr>
          <w:rFonts w:ascii="仿宋" w:hAnsi="仿宋" w:eastAsia="仿宋" w:cs="仿宋"/>
          <w:b/>
          <w:bCs/>
          <w:color w:val="auto"/>
          <w:highlight w:val="none"/>
        </w:rPr>
      </w:pPr>
      <w:r>
        <w:rPr>
          <w:rFonts w:hint="eastAsia" w:ascii="仿宋" w:hAnsi="仿宋" w:eastAsia="仿宋" w:cs="仿宋"/>
          <w:b/>
          <w:bCs/>
          <w:color w:val="auto"/>
          <w:highlight w:val="none"/>
        </w:rPr>
        <w:t>五、报价一览表</w:t>
      </w:r>
      <w:bookmarkEnd w:id="278"/>
      <w:bookmarkEnd w:id="279"/>
      <w:bookmarkEnd w:id="280"/>
      <w:bookmarkEnd w:id="281"/>
      <w:bookmarkEnd w:id="282"/>
      <w:bookmarkEnd w:id="283"/>
      <w:bookmarkEnd w:id="284"/>
      <w:bookmarkEnd w:id="285"/>
      <w:bookmarkEnd w:id="286"/>
      <w:bookmarkEnd w:id="287"/>
    </w:p>
    <w:p>
      <w:pPr>
        <w:adjustRightInd w:val="0"/>
        <w:snapToGrid w:val="0"/>
        <w:spacing w:line="500" w:lineRule="atLeast"/>
        <w:ind w:firstLine="241" w:firstLineChars="100"/>
        <w:rPr>
          <w:rFonts w:ascii="仿宋" w:hAnsi="仿宋" w:eastAsia="仿宋" w:cs="仿宋"/>
          <w:bCs/>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Cs w:val="21"/>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Cs/>
          <w:color w:val="auto"/>
          <w:sz w:val="24"/>
          <w:highlight w:val="none"/>
        </w:rPr>
        <w:t xml:space="preserve">    货币单位： 元</w:t>
      </w:r>
      <w:r>
        <w:rPr>
          <w:rFonts w:hint="eastAsia" w:ascii="仿宋" w:hAnsi="仿宋" w:eastAsia="仿宋" w:cs="仿宋"/>
          <w:color w:val="auto"/>
          <w:sz w:val="24"/>
          <w:highlight w:val="none"/>
        </w:rPr>
        <w:t>（人民币）</w:t>
      </w:r>
    </w:p>
    <w:tbl>
      <w:tblPr>
        <w:tblStyle w:val="41"/>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848"/>
        <w:gridCol w:w="633"/>
        <w:gridCol w:w="2540"/>
        <w:gridCol w:w="3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680" w:type="dxa"/>
            <w:vAlign w:val="center"/>
          </w:tcPr>
          <w:p>
            <w:pPr>
              <w:spacing w:line="5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投标单位名称</w:t>
            </w:r>
          </w:p>
        </w:tc>
        <w:tc>
          <w:tcPr>
            <w:tcW w:w="7834" w:type="dxa"/>
            <w:gridSpan w:val="4"/>
            <w:vAlign w:val="center"/>
          </w:tcPr>
          <w:p>
            <w:pPr>
              <w:spacing w:line="500" w:lineRule="atLeas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680" w:type="dxa"/>
            <w:vAlign w:val="center"/>
          </w:tcPr>
          <w:p>
            <w:pPr>
              <w:spacing w:line="5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7834" w:type="dxa"/>
            <w:gridSpan w:val="4"/>
            <w:vAlign w:val="center"/>
          </w:tcPr>
          <w:p>
            <w:pPr>
              <w:spacing w:line="500" w:lineRule="atLeas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80" w:type="dxa"/>
            <w:vAlign w:val="center"/>
          </w:tcPr>
          <w:p>
            <w:pPr>
              <w:spacing w:line="5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tc>
        <w:tc>
          <w:tcPr>
            <w:tcW w:w="7834" w:type="dxa"/>
            <w:gridSpan w:val="4"/>
            <w:vAlign w:val="center"/>
          </w:tcPr>
          <w:p>
            <w:pPr>
              <w:spacing w:line="500" w:lineRule="atLeas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680" w:type="dxa"/>
            <w:vMerge w:val="restart"/>
            <w:vAlign w:val="center"/>
          </w:tcPr>
          <w:p>
            <w:pPr>
              <w:spacing w:line="5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磋商前基础</w:t>
            </w:r>
          </w:p>
          <w:p>
            <w:pPr>
              <w:spacing w:line="5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报价（总价）</w:t>
            </w:r>
          </w:p>
        </w:tc>
        <w:tc>
          <w:tcPr>
            <w:tcW w:w="1481" w:type="dxa"/>
            <w:gridSpan w:val="2"/>
            <w:vAlign w:val="center"/>
          </w:tcPr>
          <w:p>
            <w:pPr>
              <w:spacing w:line="5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大写</w:t>
            </w:r>
          </w:p>
        </w:tc>
        <w:tc>
          <w:tcPr>
            <w:tcW w:w="6353" w:type="dxa"/>
            <w:gridSpan w:val="2"/>
            <w:vAlign w:val="center"/>
          </w:tcPr>
          <w:p>
            <w:pPr>
              <w:spacing w:line="5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0" w:hRule="atLeast"/>
          <w:jc w:val="center"/>
        </w:trPr>
        <w:tc>
          <w:tcPr>
            <w:tcW w:w="1680" w:type="dxa"/>
            <w:vMerge w:val="continue"/>
            <w:vAlign w:val="center"/>
          </w:tcPr>
          <w:p>
            <w:pPr>
              <w:spacing w:line="500" w:lineRule="atLeast"/>
              <w:jc w:val="center"/>
              <w:rPr>
                <w:rFonts w:ascii="仿宋" w:hAnsi="仿宋" w:eastAsia="仿宋" w:cs="仿宋"/>
                <w:color w:val="auto"/>
                <w:sz w:val="24"/>
                <w:highlight w:val="none"/>
              </w:rPr>
            </w:pPr>
          </w:p>
        </w:tc>
        <w:tc>
          <w:tcPr>
            <w:tcW w:w="1481" w:type="dxa"/>
            <w:gridSpan w:val="2"/>
            <w:vAlign w:val="center"/>
          </w:tcPr>
          <w:p>
            <w:pPr>
              <w:spacing w:line="5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6353" w:type="dxa"/>
            <w:gridSpan w:val="2"/>
            <w:vAlign w:val="center"/>
          </w:tcPr>
          <w:p>
            <w:pPr>
              <w:spacing w:line="5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680" w:type="dxa"/>
            <w:vAlign w:val="center"/>
          </w:tcPr>
          <w:p>
            <w:pPr>
              <w:spacing w:line="5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质量标准</w:t>
            </w:r>
          </w:p>
        </w:tc>
        <w:tc>
          <w:tcPr>
            <w:tcW w:w="1481" w:type="dxa"/>
            <w:gridSpan w:val="2"/>
            <w:vAlign w:val="center"/>
          </w:tcPr>
          <w:p>
            <w:pPr>
              <w:spacing w:line="500" w:lineRule="atLeast"/>
              <w:jc w:val="center"/>
              <w:rPr>
                <w:rFonts w:ascii="仿宋" w:hAnsi="仿宋" w:eastAsia="仿宋" w:cs="仿宋"/>
                <w:color w:val="auto"/>
                <w:sz w:val="24"/>
                <w:highlight w:val="none"/>
              </w:rPr>
            </w:pPr>
          </w:p>
        </w:tc>
        <w:tc>
          <w:tcPr>
            <w:tcW w:w="2540" w:type="dxa"/>
            <w:vAlign w:val="center"/>
          </w:tcPr>
          <w:p>
            <w:pPr>
              <w:spacing w:line="5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承诺工期</w:t>
            </w:r>
          </w:p>
        </w:tc>
        <w:tc>
          <w:tcPr>
            <w:tcW w:w="3813" w:type="dxa"/>
            <w:vAlign w:val="center"/>
          </w:tcPr>
          <w:p>
            <w:pPr>
              <w:spacing w:line="500" w:lineRule="atLeas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1680" w:type="dxa"/>
            <w:vAlign w:val="center"/>
          </w:tcPr>
          <w:p>
            <w:pPr>
              <w:spacing w:line="5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项目经理及证书编号</w:t>
            </w:r>
          </w:p>
        </w:tc>
        <w:tc>
          <w:tcPr>
            <w:tcW w:w="7834" w:type="dxa"/>
            <w:gridSpan w:val="4"/>
            <w:vAlign w:val="center"/>
          </w:tcPr>
          <w:p>
            <w:pPr>
              <w:spacing w:line="50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1680" w:type="dxa"/>
            <w:vAlign w:val="center"/>
          </w:tcPr>
          <w:p>
            <w:pPr>
              <w:spacing w:line="5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质保期</w:t>
            </w:r>
          </w:p>
        </w:tc>
        <w:tc>
          <w:tcPr>
            <w:tcW w:w="7834" w:type="dxa"/>
            <w:gridSpan w:val="4"/>
            <w:vAlign w:val="center"/>
          </w:tcPr>
          <w:p>
            <w:pPr>
              <w:spacing w:line="50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1680" w:type="dxa"/>
            <w:vAlign w:val="center"/>
          </w:tcPr>
          <w:p>
            <w:pPr>
              <w:spacing w:line="5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对竞争性磋商文件</w:t>
            </w:r>
          </w:p>
          <w:p>
            <w:pPr>
              <w:spacing w:line="5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的认同程度</w:t>
            </w:r>
          </w:p>
        </w:tc>
        <w:tc>
          <w:tcPr>
            <w:tcW w:w="7834" w:type="dxa"/>
            <w:gridSpan w:val="4"/>
            <w:vAlign w:val="center"/>
          </w:tcPr>
          <w:p>
            <w:pPr>
              <w:spacing w:line="500" w:lineRule="atLeas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2528" w:type="dxa"/>
            <w:gridSpan w:val="2"/>
            <w:vAlign w:val="center"/>
          </w:tcPr>
          <w:p>
            <w:pPr>
              <w:spacing w:line="5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法定代表人或委托代理人现场确认（签字）</w:t>
            </w:r>
          </w:p>
        </w:tc>
        <w:tc>
          <w:tcPr>
            <w:tcW w:w="6986" w:type="dxa"/>
            <w:gridSpan w:val="3"/>
            <w:vAlign w:val="center"/>
          </w:tcPr>
          <w:p>
            <w:pPr>
              <w:spacing w:line="500" w:lineRule="atLeast"/>
              <w:jc w:val="center"/>
              <w:rPr>
                <w:rFonts w:ascii="仿宋" w:hAnsi="仿宋" w:eastAsia="仿宋" w:cs="仿宋"/>
                <w:color w:val="auto"/>
                <w:sz w:val="24"/>
                <w:highlight w:val="none"/>
              </w:rPr>
            </w:pPr>
          </w:p>
        </w:tc>
      </w:tr>
    </w:tbl>
    <w:p>
      <w:pPr>
        <w:adjustRightInd w:val="0"/>
        <w:snapToGrid w:val="0"/>
        <w:spacing w:line="500" w:lineRule="atLeast"/>
        <w:rPr>
          <w:rFonts w:ascii="仿宋" w:hAnsi="仿宋" w:eastAsia="仿宋" w:cs="仿宋"/>
          <w:color w:val="auto"/>
          <w:sz w:val="24"/>
          <w:highlight w:val="none"/>
        </w:rPr>
      </w:pPr>
    </w:p>
    <w:p>
      <w:pPr>
        <w:spacing w:line="500" w:lineRule="atLeast"/>
        <w:ind w:firstLine="357" w:firstLineChars="148"/>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投标人（盖章）</w:t>
      </w:r>
      <w:r>
        <w:rPr>
          <w:rFonts w:hint="eastAsia" w:ascii="仿宋" w:hAnsi="仿宋" w:eastAsia="仿宋" w:cs="仿宋"/>
          <w:b/>
          <w:bCs/>
          <w:color w:val="auto"/>
          <w:sz w:val="24"/>
          <w:highlight w:val="none"/>
          <w:u w:val="single"/>
        </w:rPr>
        <w:t xml:space="preserve">                        </w:t>
      </w:r>
    </w:p>
    <w:p>
      <w:pPr>
        <w:spacing w:line="500" w:lineRule="atLeast"/>
        <w:ind w:firstLine="357" w:firstLineChars="148"/>
        <w:rPr>
          <w:rFonts w:ascii="仿宋" w:hAnsi="仿宋" w:eastAsia="仿宋" w:cs="仿宋"/>
          <w:b/>
          <w:bCs/>
          <w:color w:val="auto"/>
          <w:sz w:val="24"/>
          <w:highlight w:val="none"/>
        </w:rPr>
      </w:pPr>
      <w:r>
        <w:rPr>
          <w:rFonts w:hint="eastAsia" w:ascii="仿宋" w:hAnsi="仿宋" w:eastAsia="仿宋" w:cs="仿宋"/>
          <w:b/>
          <w:bCs/>
          <w:color w:val="auto"/>
          <w:sz w:val="24"/>
          <w:highlight w:val="none"/>
        </w:rPr>
        <w:t>法定代表人：（签字、盖章）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 xml:space="preserve">  </w:t>
      </w:r>
    </w:p>
    <w:p>
      <w:pPr>
        <w:spacing w:line="500" w:lineRule="atLeast"/>
        <w:ind w:firstLine="357" w:firstLineChars="148"/>
        <w:jc w:val="righ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日</w:t>
      </w:r>
    </w:p>
    <w:p>
      <w:pPr>
        <w:spacing w:line="500" w:lineRule="atLeast"/>
        <w:rPr>
          <w:rFonts w:ascii="仿宋" w:hAnsi="仿宋" w:eastAsia="仿宋" w:cs="仿宋"/>
          <w:b/>
          <w:color w:val="auto"/>
          <w:sz w:val="24"/>
          <w:highlight w:val="none"/>
        </w:rPr>
      </w:pPr>
      <w:r>
        <w:rPr>
          <w:rFonts w:hint="eastAsia" w:ascii="仿宋" w:hAnsi="仿宋" w:eastAsia="仿宋" w:cs="仿宋"/>
          <w:b/>
          <w:color w:val="auto"/>
          <w:sz w:val="24"/>
          <w:highlight w:val="none"/>
        </w:rPr>
        <w:t>注： 1、投标报价明显低于成本价视为无效报价。</w:t>
      </w:r>
    </w:p>
    <w:p>
      <w:pPr>
        <w:spacing w:line="500" w:lineRule="atLeast"/>
        <w:ind w:left="964" w:hanging="964" w:hangingChars="4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2、本唱标单与投标文件装订在一起，并单独密封三份与投标文件分别密封后共同递交各项内容务必认真填写详细，可以填满，表格自行扩展但不得分页。</w:t>
      </w:r>
    </w:p>
    <w:p>
      <w:pPr>
        <w:spacing w:line="500" w:lineRule="atLeast"/>
        <w:jc w:val="both"/>
        <w:outlineLvl w:val="0"/>
        <w:rPr>
          <w:rFonts w:ascii="仿宋" w:hAnsi="仿宋" w:eastAsia="仿宋" w:cs="仿宋"/>
          <w:b/>
          <w:bCs/>
          <w:color w:val="auto"/>
          <w:sz w:val="36"/>
          <w:szCs w:val="36"/>
          <w:highlight w:val="none"/>
        </w:rPr>
      </w:pPr>
      <w:bookmarkStart w:id="288" w:name="_Toc32081"/>
    </w:p>
    <w:p>
      <w:pPr>
        <w:pStyle w:val="2"/>
        <w:jc w:val="center"/>
        <w:rPr>
          <w:rFonts w:ascii="仿宋" w:hAnsi="仿宋" w:eastAsia="仿宋" w:cs="仿宋"/>
          <w:color w:val="auto"/>
          <w:highlight w:val="none"/>
        </w:rPr>
      </w:pPr>
      <w:bookmarkStart w:id="289" w:name="_Toc30217"/>
      <w:r>
        <w:rPr>
          <w:rFonts w:hint="eastAsia" w:ascii="仿宋" w:hAnsi="仿宋" w:eastAsia="仿宋" w:cs="仿宋"/>
          <w:color w:val="auto"/>
          <w:highlight w:val="none"/>
        </w:rPr>
        <w:t>第七部分 附件</w:t>
      </w:r>
      <w:bookmarkEnd w:id="288"/>
      <w:bookmarkEnd w:id="289"/>
    </w:p>
    <w:p>
      <w:pPr>
        <w:pStyle w:val="3"/>
        <w:spacing w:line="500" w:lineRule="atLeast"/>
        <w:jc w:val="center"/>
        <w:rPr>
          <w:rFonts w:ascii="仿宋" w:hAnsi="仿宋" w:eastAsia="仿宋" w:cs="仿宋"/>
          <w:b w:val="0"/>
          <w:bCs w:val="0"/>
          <w:color w:val="auto"/>
          <w:spacing w:val="6"/>
          <w:kern w:val="0"/>
          <w:sz w:val="24"/>
          <w:szCs w:val="24"/>
          <w:highlight w:val="none"/>
        </w:rPr>
      </w:pPr>
      <w:bookmarkStart w:id="290" w:name="_Toc32440"/>
      <w:bookmarkStart w:id="291" w:name="_Toc11565"/>
      <w:r>
        <w:rPr>
          <w:rFonts w:hint="eastAsia" w:ascii="仿宋" w:hAnsi="仿宋" w:eastAsia="仿宋" w:cs="仿宋"/>
          <w:b w:val="0"/>
          <w:color w:val="auto"/>
          <w:spacing w:val="6"/>
          <w:sz w:val="24"/>
          <w:szCs w:val="24"/>
          <w:highlight w:val="none"/>
        </w:rPr>
        <w:t>一、</w:t>
      </w:r>
      <w:r>
        <w:rPr>
          <w:rFonts w:hint="eastAsia" w:ascii="仿宋" w:hAnsi="仿宋" w:eastAsia="仿宋" w:cs="仿宋"/>
          <w:b w:val="0"/>
          <w:bCs w:val="0"/>
          <w:color w:val="auto"/>
          <w:spacing w:val="6"/>
          <w:kern w:val="0"/>
          <w:sz w:val="24"/>
          <w:szCs w:val="24"/>
          <w:highlight w:val="none"/>
        </w:rPr>
        <w:t>材料报价明细表</w:t>
      </w:r>
      <w:bookmarkEnd w:id="290"/>
      <w:bookmarkEnd w:id="291"/>
    </w:p>
    <w:p>
      <w:pPr>
        <w:spacing w:beforeLines="50"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货币单位：元（人民币）</w:t>
      </w:r>
    </w:p>
    <w:tbl>
      <w:tblPr>
        <w:tblStyle w:val="41"/>
        <w:tblW w:w="8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736"/>
        <w:gridCol w:w="1909"/>
        <w:gridCol w:w="1277"/>
        <w:gridCol w:w="127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1277" w:type="dxa"/>
            <w:vMerge w:val="restart"/>
            <w:vAlign w:val="center"/>
          </w:tcPr>
          <w:p>
            <w:pPr>
              <w:spacing w:beforeLines="50"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36" w:type="dxa"/>
            <w:vMerge w:val="restart"/>
            <w:vAlign w:val="center"/>
          </w:tcPr>
          <w:p>
            <w:pPr>
              <w:spacing w:beforeLines="50"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909" w:type="dxa"/>
            <w:vMerge w:val="restart"/>
            <w:vAlign w:val="center"/>
          </w:tcPr>
          <w:p>
            <w:pPr>
              <w:spacing w:beforeLines="50"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277" w:type="dxa"/>
            <w:vMerge w:val="restart"/>
            <w:vAlign w:val="center"/>
          </w:tcPr>
          <w:p>
            <w:pPr>
              <w:spacing w:beforeLines="50"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277" w:type="dxa"/>
            <w:vMerge w:val="restart"/>
            <w:vAlign w:val="center"/>
          </w:tcPr>
          <w:p>
            <w:pPr>
              <w:spacing w:beforeLines="50"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512" w:type="dxa"/>
            <w:vMerge w:val="restart"/>
            <w:vAlign w:val="center"/>
          </w:tcPr>
          <w:p>
            <w:pPr>
              <w:spacing w:beforeLines="50"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277" w:type="dxa"/>
            <w:vMerge w:val="continue"/>
            <w:vAlign w:val="center"/>
          </w:tcPr>
          <w:p>
            <w:pPr>
              <w:spacing w:beforeLines="50" w:line="500" w:lineRule="atLeast"/>
              <w:jc w:val="center"/>
              <w:rPr>
                <w:rFonts w:ascii="仿宋" w:hAnsi="仿宋" w:eastAsia="仿宋" w:cs="仿宋"/>
                <w:color w:val="auto"/>
                <w:sz w:val="24"/>
                <w:szCs w:val="24"/>
                <w:highlight w:val="none"/>
              </w:rPr>
            </w:pPr>
          </w:p>
        </w:tc>
        <w:tc>
          <w:tcPr>
            <w:tcW w:w="1736" w:type="dxa"/>
            <w:vMerge w:val="continue"/>
            <w:vAlign w:val="center"/>
          </w:tcPr>
          <w:p>
            <w:pPr>
              <w:spacing w:beforeLines="50" w:line="500" w:lineRule="atLeast"/>
              <w:jc w:val="center"/>
              <w:rPr>
                <w:rFonts w:ascii="仿宋" w:hAnsi="仿宋" w:eastAsia="仿宋" w:cs="仿宋"/>
                <w:color w:val="auto"/>
                <w:sz w:val="24"/>
                <w:szCs w:val="24"/>
                <w:highlight w:val="none"/>
              </w:rPr>
            </w:pPr>
          </w:p>
        </w:tc>
        <w:tc>
          <w:tcPr>
            <w:tcW w:w="1909" w:type="dxa"/>
            <w:vMerge w:val="continue"/>
            <w:vAlign w:val="center"/>
          </w:tcPr>
          <w:p>
            <w:pPr>
              <w:spacing w:beforeLines="50" w:line="500" w:lineRule="atLeast"/>
              <w:jc w:val="center"/>
              <w:rPr>
                <w:rFonts w:ascii="仿宋" w:hAnsi="仿宋" w:eastAsia="仿宋" w:cs="仿宋"/>
                <w:color w:val="auto"/>
                <w:sz w:val="24"/>
                <w:szCs w:val="24"/>
                <w:highlight w:val="none"/>
              </w:rPr>
            </w:pPr>
          </w:p>
        </w:tc>
        <w:tc>
          <w:tcPr>
            <w:tcW w:w="1277" w:type="dxa"/>
            <w:vMerge w:val="continue"/>
            <w:vAlign w:val="center"/>
          </w:tcPr>
          <w:p>
            <w:pPr>
              <w:spacing w:beforeLines="50" w:line="500" w:lineRule="atLeast"/>
              <w:jc w:val="center"/>
              <w:rPr>
                <w:rFonts w:ascii="仿宋" w:hAnsi="仿宋" w:eastAsia="仿宋" w:cs="仿宋"/>
                <w:color w:val="auto"/>
                <w:sz w:val="24"/>
                <w:szCs w:val="24"/>
                <w:highlight w:val="none"/>
              </w:rPr>
            </w:pPr>
          </w:p>
        </w:tc>
        <w:tc>
          <w:tcPr>
            <w:tcW w:w="1277" w:type="dxa"/>
            <w:vMerge w:val="continue"/>
            <w:vAlign w:val="center"/>
          </w:tcPr>
          <w:p>
            <w:pPr>
              <w:spacing w:beforeLines="50" w:line="500" w:lineRule="atLeast"/>
              <w:jc w:val="center"/>
              <w:rPr>
                <w:rFonts w:ascii="仿宋" w:hAnsi="仿宋" w:eastAsia="仿宋" w:cs="仿宋"/>
                <w:color w:val="auto"/>
                <w:sz w:val="24"/>
                <w:szCs w:val="24"/>
                <w:highlight w:val="none"/>
              </w:rPr>
            </w:pPr>
          </w:p>
        </w:tc>
        <w:tc>
          <w:tcPr>
            <w:tcW w:w="1512" w:type="dxa"/>
            <w:vMerge w:val="continue"/>
            <w:vAlign w:val="center"/>
          </w:tcPr>
          <w:p>
            <w:pPr>
              <w:spacing w:beforeLines="50" w:line="500" w:lineRule="atLeas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277" w:type="dxa"/>
            <w:vAlign w:val="center"/>
          </w:tcPr>
          <w:p>
            <w:pPr>
              <w:spacing w:beforeLines="50" w:line="500" w:lineRule="atLeast"/>
              <w:rPr>
                <w:rFonts w:ascii="仿宋" w:hAnsi="仿宋" w:eastAsia="仿宋" w:cs="仿宋"/>
                <w:color w:val="auto"/>
                <w:sz w:val="24"/>
                <w:szCs w:val="24"/>
                <w:highlight w:val="none"/>
              </w:rPr>
            </w:pPr>
          </w:p>
        </w:tc>
        <w:tc>
          <w:tcPr>
            <w:tcW w:w="1736" w:type="dxa"/>
            <w:vAlign w:val="center"/>
          </w:tcPr>
          <w:p>
            <w:pPr>
              <w:spacing w:beforeLines="50" w:line="500" w:lineRule="atLeast"/>
              <w:rPr>
                <w:rFonts w:ascii="仿宋" w:hAnsi="仿宋" w:eastAsia="仿宋" w:cs="仿宋"/>
                <w:color w:val="auto"/>
                <w:sz w:val="24"/>
                <w:szCs w:val="24"/>
                <w:highlight w:val="none"/>
              </w:rPr>
            </w:pPr>
          </w:p>
        </w:tc>
        <w:tc>
          <w:tcPr>
            <w:tcW w:w="1909"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512" w:type="dxa"/>
            <w:vAlign w:val="center"/>
          </w:tcPr>
          <w:p>
            <w:pPr>
              <w:spacing w:beforeLines="50"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277" w:type="dxa"/>
            <w:vAlign w:val="center"/>
          </w:tcPr>
          <w:p>
            <w:pPr>
              <w:spacing w:beforeLines="50" w:line="500" w:lineRule="atLeast"/>
              <w:rPr>
                <w:rFonts w:ascii="仿宋" w:hAnsi="仿宋" w:eastAsia="仿宋" w:cs="仿宋"/>
                <w:color w:val="auto"/>
                <w:sz w:val="24"/>
                <w:szCs w:val="24"/>
                <w:highlight w:val="none"/>
              </w:rPr>
            </w:pPr>
          </w:p>
        </w:tc>
        <w:tc>
          <w:tcPr>
            <w:tcW w:w="1736" w:type="dxa"/>
            <w:vAlign w:val="center"/>
          </w:tcPr>
          <w:p>
            <w:pPr>
              <w:spacing w:beforeLines="50" w:line="500" w:lineRule="atLeast"/>
              <w:rPr>
                <w:rFonts w:ascii="仿宋" w:hAnsi="仿宋" w:eastAsia="仿宋" w:cs="仿宋"/>
                <w:color w:val="auto"/>
                <w:sz w:val="24"/>
                <w:szCs w:val="24"/>
                <w:highlight w:val="none"/>
              </w:rPr>
            </w:pPr>
          </w:p>
        </w:tc>
        <w:tc>
          <w:tcPr>
            <w:tcW w:w="1909"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512" w:type="dxa"/>
            <w:vAlign w:val="center"/>
          </w:tcPr>
          <w:p>
            <w:pPr>
              <w:spacing w:beforeLines="50"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277" w:type="dxa"/>
            <w:vAlign w:val="center"/>
          </w:tcPr>
          <w:p>
            <w:pPr>
              <w:spacing w:beforeLines="50" w:line="500" w:lineRule="atLeast"/>
              <w:rPr>
                <w:rFonts w:ascii="仿宋" w:hAnsi="仿宋" w:eastAsia="仿宋" w:cs="仿宋"/>
                <w:color w:val="auto"/>
                <w:sz w:val="24"/>
                <w:szCs w:val="24"/>
                <w:highlight w:val="none"/>
              </w:rPr>
            </w:pPr>
          </w:p>
        </w:tc>
        <w:tc>
          <w:tcPr>
            <w:tcW w:w="1736" w:type="dxa"/>
            <w:vAlign w:val="center"/>
          </w:tcPr>
          <w:p>
            <w:pPr>
              <w:spacing w:beforeLines="50" w:line="500" w:lineRule="atLeast"/>
              <w:rPr>
                <w:rFonts w:ascii="仿宋" w:hAnsi="仿宋" w:eastAsia="仿宋" w:cs="仿宋"/>
                <w:color w:val="auto"/>
                <w:sz w:val="24"/>
                <w:szCs w:val="24"/>
                <w:highlight w:val="none"/>
              </w:rPr>
            </w:pPr>
          </w:p>
        </w:tc>
        <w:tc>
          <w:tcPr>
            <w:tcW w:w="1909"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512" w:type="dxa"/>
            <w:vAlign w:val="center"/>
          </w:tcPr>
          <w:p>
            <w:pPr>
              <w:spacing w:beforeLines="50"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277" w:type="dxa"/>
            <w:vAlign w:val="center"/>
          </w:tcPr>
          <w:p>
            <w:pPr>
              <w:spacing w:beforeLines="50" w:line="500" w:lineRule="atLeast"/>
              <w:rPr>
                <w:rFonts w:ascii="仿宋" w:hAnsi="仿宋" w:eastAsia="仿宋" w:cs="仿宋"/>
                <w:color w:val="auto"/>
                <w:sz w:val="24"/>
                <w:szCs w:val="24"/>
                <w:highlight w:val="none"/>
              </w:rPr>
            </w:pPr>
          </w:p>
        </w:tc>
        <w:tc>
          <w:tcPr>
            <w:tcW w:w="1736" w:type="dxa"/>
            <w:vAlign w:val="center"/>
          </w:tcPr>
          <w:p>
            <w:pPr>
              <w:spacing w:beforeLines="50" w:line="500" w:lineRule="atLeast"/>
              <w:rPr>
                <w:rFonts w:ascii="仿宋" w:hAnsi="仿宋" w:eastAsia="仿宋" w:cs="仿宋"/>
                <w:color w:val="auto"/>
                <w:sz w:val="24"/>
                <w:szCs w:val="24"/>
                <w:highlight w:val="none"/>
              </w:rPr>
            </w:pPr>
          </w:p>
        </w:tc>
        <w:tc>
          <w:tcPr>
            <w:tcW w:w="1909"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512" w:type="dxa"/>
            <w:vAlign w:val="center"/>
          </w:tcPr>
          <w:p>
            <w:pPr>
              <w:spacing w:beforeLines="50"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277" w:type="dxa"/>
            <w:vAlign w:val="center"/>
          </w:tcPr>
          <w:p>
            <w:pPr>
              <w:spacing w:beforeLines="50" w:line="500" w:lineRule="atLeast"/>
              <w:rPr>
                <w:rFonts w:ascii="仿宋" w:hAnsi="仿宋" w:eastAsia="仿宋" w:cs="仿宋"/>
                <w:color w:val="auto"/>
                <w:sz w:val="24"/>
                <w:szCs w:val="24"/>
                <w:highlight w:val="none"/>
              </w:rPr>
            </w:pPr>
          </w:p>
        </w:tc>
        <w:tc>
          <w:tcPr>
            <w:tcW w:w="1736" w:type="dxa"/>
            <w:vAlign w:val="center"/>
          </w:tcPr>
          <w:p>
            <w:pPr>
              <w:spacing w:beforeLines="50" w:line="500" w:lineRule="atLeast"/>
              <w:rPr>
                <w:rFonts w:ascii="仿宋" w:hAnsi="仿宋" w:eastAsia="仿宋" w:cs="仿宋"/>
                <w:color w:val="auto"/>
                <w:sz w:val="24"/>
                <w:szCs w:val="24"/>
                <w:highlight w:val="none"/>
              </w:rPr>
            </w:pPr>
          </w:p>
        </w:tc>
        <w:tc>
          <w:tcPr>
            <w:tcW w:w="1909"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512" w:type="dxa"/>
            <w:vAlign w:val="center"/>
          </w:tcPr>
          <w:p>
            <w:pPr>
              <w:spacing w:beforeLines="50"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277" w:type="dxa"/>
            <w:vAlign w:val="center"/>
          </w:tcPr>
          <w:p>
            <w:pPr>
              <w:spacing w:beforeLines="50" w:line="500" w:lineRule="atLeast"/>
              <w:rPr>
                <w:rFonts w:ascii="仿宋" w:hAnsi="仿宋" w:eastAsia="仿宋" w:cs="仿宋"/>
                <w:color w:val="auto"/>
                <w:sz w:val="24"/>
                <w:szCs w:val="24"/>
                <w:highlight w:val="none"/>
              </w:rPr>
            </w:pPr>
          </w:p>
        </w:tc>
        <w:tc>
          <w:tcPr>
            <w:tcW w:w="1736" w:type="dxa"/>
            <w:vAlign w:val="center"/>
          </w:tcPr>
          <w:p>
            <w:pPr>
              <w:spacing w:beforeLines="50" w:line="500" w:lineRule="atLeast"/>
              <w:rPr>
                <w:rFonts w:ascii="仿宋" w:hAnsi="仿宋" w:eastAsia="仿宋" w:cs="仿宋"/>
                <w:color w:val="auto"/>
                <w:sz w:val="24"/>
                <w:szCs w:val="24"/>
                <w:highlight w:val="none"/>
              </w:rPr>
            </w:pPr>
          </w:p>
        </w:tc>
        <w:tc>
          <w:tcPr>
            <w:tcW w:w="1909"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512" w:type="dxa"/>
            <w:vAlign w:val="center"/>
          </w:tcPr>
          <w:p>
            <w:pPr>
              <w:spacing w:beforeLines="50"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277" w:type="dxa"/>
            <w:vAlign w:val="center"/>
          </w:tcPr>
          <w:p>
            <w:pPr>
              <w:spacing w:beforeLines="50" w:line="500" w:lineRule="atLeast"/>
              <w:rPr>
                <w:rFonts w:ascii="仿宋" w:hAnsi="仿宋" w:eastAsia="仿宋" w:cs="仿宋"/>
                <w:color w:val="auto"/>
                <w:sz w:val="24"/>
                <w:szCs w:val="24"/>
                <w:highlight w:val="none"/>
              </w:rPr>
            </w:pPr>
          </w:p>
        </w:tc>
        <w:tc>
          <w:tcPr>
            <w:tcW w:w="1736" w:type="dxa"/>
            <w:vAlign w:val="center"/>
          </w:tcPr>
          <w:p>
            <w:pPr>
              <w:spacing w:beforeLines="50" w:line="500" w:lineRule="atLeast"/>
              <w:rPr>
                <w:rFonts w:ascii="仿宋" w:hAnsi="仿宋" w:eastAsia="仿宋" w:cs="仿宋"/>
                <w:color w:val="auto"/>
                <w:sz w:val="24"/>
                <w:szCs w:val="24"/>
                <w:highlight w:val="none"/>
              </w:rPr>
            </w:pPr>
          </w:p>
        </w:tc>
        <w:tc>
          <w:tcPr>
            <w:tcW w:w="1909"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512" w:type="dxa"/>
            <w:vAlign w:val="center"/>
          </w:tcPr>
          <w:p>
            <w:pPr>
              <w:spacing w:beforeLines="50"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277" w:type="dxa"/>
            <w:vAlign w:val="center"/>
          </w:tcPr>
          <w:p>
            <w:pPr>
              <w:spacing w:beforeLines="50" w:line="500" w:lineRule="atLeast"/>
              <w:rPr>
                <w:rFonts w:ascii="仿宋" w:hAnsi="仿宋" w:eastAsia="仿宋" w:cs="仿宋"/>
                <w:color w:val="auto"/>
                <w:sz w:val="24"/>
                <w:szCs w:val="24"/>
                <w:highlight w:val="none"/>
              </w:rPr>
            </w:pPr>
          </w:p>
        </w:tc>
        <w:tc>
          <w:tcPr>
            <w:tcW w:w="1736" w:type="dxa"/>
            <w:vAlign w:val="center"/>
          </w:tcPr>
          <w:p>
            <w:pPr>
              <w:spacing w:beforeLines="50" w:line="500" w:lineRule="atLeast"/>
              <w:rPr>
                <w:rFonts w:ascii="仿宋" w:hAnsi="仿宋" w:eastAsia="仿宋" w:cs="仿宋"/>
                <w:color w:val="auto"/>
                <w:sz w:val="24"/>
                <w:szCs w:val="24"/>
                <w:highlight w:val="none"/>
              </w:rPr>
            </w:pPr>
          </w:p>
        </w:tc>
        <w:tc>
          <w:tcPr>
            <w:tcW w:w="1909"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512" w:type="dxa"/>
            <w:vAlign w:val="center"/>
          </w:tcPr>
          <w:p>
            <w:pPr>
              <w:spacing w:beforeLines="50"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277" w:type="dxa"/>
            <w:vAlign w:val="center"/>
          </w:tcPr>
          <w:p>
            <w:pPr>
              <w:spacing w:beforeLines="50" w:line="500" w:lineRule="atLeast"/>
              <w:rPr>
                <w:rFonts w:ascii="仿宋" w:hAnsi="仿宋" w:eastAsia="仿宋" w:cs="仿宋"/>
                <w:color w:val="auto"/>
                <w:sz w:val="24"/>
                <w:szCs w:val="24"/>
                <w:highlight w:val="none"/>
              </w:rPr>
            </w:pPr>
          </w:p>
        </w:tc>
        <w:tc>
          <w:tcPr>
            <w:tcW w:w="1736" w:type="dxa"/>
            <w:vAlign w:val="center"/>
          </w:tcPr>
          <w:p>
            <w:pPr>
              <w:spacing w:beforeLines="50" w:line="500" w:lineRule="atLeast"/>
              <w:rPr>
                <w:rFonts w:ascii="仿宋" w:hAnsi="仿宋" w:eastAsia="仿宋" w:cs="仿宋"/>
                <w:color w:val="auto"/>
                <w:sz w:val="24"/>
                <w:szCs w:val="24"/>
                <w:highlight w:val="none"/>
              </w:rPr>
            </w:pPr>
          </w:p>
        </w:tc>
        <w:tc>
          <w:tcPr>
            <w:tcW w:w="1909"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512" w:type="dxa"/>
            <w:vAlign w:val="center"/>
          </w:tcPr>
          <w:p>
            <w:pPr>
              <w:spacing w:beforeLines="50"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277" w:type="dxa"/>
            <w:vAlign w:val="center"/>
          </w:tcPr>
          <w:p>
            <w:pPr>
              <w:spacing w:beforeLines="50" w:line="500" w:lineRule="atLeast"/>
              <w:rPr>
                <w:rFonts w:ascii="仿宋" w:hAnsi="仿宋" w:eastAsia="仿宋" w:cs="仿宋"/>
                <w:color w:val="auto"/>
                <w:sz w:val="24"/>
                <w:szCs w:val="24"/>
                <w:highlight w:val="none"/>
              </w:rPr>
            </w:pPr>
          </w:p>
        </w:tc>
        <w:tc>
          <w:tcPr>
            <w:tcW w:w="1736" w:type="dxa"/>
            <w:vAlign w:val="center"/>
          </w:tcPr>
          <w:p>
            <w:pPr>
              <w:spacing w:beforeLines="50" w:line="500" w:lineRule="atLeast"/>
              <w:rPr>
                <w:rFonts w:ascii="仿宋" w:hAnsi="仿宋" w:eastAsia="仿宋" w:cs="仿宋"/>
                <w:color w:val="auto"/>
                <w:sz w:val="24"/>
                <w:szCs w:val="24"/>
                <w:highlight w:val="none"/>
              </w:rPr>
            </w:pPr>
          </w:p>
        </w:tc>
        <w:tc>
          <w:tcPr>
            <w:tcW w:w="1909"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512" w:type="dxa"/>
            <w:vAlign w:val="center"/>
          </w:tcPr>
          <w:p>
            <w:pPr>
              <w:spacing w:beforeLines="50"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277" w:type="dxa"/>
            <w:vAlign w:val="center"/>
          </w:tcPr>
          <w:p>
            <w:pPr>
              <w:spacing w:beforeLines="50" w:line="500" w:lineRule="atLeast"/>
              <w:rPr>
                <w:rFonts w:ascii="仿宋" w:hAnsi="仿宋" w:eastAsia="仿宋" w:cs="仿宋"/>
                <w:color w:val="auto"/>
                <w:sz w:val="24"/>
                <w:szCs w:val="24"/>
                <w:highlight w:val="none"/>
              </w:rPr>
            </w:pPr>
          </w:p>
        </w:tc>
        <w:tc>
          <w:tcPr>
            <w:tcW w:w="1736" w:type="dxa"/>
            <w:vAlign w:val="center"/>
          </w:tcPr>
          <w:p>
            <w:pPr>
              <w:spacing w:beforeLines="50" w:line="500" w:lineRule="atLeast"/>
              <w:rPr>
                <w:rFonts w:ascii="仿宋" w:hAnsi="仿宋" w:eastAsia="仿宋" w:cs="仿宋"/>
                <w:color w:val="auto"/>
                <w:sz w:val="24"/>
                <w:szCs w:val="24"/>
                <w:highlight w:val="none"/>
              </w:rPr>
            </w:pPr>
          </w:p>
        </w:tc>
        <w:tc>
          <w:tcPr>
            <w:tcW w:w="1909"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277" w:type="dxa"/>
            <w:vAlign w:val="center"/>
          </w:tcPr>
          <w:p>
            <w:pPr>
              <w:spacing w:beforeLines="50" w:line="500" w:lineRule="atLeast"/>
              <w:rPr>
                <w:rFonts w:ascii="仿宋" w:hAnsi="仿宋" w:eastAsia="仿宋" w:cs="仿宋"/>
                <w:color w:val="auto"/>
                <w:sz w:val="24"/>
                <w:szCs w:val="24"/>
                <w:highlight w:val="none"/>
              </w:rPr>
            </w:pPr>
          </w:p>
        </w:tc>
        <w:tc>
          <w:tcPr>
            <w:tcW w:w="1512" w:type="dxa"/>
            <w:vAlign w:val="center"/>
          </w:tcPr>
          <w:p>
            <w:pPr>
              <w:spacing w:beforeLines="50" w:line="500" w:lineRule="atLeast"/>
              <w:rPr>
                <w:rFonts w:ascii="仿宋" w:hAnsi="仿宋" w:eastAsia="仿宋" w:cs="仿宋"/>
                <w:color w:val="auto"/>
                <w:sz w:val="24"/>
                <w:szCs w:val="24"/>
                <w:highlight w:val="none"/>
              </w:rPr>
            </w:pPr>
          </w:p>
        </w:tc>
      </w:tr>
    </w:tbl>
    <w:p>
      <w:pPr>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pPr>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pPr>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line="500" w:lineRule="atLeas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pPr>
        <w:pStyle w:val="3"/>
        <w:spacing w:line="500" w:lineRule="atLeast"/>
        <w:jc w:val="center"/>
        <w:rPr>
          <w:rFonts w:ascii="仿宋" w:hAnsi="仿宋" w:eastAsia="仿宋" w:cs="仿宋"/>
          <w:b w:val="0"/>
          <w:bCs w:val="0"/>
          <w:color w:val="auto"/>
          <w:spacing w:val="6"/>
          <w:kern w:val="0"/>
          <w:sz w:val="24"/>
          <w:szCs w:val="24"/>
          <w:highlight w:val="none"/>
        </w:rPr>
      </w:pPr>
      <w:bookmarkStart w:id="292" w:name="_Toc10892"/>
      <w:bookmarkStart w:id="293" w:name="_Toc6683"/>
      <w:r>
        <w:rPr>
          <w:rFonts w:hint="eastAsia" w:ascii="仿宋" w:hAnsi="仿宋" w:eastAsia="仿宋" w:cs="仿宋"/>
          <w:b w:val="0"/>
          <w:bCs w:val="0"/>
          <w:color w:val="auto"/>
          <w:spacing w:val="6"/>
          <w:kern w:val="0"/>
          <w:sz w:val="24"/>
          <w:szCs w:val="24"/>
          <w:highlight w:val="none"/>
        </w:rPr>
        <w:t>二、 技术条款偏离表</w:t>
      </w:r>
      <w:bookmarkEnd w:id="292"/>
      <w:bookmarkEnd w:id="293"/>
    </w:p>
    <w:p>
      <w:pPr>
        <w:pStyle w:val="19"/>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bl>
      <w:tblPr>
        <w:tblStyle w:val="41"/>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80"/>
        <w:gridCol w:w="1680"/>
        <w:gridCol w:w="1680"/>
        <w:gridCol w:w="168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Merge w:val="restart"/>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60" w:type="dxa"/>
            <w:gridSpan w:val="2"/>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磋商文件条款</w:t>
            </w:r>
          </w:p>
        </w:tc>
        <w:tc>
          <w:tcPr>
            <w:tcW w:w="3360" w:type="dxa"/>
            <w:gridSpan w:val="2"/>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投标书条款</w:t>
            </w:r>
          </w:p>
        </w:tc>
        <w:tc>
          <w:tcPr>
            <w:tcW w:w="2175" w:type="dxa"/>
            <w:vMerge w:val="restart"/>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与磋商文件</w:t>
            </w:r>
          </w:p>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的偏离说明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Merge w:val="continue"/>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条款内容</w:t>
            </w: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条款内容</w:t>
            </w:r>
          </w:p>
        </w:tc>
        <w:tc>
          <w:tcPr>
            <w:tcW w:w="2175" w:type="dxa"/>
            <w:vMerge w:val="continue"/>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217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217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217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217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r>
    </w:tbl>
    <w:p>
      <w:pPr>
        <w:adjustRightInd w:val="0"/>
        <w:snapToGrid w:val="0"/>
        <w:spacing w:line="500" w:lineRule="atLeast"/>
        <w:rPr>
          <w:rFonts w:ascii="仿宋" w:hAnsi="仿宋" w:eastAsia="仿宋" w:cs="仿宋"/>
          <w:color w:val="auto"/>
          <w:sz w:val="24"/>
          <w:szCs w:val="24"/>
          <w:highlight w:val="none"/>
        </w:rPr>
      </w:pPr>
    </w:p>
    <w:p>
      <w:pPr>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pPr>
        <w:adjustRightInd w:val="0"/>
        <w:snapToGrid w:val="0"/>
        <w:spacing w:line="500" w:lineRule="atLeast"/>
        <w:rPr>
          <w:rFonts w:ascii="仿宋" w:hAnsi="仿宋" w:eastAsia="仿宋" w:cs="仿宋"/>
          <w:color w:val="auto"/>
          <w:sz w:val="24"/>
          <w:szCs w:val="24"/>
          <w:highlight w:val="none"/>
        </w:rPr>
      </w:pPr>
    </w:p>
    <w:p>
      <w:pPr>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pPr>
        <w:pStyle w:val="61"/>
        <w:spacing w:line="500" w:lineRule="atLeast"/>
        <w:jc w:val="left"/>
        <w:rPr>
          <w:rFonts w:ascii="仿宋" w:hAnsi="仿宋" w:eastAsia="仿宋" w:cs="仿宋"/>
          <w:color w:val="auto"/>
          <w:sz w:val="24"/>
          <w:szCs w:val="24"/>
          <w:highlight w:val="none"/>
        </w:rPr>
      </w:pPr>
    </w:p>
    <w:p>
      <w:pPr>
        <w:pStyle w:val="61"/>
        <w:spacing w:line="500" w:lineRule="atLeast"/>
        <w:jc w:val="left"/>
        <w:rPr>
          <w:rFonts w:ascii="仿宋" w:hAnsi="仿宋" w:eastAsia="仿宋" w:cs="仿宋"/>
          <w:color w:val="auto"/>
          <w:sz w:val="24"/>
          <w:szCs w:val="24"/>
          <w:highlight w:val="none"/>
        </w:rPr>
      </w:pPr>
    </w:p>
    <w:p>
      <w:pPr>
        <w:pStyle w:val="61"/>
        <w:spacing w:line="500" w:lineRule="atLeast"/>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outlineLvl w:val="1"/>
        <w:rPr>
          <w:rFonts w:ascii="仿宋" w:hAnsi="仿宋" w:eastAsia="仿宋" w:cs="仿宋"/>
          <w:b/>
          <w:color w:val="auto"/>
          <w:spacing w:val="0"/>
          <w:sz w:val="24"/>
          <w:szCs w:val="24"/>
          <w:highlight w:val="none"/>
        </w:rPr>
      </w:pPr>
    </w:p>
    <w:p>
      <w:pPr>
        <w:pStyle w:val="3"/>
        <w:spacing w:line="500" w:lineRule="atLeast"/>
        <w:jc w:val="center"/>
        <w:rPr>
          <w:rFonts w:ascii="仿宋" w:hAnsi="仿宋" w:eastAsia="仿宋" w:cs="仿宋"/>
          <w:b w:val="0"/>
          <w:bCs w:val="0"/>
          <w:color w:val="auto"/>
          <w:spacing w:val="6"/>
          <w:kern w:val="0"/>
          <w:sz w:val="24"/>
          <w:szCs w:val="24"/>
          <w:highlight w:val="none"/>
        </w:rPr>
      </w:pPr>
      <w:bookmarkStart w:id="294" w:name="_Toc7488"/>
      <w:bookmarkStart w:id="295" w:name="_Toc4712"/>
      <w:r>
        <w:rPr>
          <w:rFonts w:hint="eastAsia" w:ascii="仿宋" w:hAnsi="仿宋" w:eastAsia="仿宋" w:cs="仿宋"/>
          <w:b w:val="0"/>
          <w:bCs w:val="0"/>
          <w:color w:val="auto"/>
          <w:spacing w:val="6"/>
          <w:kern w:val="0"/>
          <w:sz w:val="24"/>
          <w:szCs w:val="24"/>
          <w:highlight w:val="none"/>
        </w:rPr>
        <w:t>三、商务条款偏离表</w:t>
      </w:r>
      <w:bookmarkEnd w:id="294"/>
      <w:bookmarkEnd w:id="295"/>
    </w:p>
    <w:p>
      <w:pPr>
        <w:pStyle w:val="19"/>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bl>
      <w:tblPr>
        <w:tblStyle w:val="41"/>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80"/>
        <w:gridCol w:w="1680"/>
        <w:gridCol w:w="1680"/>
        <w:gridCol w:w="168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Merge w:val="restart"/>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60" w:type="dxa"/>
            <w:gridSpan w:val="2"/>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磋商文件条款</w:t>
            </w:r>
          </w:p>
        </w:tc>
        <w:tc>
          <w:tcPr>
            <w:tcW w:w="3360" w:type="dxa"/>
            <w:gridSpan w:val="2"/>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投标书条款</w:t>
            </w:r>
          </w:p>
        </w:tc>
        <w:tc>
          <w:tcPr>
            <w:tcW w:w="2175" w:type="dxa"/>
            <w:vMerge w:val="restart"/>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与磋商文件</w:t>
            </w:r>
          </w:p>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的偏离说明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Merge w:val="continue"/>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条款内容</w:t>
            </w: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条款内容</w:t>
            </w:r>
          </w:p>
        </w:tc>
        <w:tc>
          <w:tcPr>
            <w:tcW w:w="2175" w:type="dxa"/>
            <w:vMerge w:val="continue"/>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217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217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217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68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217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r>
    </w:tbl>
    <w:p>
      <w:pPr>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pPr>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pPr>
        <w:adjustRightInd w:val="0"/>
        <w:snapToGrid w:val="0"/>
        <w:spacing w:line="500" w:lineRule="atLeast"/>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61"/>
        <w:spacing w:line="500" w:lineRule="atLeast"/>
        <w:jc w:val="left"/>
        <w:rPr>
          <w:rFonts w:ascii="仿宋" w:hAnsi="仿宋" w:eastAsia="仿宋" w:cs="仿宋"/>
          <w:color w:val="auto"/>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61"/>
        <w:spacing w:line="500" w:lineRule="atLeast"/>
        <w:jc w:val="left"/>
        <w:rPr>
          <w:rFonts w:ascii="仿宋" w:hAnsi="仿宋" w:eastAsia="仿宋" w:cs="仿宋"/>
          <w:b/>
          <w:color w:val="auto"/>
          <w:spacing w:val="0"/>
          <w:sz w:val="24"/>
          <w:szCs w:val="24"/>
          <w:highlight w:val="none"/>
        </w:rPr>
      </w:pPr>
    </w:p>
    <w:p>
      <w:pPr>
        <w:pStyle w:val="3"/>
        <w:spacing w:line="500" w:lineRule="atLeast"/>
        <w:jc w:val="center"/>
        <w:rPr>
          <w:rFonts w:ascii="仿宋" w:hAnsi="仿宋" w:eastAsia="仿宋" w:cs="仿宋"/>
          <w:b w:val="0"/>
          <w:bCs w:val="0"/>
          <w:color w:val="auto"/>
          <w:spacing w:val="6"/>
          <w:kern w:val="0"/>
          <w:sz w:val="24"/>
          <w:szCs w:val="24"/>
          <w:highlight w:val="none"/>
        </w:rPr>
      </w:pPr>
      <w:bookmarkStart w:id="296" w:name="_Toc6772"/>
      <w:bookmarkStart w:id="297" w:name="_Toc26236"/>
      <w:r>
        <w:rPr>
          <w:rFonts w:hint="eastAsia" w:ascii="仿宋" w:hAnsi="仿宋" w:eastAsia="仿宋" w:cs="仿宋"/>
          <w:b w:val="0"/>
          <w:bCs w:val="0"/>
          <w:color w:val="auto"/>
          <w:spacing w:val="6"/>
          <w:kern w:val="0"/>
          <w:sz w:val="24"/>
          <w:szCs w:val="24"/>
          <w:highlight w:val="none"/>
        </w:rPr>
        <w:t>四、投标人概况表</w:t>
      </w:r>
      <w:bookmarkEnd w:id="296"/>
      <w:bookmarkEnd w:id="297"/>
    </w:p>
    <w:tbl>
      <w:tblPr>
        <w:tblStyle w:val="41"/>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733"/>
        <w:gridCol w:w="100"/>
        <w:gridCol w:w="934"/>
        <w:gridCol w:w="733"/>
        <w:gridCol w:w="1130"/>
        <w:gridCol w:w="104"/>
        <w:gridCol w:w="830"/>
        <w:gridCol w:w="410"/>
        <w:gridCol w:w="1011"/>
        <w:gridCol w:w="849"/>
        <w:gridCol w:w="219"/>
        <w:gridCol w:w="429"/>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trPr>
        <w:tc>
          <w:tcPr>
            <w:tcW w:w="1335"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单位性质</w:t>
            </w:r>
          </w:p>
        </w:tc>
        <w:tc>
          <w:tcPr>
            <w:tcW w:w="833" w:type="dxa"/>
            <w:gridSpan w:val="2"/>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p>
        </w:tc>
        <w:tc>
          <w:tcPr>
            <w:tcW w:w="934"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隶属 关系</w:t>
            </w:r>
          </w:p>
        </w:tc>
        <w:tc>
          <w:tcPr>
            <w:tcW w:w="733"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p>
        </w:tc>
        <w:tc>
          <w:tcPr>
            <w:tcW w:w="1234" w:type="dxa"/>
            <w:gridSpan w:val="2"/>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p>
        </w:tc>
        <w:tc>
          <w:tcPr>
            <w:tcW w:w="1240" w:type="dxa"/>
            <w:gridSpan w:val="2"/>
            <w:vAlign w:val="center"/>
          </w:tcPr>
          <w:p>
            <w:pPr>
              <w:pStyle w:val="19"/>
              <w:adjustRightInd w:val="0"/>
              <w:snapToGrid w:val="0"/>
              <w:spacing w:line="500" w:lineRule="atLeast"/>
              <w:rPr>
                <w:rFonts w:ascii="仿宋" w:hAnsi="仿宋" w:eastAsia="仿宋" w:cs="仿宋"/>
                <w:bCs/>
                <w:color w:val="auto"/>
                <w:sz w:val="24"/>
                <w:szCs w:val="24"/>
                <w:highlight w:val="none"/>
              </w:rPr>
            </w:pPr>
          </w:p>
        </w:tc>
        <w:tc>
          <w:tcPr>
            <w:tcW w:w="1011"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   代表人</w:t>
            </w:r>
          </w:p>
        </w:tc>
        <w:tc>
          <w:tcPr>
            <w:tcW w:w="849" w:type="dxa"/>
          </w:tcPr>
          <w:p>
            <w:pPr>
              <w:pStyle w:val="19"/>
              <w:adjustRightInd w:val="0"/>
              <w:snapToGrid w:val="0"/>
              <w:spacing w:line="500" w:lineRule="atLeast"/>
              <w:rPr>
                <w:rFonts w:ascii="仿宋" w:hAnsi="仿宋" w:eastAsia="仿宋" w:cs="仿宋"/>
                <w:bCs/>
                <w:color w:val="auto"/>
                <w:sz w:val="24"/>
                <w:szCs w:val="24"/>
                <w:highlight w:val="none"/>
              </w:rPr>
            </w:pPr>
          </w:p>
        </w:tc>
        <w:tc>
          <w:tcPr>
            <w:tcW w:w="648" w:type="dxa"/>
            <w:gridSpan w:val="2"/>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职务</w:t>
            </w:r>
          </w:p>
        </w:tc>
        <w:tc>
          <w:tcPr>
            <w:tcW w:w="1006" w:type="dxa"/>
          </w:tcPr>
          <w:p>
            <w:pPr>
              <w:pStyle w:val="19"/>
              <w:adjustRightInd w:val="0"/>
              <w:snapToGrid w:val="0"/>
              <w:spacing w:line="500" w:lineRule="atLeast"/>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trPr>
        <w:tc>
          <w:tcPr>
            <w:tcW w:w="1335"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注册资本</w:t>
            </w:r>
          </w:p>
        </w:tc>
        <w:tc>
          <w:tcPr>
            <w:tcW w:w="833" w:type="dxa"/>
            <w:gridSpan w:val="2"/>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p>
        </w:tc>
        <w:tc>
          <w:tcPr>
            <w:tcW w:w="934"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职工  总数</w:t>
            </w:r>
          </w:p>
        </w:tc>
        <w:tc>
          <w:tcPr>
            <w:tcW w:w="733"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p>
        </w:tc>
        <w:tc>
          <w:tcPr>
            <w:tcW w:w="1234" w:type="dxa"/>
            <w:gridSpan w:val="2"/>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平均工人</w:t>
            </w:r>
          </w:p>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技术等级</w:t>
            </w:r>
          </w:p>
        </w:tc>
        <w:tc>
          <w:tcPr>
            <w:tcW w:w="1240" w:type="dxa"/>
            <w:gridSpan w:val="2"/>
          </w:tcPr>
          <w:p>
            <w:pPr>
              <w:pStyle w:val="19"/>
              <w:adjustRightInd w:val="0"/>
              <w:snapToGrid w:val="0"/>
              <w:spacing w:line="500" w:lineRule="atLeast"/>
              <w:ind w:left="192"/>
              <w:rPr>
                <w:rFonts w:ascii="仿宋" w:hAnsi="仿宋" w:eastAsia="仿宋" w:cs="仿宋"/>
                <w:bCs/>
                <w:color w:val="auto"/>
                <w:sz w:val="24"/>
                <w:szCs w:val="24"/>
                <w:highlight w:val="none"/>
              </w:rPr>
            </w:pPr>
          </w:p>
          <w:p>
            <w:pPr>
              <w:pStyle w:val="19"/>
              <w:adjustRightInd w:val="0"/>
              <w:snapToGrid w:val="0"/>
              <w:spacing w:line="500" w:lineRule="atLeast"/>
              <w:rPr>
                <w:rFonts w:ascii="仿宋" w:hAnsi="仿宋" w:eastAsia="仿宋" w:cs="仿宋"/>
                <w:bCs/>
                <w:color w:val="auto"/>
                <w:sz w:val="24"/>
                <w:szCs w:val="24"/>
                <w:highlight w:val="none"/>
              </w:rPr>
            </w:pPr>
          </w:p>
        </w:tc>
        <w:tc>
          <w:tcPr>
            <w:tcW w:w="1011"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电话</w:t>
            </w:r>
          </w:p>
        </w:tc>
        <w:tc>
          <w:tcPr>
            <w:tcW w:w="849" w:type="dxa"/>
          </w:tcPr>
          <w:p>
            <w:pPr>
              <w:pStyle w:val="19"/>
              <w:adjustRightInd w:val="0"/>
              <w:snapToGrid w:val="0"/>
              <w:spacing w:line="500" w:lineRule="atLeast"/>
              <w:jc w:val="center"/>
              <w:rPr>
                <w:rFonts w:ascii="仿宋" w:hAnsi="仿宋" w:eastAsia="仿宋" w:cs="仿宋"/>
                <w:bCs/>
                <w:color w:val="auto"/>
                <w:sz w:val="24"/>
                <w:szCs w:val="24"/>
                <w:highlight w:val="none"/>
              </w:rPr>
            </w:pPr>
          </w:p>
        </w:tc>
        <w:tc>
          <w:tcPr>
            <w:tcW w:w="648" w:type="dxa"/>
            <w:gridSpan w:val="2"/>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传真</w:t>
            </w:r>
          </w:p>
        </w:tc>
        <w:tc>
          <w:tcPr>
            <w:tcW w:w="1006" w:type="dxa"/>
          </w:tcPr>
          <w:p>
            <w:pPr>
              <w:pStyle w:val="19"/>
              <w:adjustRightInd w:val="0"/>
              <w:snapToGri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trPr>
        <w:tc>
          <w:tcPr>
            <w:tcW w:w="1335"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成立/或注册日期</w:t>
            </w:r>
          </w:p>
        </w:tc>
        <w:tc>
          <w:tcPr>
            <w:tcW w:w="1767" w:type="dxa"/>
            <w:gridSpan w:val="3"/>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p>
        </w:tc>
        <w:tc>
          <w:tcPr>
            <w:tcW w:w="733"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主营</w:t>
            </w:r>
          </w:p>
        </w:tc>
        <w:tc>
          <w:tcPr>
            <w:tcW w:w="2474" w:type="dxa"/>
            <w:gridSpan w:val="4"/>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p>
        </w:tc>
        <w:tc>
          <w:tcPr>
            <w:tcW w:w="1011"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兼营</w:t>
            </w:r>
          </w:p>
        </w:tc>
        <w:tc>
          <w:tcPr>
            <w:tcW w:w="2503" w:type="dxa"/>
            <w:gridSpan w:val="4"/>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trPr>
        <w:tc>
          <w:tcPr>
            <w:tcW w:w="1335"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注册资金</w:t>
            </w:r>
          </w:p>
        </w:tc>
        <w:tc>
          <w:tcPr>
            <w:tcW w:w="1767" w:type="dxa"/>
            <w:gridSpan w:val="3"/>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p>
        </w:tc>
        <w:tc>
          <w:tcPr>
            <w:tcW w:w="733"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固定资产</w:t>
            </w:r>
          </w:p>
        </w:tc>
        <w:tc>
          <w:tcPr>
            <w:tcW w:w="2474" w:type="dxa"/>
            <w:gridSpan w:val="4"/>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p>
        </w:tc>
        <w:tc>
          <w:tcPr>
            <w:tcW w:w="1011"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净资产</w:t>
            </w:r>
          </w:p>
        </w:tc>
        <w:tc>
          <w:tcPr>
            <w:tcW w:w="2503" w:type="dxa"/>
            <w:gridSpan w:val="4"/>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trPr>
        <w:tc>
          <w:tcPr>
            <w:tcW w:w="1335"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有职称管理人员</w:t>
            </w:r>
          </w:p>
        </w:tc>
        <w:tc>
          <w:tcPr>
            <w:tcW w:w="733"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高级</w:t>
            </w:r>
          </w:p>
        </w:tc>
        <w:tc>
          <w:tcPr>
            <w:tcW w:w="1034" w:type="dxa"/>
            <w:gridSpan w:val="2"/>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p>
        </w:tc>
        <w:tc>
          <w:tcPr>
            <w:tcW w:w="733"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中级</w:t>
            </w:r>
          </w:p>
        </w:tc>
        <w:tc>
          <w:tcPr>
            <w:tcW w:w="1130"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p>
        </w:tc>
        <w:tc>
          <w:tcPr>
            <w:tcW w:w="934" w:type="dxa"/>
            <w:gridSpan w:val="2"/>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初级</w:t>
            </w:r>
          </w:p>
        </w:tc>
        <w:tc>
          <w:tcPr>
            <w:tcW w:w="1421" w:type="dxa"/>
            <w:gridSpan w:val="2"/>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p>
        </w:tc>
        <w:tc>
          <w:tcPr>
            <w:tcW w:w="1068" w:type="dxa"/>
            <w:gridSpan w:val="2"/>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技术员</w:t>
            </w:r>
          </w:p>
        </w:tc>
        <w:tc>
          <w:tcPr>
            <w:tcW w:w="1435" w:type="dxa"/>
            <w:gridSpan w:val="2"/>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1335"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组织机构</w:t>
            </w:r>
          </w:p>
        </w:tc>
        <w:tc>
          <w:tcPr>
            <w:tcW w:w="2500" w:type="dxa"/>
            <w:gridSpan w:val="4"/>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（附本表后）</w:t>
            </w:r>
          </w:p>
        </w:tc>
        <w:tc>
          <w:tcPr>
            <w:tcW w:w="3485" w:type="dxa"/>
            <w:gridSpan w:val="5"/>
            <w:tcBorders>
              <w:top w:val="nil"/>
            </w:tcBorders>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法定代表人及技术负责人简历</w:t>
            </w:r>
          </w:p>
        </w:tc>
        <w:tc>
          <w:tcPr>
            <w:tcW w:w="2503" w:type="dxa"/>
            <w:gridSpan w:val="4"/>
            <w:tcBorders>
              <w:top w:val="nil"/>
            </w:tcBorders>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（附本表后）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trPr>
        <w:tc>
          <w:tcPr>
            <w:tcW w:w="1335"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单位简历及概况</w:t>
            </w:r>
          </w:p>
        </w:tc>
        <w:tc>
          <w:tcPr>
            <w:tcW w:w="8488" w:type="dxa"/>
            <w:gridSpan w:val="13"/>
            <w:tcBorders>
              <w:right w:val="single" w:color="auto" w:sz="4" w:space="0"/>
            </w:tcBorders>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3" w:hRule="atLeast"/>
        </w:trPr>
        <w:tc>
          <w:tcPr>
            <w:tcW w:w="1335" w:type="dxa"/>
            <w:vAlign w:val="center"/>
          </w:tcPr>
          <w:p>
            <w:pPr>
              <w:pStyle w:val="19"/>
              <w:adjustRightInd w:val="0"/>
              <w:snapToGri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单位优势</w:t>
            </w:r>
          </w:p>
        </w:tc>
        <w:tc>
          <w:tcPr>
            <w:tcW w:w="8488" w:type="dxa"/>
            <w:gridSpan w:val="13"/>
            <w:tcBorders>
              <w:right w:val="single" w:color="auto" w:sz="4" w:space="0"/>
            </w:tcBorders>
          </w:tcPr>
          <w:p>
            <w:pPr>
              <w:pStyle w:val="19"/>
              <w:adjustRightInd w:val="0"/>
              <w:snapToGrid w:val="0"/>
              <w:spacing w:line="500" w:lineRule="atLeast"/>
              <w:jc w:val="center"/>
              <w:rPr>
                <w:rFonts w:ascii="仿宋" w:hAnsi="仿宋" w:eastAsia="仿宋" w:cs="仿宋"/>
                <w:bCs/>
                <w:color w:val="auto"/>
                <w:sz w:val="24"/>
                <w:szCs w:val="24"/>
                <w:highlight w:val="none"/>
              </w:rPr>
            </w:pPr>
          </w:p>
        </w:tc>
      </w:tr>
    </w:tbl>
    <w:p>
      <w:pPr>
        <w:pStyle w:val="19"/>
        <w:adjustRightInd w:val="0"/>
        <w:snapToGrid w:val="0"/>
        <w:spacing w:line="500" w:lineRule="atLeas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注：附企业法人营业执照、资质证书、安全生产许可证、组织机构代码证、税务登记证等证件文件复印件。</w:t>
      </w:r>
    </w:p>
    <w:p>
      <w:pPr>
        <w:pStyle w:val="61"/>
        <w:spacing w:line="500" w:lineRule="atLeast"/>
        <w:jc w:val="left"/>
        <w:rPr>
          <w:rFonts w:ascii="仿宋" w:hAnsi="仿宋" w:eastAsia="仿宋" w:cs="仿宋"/>
          <w:color w:val="auto"/>
          <w:sz w:val="24"/>
          <w:szCs w:val="24"/>
          <w:highlight w:val="none"/>
        </w:rPr>
      </w:pPr>
    </w:p>
    <w:p>
      <w:pPr>
        <w:pStyle w:val="61"/>
        <w:spacing w:line="500" w:lineRule="atLeast"/>
        <w:jc w:val="left"/>
        <w:rPr>
          <w:rFonts w:ascii="仿宋" w:hAnsi="仿宋" w:eastAsia="仿宋" w:cs="仿宋"/>
          <w:color w:val="auto"/>
          <w:sz w:val="24"/>
          <w:szCs w:val="24"/>
          <w:highlight w:val="none"/>
        </w:rPr>
      </w:pPr>
    </w:p>
    <w:p>
      <w:pPr>
        <w:pStyle w:val="61"/>
        <w:spacing w:line="500" w:lineRule="atLeast"/>
        <w:jc w:val="left"/>
        <w:outlineLvl w:val="1"/>
        <w:rPr>
          <w:rFonts w:ascii="仿宋" w:hAnsi="仿宋" w:eastAsia="仿宋" w:cs="仿宋"/>
          <w:b/>
          <w:color w:val="auto"/>
          <w:spacing w:val="0"/>
          <w:sz w:val="24"/>
          <w:szCs w:val="24"/>
          <w:highlight w:val="none"/>
        </w:rPr>
      </w:pPr>
    </w:p>
    <w:p>
      <w:pPr>
        <w:rPr>
          <w:rFonts w:hint="eastAsia" w:ascii="仿宋" w:hAnsi="仿宋" w:eastAsia="仿宋" w:cs="仿宋"/>
          <w:b/>
          <w:color w:val="auto"/>
          <w:spacing w:val="0"/>
          <w:sz w:val="24"/>
          <w:szCs w:val="24"/>
          <w:highlight w:val="none"/>
        </w:rPr>
      </w:pPr>
    </w:p>
    <w:p>
      <w:pPr>
        <w:jc w:val="center"/>
        <w:rPr>
          <w:rFonts w:ascii="仿宋" w:hAnsi="仿宋" w:eastAsia="仿宋" w:cs="仿宋"/>
          <w:color w:val="auto"/>
          <w:sz w:val="24"/>
          <w:szCs w:val="24"/>
          <w:highlight w:val="none"/>
        </w:rPr>
      </w:pPr>
      <w:bookmarkStart w:id="298" w:name="_Toc14540"/>
      <w:r>
        <w:rPr>
          <w:rFonts w:hint="eastAsia" w:ascii="仿宋" w:hAnsi="仿宋" w:eastAsia="仿宋" w:cs="仿宋"/>
          <w:color w:val="auto"/>
          <w:sz w:val="24"/>
          <w:szCs w:val="24"/>
          <w:highlight w:val="none"/>
        </w:rPr>
        <w:t>五、财务状况</w:t>
      </w:r>
      <w:bookmarkEnd w:id="298"/>
    </w:p>
    <w:p>
      <w:pPr>
        <w:pStyle w:val="19"/>
        <w:adjustRightInd w:val="0"/>
        <w:snapToGrid w:val="0"/>
        <w:spacing w:line="50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1、基本资料</w:t>
      </w:r>
    </w:p>
    <w:tbl>
      <w:tblPr>
        <w:tblStyle w:val="41"/>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2086"/>
        <w:gridCol w:w="1080"/>
        <w:gridCol w:w="1942"/>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539" w:type="dxa"/>
            <w:vAlign w:val="center"/>
          </w:tcPr>
          <w:p>
            <w:pPr>
              <w:pStyle w:val="19"/>
              <w:adjustRightInd w:val="0"/>
              <w:snapToGrid w:val="0"/>
              <w:spacing w:line="5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资产总额</w:t>
            </w:r>
          </w:p>
        </w:tc>
        <w:tc>
          <w:tcPr>
            <w:tcW w:w="2086" w:type="dxa"/>
            <w:vAlign w:val="center"/>
          </w:tcPr>
          <w:p>
            <w:pPr>
              <w:pStyle w:val="19"/>
              <w:adjustRightInd w:val="0"/>
              <w:snapToGrid w:val="0"/>
              <w:spacing w:line="5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元</w:t>
            </w:r>
          </w:p>
        </w:tc>
        <w:tc>
          <w:tcPr>
            <w:tcW w:w="1080" w:type="dxa"/>
            <w:vAlign w:val="center"/>
          </w:tcPr>
          <w:p>
            <w:pPr>
              <w:pStyle w:val="19"/>
              <w:adjustRightInd w:val="0"/>
              <w:snapToGrid w:val="0"/>
              <w:spacing w:line="5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其中</w:t>
            </w:r>
          </w:p>
        </w:tc>
        <w:tc>
          <w:tcPr>
            <w:tcW w:w="1942" w:type="dxa"/>
            <w:vAlign w:val="center"/>
          </w:tcPr>
          <w:p>
            <w:pPr>
              <w:pStyle w:val="19"/>
              <w:adjustRightInd w:val="0"/>
              <w:snapToGrid w:val="0"/>
              <w:spacing w:line="5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固定资产</w:t>
            </w:r>
          </w:p>
        </w:tc>
        <w:tc>
          <w:tcPr>
            <w:tcW w:w="3133" w:type="dxa"/>
            <w:vAlign w:val="center"/>
          </w:tcPr>
          <w:p>
            <w:pPr>
              <w:pStyle w:val="19"/>
              <w:adjustRightInd w:val="0"/>
              <w:snapToGrid w:val="0"/>
              <w:spacing w:line="500" w:lineRule="exact"/>
              <w:ind w:firstLine="2400" w:firstLineChars="100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539" w:type="dxa"/>
            <w:vAlign w:val="center"/>
          </w:tcPr>
          <w:p>
            <w:pPr>
              <w:pStyle w:val="19"/>
              <w:adjustRightInd w:val="0"/>
              <w:snapToGrid w:val="0"/>
              <w:spacing w:line="5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负债总额</w:t>
            </w:r>
          </w:p>
        </w:tc>
        <w:tc>
          <w:tcPr>
            <w:tcW w:w="2086" w:type="dxa"/>
            <w:vAlign w:val="center"/>
          </w:tcPr>
          <w:p>
            <w:pPr>
              <w:pStyle w:val="19"/>
              <w:adjustRightInd w:val="0"/>
              <w:snapToGrid w:val="0"/>
              <w:spacing w:line="5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元</w:t>
            </w:r>
          </w:p>
        </w:tc>
        <w:tc>
          <w:tcPr>
            <w:tcW w:w="1080" w:type="dxa"/>
            <w:vAlign w:val="center"/>
          </w:tcPr>
          <w:p>
            <w:pPr>
              <w:pStyle w:val="19"/>
              <w:adjustRightInd w:val="0"/>
              <w:snapToGrid w:val="0"/>
              <w:spacing w:line="5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其中</w:t>
            </w:r>
          </w:p>
        </w:tc>
        <w:tc>
          <w:tcPr>
            <w:tcW w:w="1942" w:type="dxa"/>
            <w:vAlign w:val="center"/>
          </w:tcPr>
          <w:p>
            <w:pPr>
              <w:pStyle w:val="19"/>
              <w:adjustRightInd w:val="0"/>
              <w:snapToGrid w:val="0"/>
              <w:spacing w:line="5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流动资产</w:t>
            </w:r>
          </w:p>
        </w:tc>
        <w:tc>
          <w:tcPr>
            <w:tcW w:w="3133" w:type="dxa"/>
            <w:vAlign w:val="center"/>
          </w:tcPr>
          <w:p>
            <w:pPr>
              <w:pStyle w:val="19"/>
              <w:adjustRightInd w:val="0"/>
              <w:snapToGrid w:val="0"/>
              <w:spacing w:line="500" w:lineRule="exact"/>
              <w:ind w:firstLine="2400" w:firstLineChars="100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trPr>
        <w:tc>
          <w:tcPr>
            <w:tcW w:w="3625" w:type="dxa"/>
            <w:gridSpan w:val="2"/>
            <w:vAlign w:val="center"/>
          </w:tcPr>
          <w:p>
            <w:pPr>
              <w:pStyle w:val="19"/>
              <w:adjustRightInd w:val="0"/>
              <w:snapToGrid w:val="0"/>
              <w:spacing w:line="5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年平均完成投资</w:t>
            </w:r>
          </w:p>
        </w:tc>
        <w:tc>
          <w:tcPr>
            <w:tcW w:w="6155" w:type="dxa"/>
            <w:gridSpan w:val="3"/>
          </w:tcPr>
          <w:p>
            <w:pPr>
              <w:pStyle w:val="19"/>
              <w:adjustRightInd w:val="0"/>
              <w:snapToGrid w:val="0"/>
              <w:spacing w:line="500" w:lineRule="exact"/>
              <w:ind w:firstLine="5520" w:firstLineChars="23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trPr>
        <w:tc>
          <w:tcPr>
            <w:tcW w:w="3625" w:type="dxa"/>
            <w:gridSpan w:val="2"/>
            <w:vAlign w:val="center"/>
          </w:tcPr>
          <w:p>
            <w:pPr>
              <w:pStyle w:val="19"/>
              <w:adjustRightInd w:val="0"/>
              <w:snapToGrid w:val="0"/>
              <w:spacing w:line="5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最高年制造/销售能力</w:t>
            </w:r>
          </w:p>
        </w:tc>
        <w:tc>
          <w:tcPr>
            <w:tcW w:w="6155" w:type="dxa"/>
            <w:gridSpan w:val="3"/>
          </w:tcPr>
          <w:p>
            <w:pPr>
              <w:pStyle w:val="19"/>
              <w:adjustRightInd w:val="0"/>
              <w:snapToGrid w:val="0"/>
              <w:spacing w:line="500" w:lineRule="exact"/>
              <w:ind w:firstLine="5520" w:firstLineChars="23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元</w:t>
            </w:r>
          </w:p>
        </w:tc>
      </w:tr>
    </w:tbl>
    <w:p>
      <w:pPr>
        <w:pStyle w:val="19"/>
        <w:adjustRightInd w:val="0"/>
        <w:snapToGrid w:val="0"/>
        <w:spacing w:line="500" w:lineRule="exact"/>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3、可以查到财务信息的开户银行的银行名称、地址。</w:t>
      </w:r>
    </w:p>
    <w:p>
      <w:pPr>
        <w:pStyle w:val="61"/>
        <w:spacing w:line="360" w:lineRule="auto"/>
        <w:jc w:val="left"/>
        <w:rPr>
          <w:rFonts w:ascii="仿宋" w:hAnsi="仿宋" w:eastAsia="仿宋" w:cs="仿宋"/>
          <w:color w:val="auto"/>
          <w:sz w:val="24"/>
          <w:szCs w:val="24"/>
          <w:highlight w:val="none"/>
        </w:rPr>
      </w:pPr>
    </w:p>
    <w:p>
      <w:pPr>
        <w:pStyle w:val="61"/>
        <w:spacing w:line="360" w:lineRule="auto"/>
        <w:jc w:val="left"/>
        <w:rPr>
          <w:rFonts w:ascii="仿宋" w:hAnsi="仿宋" w:eastAsia="仿宋" w:cs="仿宋"/>
          <w:color w:val="auto"/>
          <w:sz w:val="24"/>
          <w:szCs w:val="24"/>
          <w:highlight w:val="none"/>
        </w:rPr>
      </w:pPr>
    </w:p>
    <w:p>
      <w:pPr>
        <w:pStyle w:val="61"/>
        <w:spacing w:line="360" w:lineRule="auto"/>
        <w:jc w:val="left"/>
        <w:rPr>
          <w:rFonts w:ascii="仿宋" w:hAnsi="仿宋" w:eastAsia="仿宋" w:cs="仿宋"/>
          <w:color w:val="auto"/>
          <w:sz w:val="24"/>
          <w:szCs w:val="24"/>
          <w:highlight w:val="none"/>
        </w:rPr>
      </w:pPr>
    </w:p>
    <w:p>
      <w:pPr>
        <w:pStyle w:val="61"/>
        <w:spacing w:line="360" w:lineRule="auto"/>
        <w:jc w:val="left"/>
        <w:rPr>
          <w:rFonts w:ascii="仿宋" w:hAnsi="仿宋" w:eastAsia="仿宋" w:cs="仿宋"/>
          <w:color w:val="auto"/>
          <w:sz w:val="24"/>
          <w:szCs w:val="24"/>
          <w:highlight w:val="none"/>
        </w:rPr>
      </w:pPr>
    </w:p>
    <w:p>
      <w:pPr>
        <w:pStyle w:val="61"/>
        <w:spacing w:line="500" w:lineRule="atLeast"/>
        <w:jc w:val="left"/>
        <w:outlineLvl w:val="1"/>
        <w:rPr>
          <w:rFonts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 xml:space="preserve">                 </w:t>
      </w:r>
    </w:p>
    <w:p>
      <w:pPr>
        <w:pStyle w:val="61"/>
        <w:spacing w:line="500" w:lineRule="atLeast"/>
        <w:jc w:val="left"/>
        <w:outlineLvl w:val="1"/>
        <w:rPr>
          <w:rFonts w:ascii="仿宋" w:hAnsi="仿宋" w:eastAsia="仿宋" w:cs="仿宋"/>
          <w:b/>
          <w:color w:val="auto"/>
          <w:spacing w:val="0"/>
          <w:sz w:val="24"/>
          <w:szCs w:val="24"/>
          <w:highlight w:val="none"/>
        </w:rPr>
      </w:pPr>
    </w:p>
    <w:p>
      <w:pPr>
        <w:pStyle w:val="61"/>
        <w:spacing w:line="500" w:lineRule="atLeast"/>
        <w:jc w:val="left"/>
        <w:outlineLvl w:val="1"/>
        <w:rPr>
          <w:rFonts w:ascii="仿宋" w:hAnsi="仿宋" w:eastAsia="仿宋" w:cs="仿宋"/>
          <w:b/>
          <w:color w:val="auto"/>
          <w:spacing w:val="0"/>
          <w:sz w:val="24"/>
          <w:szCs w:val="24"/>
          <w:highlight w:val="none"/>
        </w:rPr>
      </w:pPr>
    </w:p>
    <w:p>
      <w:pPr>
        <w:pStyle w:val="61"/>
        <w:spacing w:line="500" w:lineRule="atLeast"/>
        <w:outlineLvl w:val="1"/>
        <w:rPr>
          <w:rFonts w:ascii="仿宋" w:hAnsi="仿宋" w:eastAsia="仿宋" w:cs="仿宋"/>
          <w:color w:val="auto"/>
          <w:sz w:val="24"/>
          <w:szCs w:val="24"/>
          <w:highlight w:val="none"/>
        </w:rPr>
      </w:pPr>
      <w:bookmarkStart w:id="299" w:name="_Toc8602"/>
      <w:bookmarkStart w:id="300" w:name="_Toc7734"/>
    </w:p>
    <w:p>
      <w:pPr>
        <w:pStyle w:val="61"/>
        <w:spacing w:line="500" w:lineRule="atLeast"/>
        <w:outlineLvl w:val="1"/>
        <w:rPr>
          <w:rFonts w:ascii="仿宋" w:hAnsi="仿宋" w:eastAsia="仿宋" w:cs="仿宋"/>
          <w:color w:val="auto"/>
          <w:sz w:val="24"/>
          <w:szCs w:val="24"/>
          <w:highlight w:val="none"/>
        </w:rPr>
      </w:pPr>
    </w:p>
    <w:p>
      <w:pPr>
        <w:pStyle w:val="61"/>
        <w:spacing w:line="500" w:lineRule="atLeast"/>
        <w:outlineLvl w:val="1"/>
        <w:rPr>
          <w:rFonts w:ascii="仿宋" w:hAnsi="仿宋" w:eastAsia="仿宋" w:cs="仿宋"/>
          <w:color w:val="auto"/>
          <w:sz w:val="24"/>
          <w:szCs w:val="24"/>
          <w:highlight w:val="none"/>
        </w:rPr>
      </w:pPr>
    </w:p>
    <w:p>
      <w:pPr>
        <w:pStyle w:val="61"/>
        <w:spacing w:line="500" w:lineRule="atLeast"/>
        <w:outlineLvl w:val="1"/>
        <w:rPr>
          <w:rFonts w:ascii="仿宋" w:hAnsi="仿宋" w:eastAsia="仿宋" w:cs="仿宋"/>
          <w:color w:val="auto"/>
          <w:sz w:val="24"/>
          <w:szCs w:val="24"/>
          <w:highlight w:val="none"/>
        </w:rPr>
      </w:pPr>
    </w:p>
    <w:p>
      <w:pPr>
        <w:pStyle w:val="61"/>
        <w:spacing w:line="500" w:lineRule="atLeast"/>
        <w:outlineLvl w:val="1"/>
        <w:rPr>
          <w:rFonts w:ascii="仿宋" w:hAnsi="仿宋" w:eastAsia="仿宋" w:cs="仿宋"/>
          <w:color w:val="auto"/>
          <w:sz w:val="24"/>
          <w:szCs w:val="24"/>
          <w:highlight w:val="none"/>
        </w:rPr>
      </w:pPr>
    </w:p>
    <w:p>
      <w:pPr>
        <w:pStyle w:val="61"/>
        <w:spacing w:line="500" w:lineRule="atLeast"/>
        <w:outlineLvl w:val="1"/>
        <w:rPr>
          <w:rFonts w:ascii="仿宋" w:hAnsi="仿宋" w:eastAsia="仿宋" w:cs="仿宋"/>
          <w:color w:val="auto"/>
          <w:sz w:val="24"/>
          <w:szCs w:val="24"/>
          <w:highlight w:val="none"/>
        </w:rPr>
      </w:pPr>
    </w:p>
    <w:p>
      <w:pPr>
        <w:pStyle w:val="61"/>
        <w:spacing w:line="500" w:lineRule="atLeast"/>
        <w:outlineLvl w:val="1"/>
        <w:rPr>
          <w:rFonts w:ascii="仿宋" w:hAnsi="仿宋" w:eastAsia="仿宋" w:cs="仿宋"/>
          <w:color w:val="auto"/>
          <w:sz w:val="24"/>
          <w:szCs w:val="24"/>
          <w:highlight w:val="none"/>
        </w:rPr>
      </w:pPr>
    </w:p>
    <w:p>
      <w:pPr>
        <w:pStyle w:val="61"/>
        <w:spacing w:line="500" w:lineRule="atLeast"/>
        <w:outlineLvl w:val="1"/>
        <w:rPr>
          <w:rFonts w:ascii="仿宋" w:hAnsi="仿宋" w:eastAsia="仿宋" w:cs="仿宋"/>
          <w:color w:val="auto"/>
          <w:sz w:val="24"/>
          <w:szCs w:val="24"/>
          <w:highlight w:val="none"/>
        </w:rPr>
      </w:pPr>
    </w:p>
    <w:p>
      <w:pPr>
        <w:pStyle w:val="61"/>
        <w:spacing w:line="500" w:lineRule="atLeast"/>
        <w:jc w:val="both"/>
        <w:outlineLvl w:val="1"/>
        <w:rPr>
          <w:rFonts w:ascii="仿宋" w:hAnsi="仿宋" w:eastAsia="仿宋" w:cs="仿宋"/>
          <w:color w:val="auto"/>
          <w:sz w:val="24"/>
          <w:szCs w:val="24"/>
          <w:highlight w:val="none"/>
        </w:rPr>
      </w:pPr>
    </w:p>
    <w:p>
      <w:pPr>
        <w:pStyle w:val="61"/>
        <w:spacing w:line="500" w:lineRule="atLeast"/>
        <w:jc w:val="both"/>
        <w:outlineLvl w:val="1"/>
        <w:rPr>
          <w:rFonts w:ascii="仿宋" w:hAnsi="仿宋" w:eastAsia="仿宋" w:cs="仿宋"/>
          <w:color w:val="auto"/>
          <w:sz w:val="24"/>
          <w:szCs w:val="24"/>
          <w:highlight w:val="none"/>
        </w:rPr>
      </w:pPr>
    </w:p>
    <w:p>
      <w:pPr>
        <w:pStyle w:val="61"/>
        <w:spacing w:line="500" w:lineRule="atLeast"/>
        <w:jc w:val="both"/>
        <w:outlineLvl w:val="1"/>
        <w:rPr>
          <w:rFonts w:ascii="仿宋" w:hAnsi="仿宋" w:eastAsia="仿宋" w:cs="仿宋"/>
          <w:color w:val="auto"/>
          <w:sz w:val="24"/>
          <w:szCs w:val="24"/>
          <w:highlight w:val="none"/>
        </w:rPr>
      </w:pPr>
    </w:p>
    <w:p>
      <w:pPr>
        <w:pStyle w:val="61"/>
        <w:spacing w:line="500" w:lineRule="atLeast"/>
        <w:outlineLvl w:val="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六、业绩一览表</w:t>
      </w:r>
      <w:bookmarkEnd w:id="299"/>
      <w:bookmarkEnd w:id="300"/>
    </w:p>
    <w:p>
      <w:pPr>
        <w:pStyle w:val="19"/>
        <w:adjustRightInd w:val="0"/>
        <w:snapToGrid w:val="0"/>
        <w:spacing w:line="500" w:lineRule="atLeast"/>
        <w:jc w:val="center"/>
        <w:rPr>
          <w:rFonts w:ascii="仿宋" w:hAnsi="仿宋" w:eastAsia="仿宋" w:cs="仿宋"/>
          <w:color w:val="auto"/>
          <w:sz w:val="24"/>
          <w:szCs w:val="24"/>
          <w:highlight w:val="none"/>
        </w:rPr>
      </w:pPr>
    </w:p>
    <w:tbl>
      <w:tblPr>
        <w:tblStyle w:val="41"/>
        <w:tblW w:w="944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816"/>
        <w:gridCol w:w="1816"/>
        <w:gridCol w:w="1816"/>
        <w:gridCol w:w="181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签订合同时间</w:t>
            </w:r>
          </w:p>
        </w:tc>
        <w:tc>
          <w:tcPr>
            <w:tcW w:w="1816" w:type="dxa"/>
            <w:vAlign w:val="center"/>
          </w:tcPr>
          <w:p>
            <w:pPr>
              <w:pStyle w:val="19"/>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项目名称</w:t>
            </w: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tc>
        <w:tc>
          <w:tcPr>
            <w:tcW w:w="1817"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业主名称</w:t>
            </w:r>
          </w:p>
        </w:tc>
        <w:tc>
          <w:tcPr>
            <w:tcW w:w="1440"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业主评价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7"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440" w:type="dxa"/>
            <w:vMerge w:val="restart"/>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若有评价材料，请附在本表之后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7"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440" w:type="dxa"/>
            <w:vMerge w:val="continue"/>
          </w:tcPr>
          <w:p>
            <w:pPr>
              <w:pStyle w:val="19"/>
              <w:adjustRightInd w:val="0"/>
              <w:snapToGrid w:val="0"/>
              <w:spacing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7"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440" w:type="dxa"/>
            <w:vMerge w:val="continue"/>
          </w:tcPr>
          <w:p>
            <w:pPr>
              <w:pStyle w:val="19"/>
              <w:adjustRightInd w:val="0"/>
              <w:snapToGrid w:val="0"/>
              <w:spacing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7"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440" w:type="dxa"/>
            <w:vMerge w:val="continue"/>
          </w:tcPr>
          <w:p>
            <w:pPr>
              <w:pStyle w:val="19"/>
              <w:adjustRightInd w:val="0"/>
              <w:snapToGrid w:val="0"/>
              <w:spacing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7"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440" w:type="dxa"/>
            <w:vMerge w:val="continue"/>
          </w:tcPr>
          <w:p>
            <w:pPr>
              <w:pStyle w:val="19"/>
              <w:adjustRightInd w:val="0"/>
              <w:snapToGrid w:val="0"/>
              <w:spacing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7"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440" w:type="dxa"/>
            <w:vMerge w:val="continue"/>
          </w:tcPr>
          <w:p>
            <w:pPr>
              <w:pStyle w:val="19"/>
              <w:adjustRightInd w:val="0"/>
              <w:snapToGrid w:val="0"/>
              <w:spacing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7"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440" w:type="dxa"/>
            <w:vMerge w:val="continue"/>
          </w:tcPr>
          <w:p>
            <w:pPr>
              <w:pStyle w:val="19"/>
              <w:adjustRightInd w:val="0"/>
              <w:snapToGrid w:val="0"/>
              <w:spacing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7"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440" w:type="dxa"/>
            <w:vMerge w:val="continue"/>
          </w:tcPr>
          <w:p>
            <w:pPr>
              <w:pStyle w:val="19"/>
              <w:adjustRightInd w:val="0"/>
              <w:snapToGrid w:val="0"/>
              <w:spacing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6"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817" w:type="dxa"/>
            <w:vAlign w:val="center"/>
          </w:tcPr>
          <w:p>
            <w:pPr>
              <w:pStyle w:val="19"/>
              <w:adjustRightInd w:val="0"/>
              <w:snapToGrid w:val="0"/>
              <w:spacing w:line="500" w:lineRule="atLeast"/>
              <w:jc w:val="center"/>
              <w:rPr>
                <w:rFonts w:ascii="仿宋" w:hAnsi="仿宋" w:eastAsia="仿宋" w:cs="仿宋"/>
                <w:color w:val="auto"/>
                <w:sz w:val="24"/>
                <w:szCs w:val="24"/>
                <w:highlight w:val="none"/>
              </w:rPr>
            </w:pPr>
          </w:p>
        </w:tc>
        <w:tc>
          <w:tcPr>
            <w:tcW w:w="1440" w:type="dxa"/>
            <w:vMerge w:val="continue"/>
          </w:tcPr>
          <w:p>
            <w:pPr>
              <w:pStyle w:val="19"/>
              <w:adjustRightInd w:val="0"/>
              <w:snapToGrid w:val="0"/>
              <w:spacing w:line="500" w:lineRule="atLeast"/>
              <w:rPr>
                <w:rFonts w:ascii="仿宋" w:hAnsi="仿宋" w:eastAsia="仿宋" w:cs="仿宋"/>
                <w:color w:val="auto"/>
                <w:sz w:val="24"/>
                <w:szCs w:val="24"/>
                <w:highlight w:val="none"/>
              </w:rPr>
            </w:pPr>
          </w:p>
        </w:tc>
      </w:tr>
    </w:tbl>
    <w:p>
      <w:pPr>
        <w:pStyle w:val="19"/>
        <w:adjustRightInd w:val="0"/>
        <w:snapToGrid w:val="0"/>
        <w:spacing w:line="500" w:lineRule="atLeast"/>
        <w:rPr>
          <w:rFonts w:ascii="仿宋" w:hAnsi="仿宋" w:eastAsia="仿宋" w:cs="仿宋"/>
          <w:b/>
          <w:color w:val="auto"/>
          <w:sz w:val="24"/>
          <w:szCs w:val="24"/>
          <w:highlight w:val="none"/>
        </w:rPr>
      </w:pPr>
    </w:p>
    <w:p>
      <w:pPr>
        <w:pStyle w:val="19"/>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后附本表中所列类似业绩的合同的复印件,加盖公章。</w:t>
      </w:r>
    </w:p>
    <w:p>
      <w:pPr>
        <w:pStyle w:val="19"/>
        <w:adjustRightInd w:val="0"/>
        <w:snapToGrid w:val="0"/>
        <w:spacing w:line="500" w:lineRule="atLeast"/>
        <w:rPr>
          <w:rFonts w:ascii="仿宋" w:hAnsi="仿宋" w:eastAsia="仿宋" w:cs="仿宋"/>
          <w:color w:val="auto"/>
          <w:sz w:val="24"/>
          <w:szCs w:val="24"/>
          <w:highlight w:val="none"/>
        </w:rPr>
      </w:pPr>
    </w:p>
    <w:p>
      <w:pPr>
        <w:pStyle w:val="19"/>
        <w:adjustRightInd w:val="0"/>
        <w:snapToGrid w:val="0"/>
        <w:spacing w:line="500" w:lineRule="atLeast"/>
        <w:rPr>
          <w:rFonts w:ascii="仿宋" w:hAnsi="仿宋" w:eastAsia="仿宋" w:cs="仿宋"/>
          <w:color w:val="auto"/>
          <w:sz w:val="24"/>
          <w:szCs w:val="24"/>
          <w:highlight w:val="none"/>
        </w:rPr>
      </w:pPr>
    </w:p>
    <w:p>
      <w:pPr>
        <w:pStyle w:val="19"/>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投标人（签署、盖章）：</w:t>
      </w:r>
    </w:p>
    <w:p>
      <w:pPr>
        <w:pStyle w:val="19"/>
        <w:adjustRightInd w:val="0"/>
        <w:snapToGrid w:val="0"/>
        <w:spacing w:line="500" w:lineRule="atLeast"/>
        <w:rPr>
          <w:rFonts w:ascii="仿宋" w:hAnsi="仿宋" w:eastAsia="仿宋" w:cs="仿宋"/>
          <w:color w:val="auto"/>
          <w:sz w:val="24"/>
          <w:szCs w:val="24"/>
          <w:highlight w:val="none"/>
        </w:rPr>
      </w:pPr>
    </w:p>
    <w:p>
      <w:pPr>
        <w:pStyle w:val="19"/>
        <w:adjustRightInd w:val="0"/>
        <w:snapToGri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授权代表（签名）：</w:t>
      </w:r>
    </w:p>
    <w:p>
      <w:pPr>
        <w:pStyle w:val="19"/>
        <w:adjustRightInd w:val="0"/>
        <w:snapToGri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pStyle w:val="61"/>
        <w:spacing w:line="500" w:lineRule="atLeast"/>
        <w:jc w:val="left"/>
        <w:rPr>
          <w:rFonts w:ascii="仿宋" w:hAnsi="仿宋" w:eastAsia="仿宋" w:cs="仿宋"/>
          <w:color w:val="auto"/>
          <w:sz w:val="24"/>
          <w:szCs w:val="24"/>
          <w:highlight w:val="none"/>
        </w:rPr>
      </w:pPr>
    </w:p>
    <w:p>
      <w:pPr>
        <w:pStyle w:val="3"/>
        <w:spacing w:before="0" w:after="100" w:afterAutospacing="1" w:line="360" w:lineRule="auto"/>
        <w:rPr>
          <w:rFonts w:ascii="仿宋" w:hAnsi="仿宋" w:eastAsia="仿宋" w:cs="仿宋"/>
          <w:b w:val="0"/>
          <w:bCs w:val="0"/>
          <w:color w:val="auto"/>
          <w:sz w:val="24"/>
          <w:szCs w:val="24"/>
          <w:highlight w:val="none"/>
        </w:rPr>
      </w:pPr>
      <w:bookmarkStart w:id="301" w:name="_Toc426014353"/>
      <w:bookmarkStart w:id="302" w:name="_Toc2693"/>
    </w:p>
    <w:p>
      <w:pPr>
        <w:rPr>
          <w:rFonts w:ascii="仿宋" w:hAnsi="仿宋" w:eastAsia="仿宋" w:cs="仿宋"/>
          <w:color w:val="auto"/>
          <w:sz w:val="24"/>
          <w:szCs w:val="24"/>
          <w:highlight w:val="none"/>
        </w:rPr>
      </w:pPr>
    </w:p>
    <w:p>
      <w:pPr>
        <w:rPr>
          <w:rFonts w:ascii="仿宋" w:hAnsi="仿宋" w:eastAsia="仿宋" w:cs="仿宋"/>
          <w:color w:val="auto"/>
          <w:sz w:val="24"/>
          <w:szCs w:val="24"/>
          <w:highlight w:val="none"/>
        </w:rPr>
      </w:pPr>
    </w:p>
    <w:p>
      <w:pPr>
        <w:rPr>
          <w:rFonts w:ascii="仿宋" w:hAnsi="仿宋" w:eastAsia="仿宋" w:cs="仿宋"/>
          <w:color w:val="auto"/>
          <w:sz w:val="24"/>
          <w:szCs w:val="24"/>
          <w:highlight w:val="none"/>
        </w:rPr>
      </w:pPr>
    </w:p>
    <w:p>
      <w:pPr>
        <w:rPr>
          <w:color w:val="auto"/>
          <w:highlight w:val="none"/>
        </w:rPr>
      </w:pP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七、近三年内，在经营活动中没有重大违法记录的声明</w:t>
      </w:r>
      <w:bookmarkEnd w:id="301"/>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cs="仿宋"/>
          <w:b/>
          <w:bCs/>
          <w:color w:val="auto"/>
          <w:sz w:val="24"/>
          <w:szCs w:val="24"/>
          <w:highlight w:val="none"/>
        </w:rPr>
      </w:pPr>
    </w:p>
    <w:p>
      <w:pPr>
        <w:widowControl w:val="0"/>
        <w:tabs>
          <w:tab w:val="left" w:pos="0"/>
          <w:tab w:val="left" w:pos="720"/>
          <w:tab w:val="left" w:pos="1440"/>
          <w:tab w:val="left" w:pos="2160"/>
          <w:tab w:val="left" w:pos="2880"/>
          <w:tab w:val="left" w:pos="3600"/>
          <w:tab w:val="left" w:pos="4320"/>
        </w:tabs>
        <w:autoSpaceDE w:val="0"/>
        <w:autoSpaceDN w:val="0"/>
        <w:adjustRightInd w:val="0"/>
        <w:spacing w:line="408"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山东蓝盾招标代理有限公司   </w:t>
      </w:r>
    </w:p>
    <w:p>
      <w:pPr>
        <w:widowControl w:val="0"/>
        <w:tabs>
          <w:tab w:val="left" w:pos="0"/>
          <w:tab w:val="left" w:pos="720"/>
          <w:tab w:val="left" w:pos="1440"/>
          <w:tab w:val="left" w:pos="2160"/>
          <w:tab w:val="left" w:pos="2880"/>
          <w:tab w:val="left" w:pos="3600"/>
          <w:tab w:val="left" w:pos="4320"/>
        </w:tabs>
        <w:autoSpaceDE w:val="0"/>
        <w:autoSpaceDN w:val="0"/>
        <w:adjustRightInd w:val="0"/>
        <w:spacing w:line="408" w:lineRule="auto"/>
        <w:ind w:firstLine="49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我单位近三年内在经营活动中没有重大违法记录，特此声明。</w:t>
      </w:r>
    </w:p>
    <w:p>
      <w:pPr>
        <w:widowControl w:val="0"/>
        <w:tabs>
          <w:tab w:val="left" w:pos="0"/>
          <w:tab w:val="left" w:pos="720"/>
          <w:tab w:val="left" w:pos="1440"/>
          <w:tab w:val="left" w:pos="2160"/>
          <w:tab w:val="left" w:pos="2880"/>
          <w:tab w:val="left" w:pos="3600"/>
          <w:tab w:val="left" w:pos="4320"/>
        </w:tabs>
        <w:autoSpaceDE w:val="0"/>
        <w:autoSpaceDN w:val="0"/>
        <w:adjustRightInd w:val="0"/>
        <w:spacing w:line="408" w:lineRule="auto"/>
        <w:ind w:firstLine="49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若招标采购单位在本项目采购过程中，发现我单位近三年内在经营活动中有重大违法记录，我单位将无条件退出本项目的投标，并承担因此引起的一切后果。</w:t>
      </w:r>
    </w:p>
    <w:p>
      <w:pPr>
        <w:widowControl w:val="0"/>
        <w:tabs>
          <w:tab w:val="left" w:pos="0"/>
          <w:tab w:val="left" w:pos="720"/>
          <w:tab w:val="left" w:pos="1440"/>
          <w:tab w:val="left" w:pos="2160"/>
          <w:tab w:val="left" w:pos="2880"/>
          <w:tab w:val="left" w:pos="3600"/>
          <w:tab w:val="left" w:pos="4320"/>
        </w:tabs>
        <w:autoSpaceDE w:val="0"/>
        <w:autoSpaceDN w:val="0"/>
        <w:adjustRightInd w:val="0"/>
        <w:spacing w:line="408" w:lineRule="auto"/>
        <w:ind w:firstLine="495"/>
        <w:rPr>
          <w:rFonts w:ascii="仿宋" w:hAnsi="仿宋" w:eastAsia="仿宋" w:cs="仿宋"/>
          <w:color w:val="auto"/>
          <w:sz w:val="24"/>
          <w:szCs w:val="24"/>
          <w:highlight w:val="none"/>
        </w:rPr>
      </w:pPr>
    </w:p>
    <w:p>
      <w:pPr>
        <w:widowControl w:val="0"/>
        <w:tabs>
          <w:tab w:val="left" w:pos="0"/>
          <w:tab w:val="left" w:pos="720"/>
          <w:tab w:val="left" w:pos="1440"/>
          <w:tab w:val="left" w:pos="2160"/>
          <w:tab w:val="left" w:pos="2880"/>
          <w:tab w:val="left" w:pos="3600"/>
          <w:tab w:val="left" w:pos="4320"/>
        </w:tabs>
        <w:autoSpaceDE w:val="0"/>
        <w:autoSpaceDN w:val="0"/>
        <w:adjustRightInd w:val="0"/>
        <w:spacing w:line="408" w:lineRule="auto"/>
        <w:ind w:firstLine="495"/>
        <w:rPr>
          <w:rFonts w:ascii="仿宋" w:hAnsi="仿宋" w:eastAsia="仿宋" w:cs="仿宋"/>
          <w:color w:val="auto"/>
          <w:sz w:val="24"/>
          <w:szCs w:val="24"/>
          <w:highlight w:val="none"/>
        </w:rPr>
      </w:pPr>
    </w:p>
    <w:p>
      <w:pPr>
        <w:widowControl w:val="0"/>
        <w:tabs>
          <w:tab w:val="left" w:pos="0"/>
          <w:tab w:val="left" w:pos="720"/>
          <w:tab w:val="left" w:pos="1440"/>
          <w:tab w:val="left" w:pos="2160"/>
          <w:tab w:val="left" w:pos="2880"/>
          <w:tab w:val="left" w:pos="3600"/>
          <w:tab w:val="left" w:pos="4320"/>
        </w:tabs>
        <w:autoSpaceDE w:val="0"/>
        <w:autoSpaceDN w:val="0"/>
        <w:adjustRightInd w:val="0"/>
        <w:spacing w:line="408" w:lineRule="auto"/>
        <w:ind w:firstLine="495"/>
        <w:rPr>
          <w:rFonts w:ascii="仿宋" w:hAnsi="仿宋" w:eastAsia="仿宋" w:cs="仿宋"/>
          <w:color w:val="auto"/>
          <w:sz w:val="24"/>
          <w:szCs w:val="24"/>
          <w:highlight w:val="none"/>
        </w:rPr>
      </w:pPr>
    </w:p>
    <w:p>
      <w:pPr>
        <w:widowControl w:val="0"/>
        <w:tabs>
          <w:tab w:val="left" w:pos="0"/>
          <w:tab w:val="left" w:pos="720"/>
          <w:tab w:val="left" w:pos="1440"/>
          <w:tab w:val="left" w:pos="2160"/>
          <w:tab w:val="left" w:pos="2880"/>
          <w:tab w:val="left" w:pos="3600"/>
          <w:tab w:val="left" w:pos="4320"/>
        </w:tabs>
        <w:autoSpaceDE w:val="0"/>
        <w:autoSpaceDN w:val="0"/>
        <w:adjustRightInd w:val="0"/>
        <w:spacing w:line="408" w:lineRule="auto"/>
        <w:ind w:firstLine="495"/>
        <w:rPr>
          <w:rFonts w:ascii="仿宋" w:hAnsi="仿宋" w:eastAsia="仿宋" w:cs="仿宋"/>
          <w:color w:val="auto"/>
          <w:sz w:val="24"/>
          <w:szCs w:val="24"/>
          <w:highlight w:val="none"/>
        </w:rPr>
      </w:pPr>
    </w:p>
    <w:p>
      <w:pPr>
        <w:widowControl w:val="0"/>
        <w:tabs>
          <w:tab w:val="left" w:pos="0"/>
          <w:tab w:val="left" w:pos="720"/>
          <w:tab w:val="left" w:pos="1440"/>
          <w:tab w:val="left" w:pos="2160"/>
          <w:tab w:val="left" w:pos="2880"/>
          <w:tab w:val="left" w:pos="3600"/>
          <w:tab w:val="left" w:pos="4320"/>
        </w:tabs>
        <w:autoSpaceDE w:val="0"/>
        <w:autoSpaceDN w:val="0"/>
        <w:adjustRightInd w:val="0"/>
        <w:spacing w:line="408" w:lineRule="auto"/>
        <w:ind w:firstLine="49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投标供应商名称（公章）：</w:t>
      </w:r>
      <w:r>
        <w:rPr>
          <w:rFonts w:hint="eastAsia" w:ascii="仿宋" w:hAnsi="仿宋" w:eastAsia="仿宋" w:cs="仿宋"/>
          <w:color w:val="auto"/>
          <w:sz w:val="24"/>
          <w:szCs w:val="24"/>
          <w:highlight w:val="none"/>
          <w:u w:val="single"/>
        </w:rPr>
        <w:t xml:space="preserve">                      </w:t>
      </w:r>
    </w:p>
    <w:p>
      <w:pPr>
        <w:widowControl w:val="0"/>
        <w:tabs>
          <w:tab w:val="left" w:pos="0"/>
          <w:tab w:val="left" w:pos="720"/>
          <w:tab w:val="left" w:pos="1440"/>
          <w:tab w:val="left" w:pos="2160"/>
          <w:tab w:val="left" w:pos="2880"/>
          <w:tab w:val="left" w:pos="3600"/>
          <w:tab w:val="left" w:pos="4320"/>
        </w:tabs>
        <w:autoSpaceDE w:val="0"/>
        <w:autoSpaceDN w:val="0"/>
        <w:adjustRightInd w:val="0"/>
        <w:spacing w:line="408" w:lineRule="auto"/>
        <w:ind w:firstLine="49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法人代表或其授权人（签字）：</w:t>
      </w:r>
      <w:r>
        <w:rPr>
          <w:rFonts w:hint="eastAsia" w:ascii="仿宋" w:hAnsi="仿宋" w:eastAsia="仿宋" w:cs="仿宋"/>
          <w:color w:val="auto"/>
          <w:sz w:val="24"/>
          <w:szCs w:val="24"/>
          <w:highlight w:val="none"/>
          <w:u w:val="single"/>
        </w:rPr>
        <w:t xml:space="preserve">              </w:t>
      </w:r>
    </w:p>
    <w:p>
      <w:pPr>
        <w:widowControl w:val="0"/>
        <w:tabs>
          <w:tab w:val="left" w:pos="0"/>
          <w:tab w:val="left" w:pos="720"/>
          <w:tab w:val="left" w:pos="1440"/>
          <w:tab w:val="left" w:pos="2160"/>
          <w:tab w:val="left" w:pos="2880"/>
          <w:tab w:val="left" w:pos="3600"/>
          <w:tab w:val="left" w:pos="4320"/>
        </w:tabs>
        <w:autoSpaceDE w:val="0"/>
        <w:autoSpaceDN w:val="0"/>
        <w:adjustRightInd w:val="0"/>
        <w:spacing w:line="408" w:lineRule="auto"/>
        <w:ind w:firstLine="49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widowControl w:val="0"/>
        <w:tabs>
          <w:tab w:val="left" w:pos="0"/>
          <w:tab w:val="left" w:pos="720"/>
          <w:tab w:val="left" w:pos="1440"/>
          <w:tab w:val="left" w:pos="2160"/>
          <w:tab w:val="left" w:pos="2880"/>
          <w:tab w:val="left" w:pos="3600"/>
          <w:tab w:val="left" w:pos="4320"/>
        </w:tabs>
        <w:autoSpaceDE w:val="0"/>
        <w:autoSpaceDN w:val="0"/>
        <w:adjustRightInd w:val="0"/>
        <w:spacing w:line="408" w:lineRule="auto"/>
        <w:ind w:firstLine="49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spacing w:line="360" w:lineRule="auto"/>
        <w:jc w:val="center"/>
        <w:outlineLvl w:val="0"/>
        <w:rPr>
          <w:rFonts w:ascii="仿宋" w:hAnsi="仿宋" w:eastAsia="仿宋" w:cs="仿宋"/>
          <w:b/>
          <w:color w:val="auto"/>
          <w:sz w:val="24"/>
          <w:szCs w:val="24"/>
          <w:highlight w:val="none"/>
          <w:lang w:val="en-GB"/>
        </w:rPr>
      </w:pPr>
    </w:p>
    <w:p>
      <w:pPr>
        <w:spacing w:line="360" w:lineRule="auto"/>
        <w:jc w:val="center"/>
        <w:outlineLvl w:val="0"/>
        <w:rPr>
          <w:rFonts w:ascii="仿宋" w:hAnsi="仿宋" w:eastAsia="仿宋" w:cs="仿宋"/>
          <w:b/>
          <w:color w:val="auto"/>
          <w:sz w:val="24"/>
          <w:szCs w:val="24"/>
          <w:highlight w:val="none"/>
          <w:lang w:val="en-GB"/>
        </w:rPr>
      </w:pPr>
    </w:p>
    <w:p>
      <w:pPr>
        <w:spacing w:line="360" w:lineRule="auto"/>
        <w:jc w:val="both"/>
        <w:outlineLvl w:val="0"/>
        <w:rPr>
          <w:rFonts w:ascii="仿宋" w:hAnsi="仿宋" w:eastAsia="仿宋" w:cs="仿宋"/>
          <w:b/>
          <w:color w:val="auto"/>
          <w:sz w:val="24"/>
          <w:szCs w:val="24"/>
          <w:highlight w:val="none"/>
          <w:lang w:val="en-GB"/>
        </w:rPr>
      </w:pPr>
    </w:p>
    <w:p>
      <w:pPr>
        <w:spacing w:line="360" w:lineRule="auto"/>
        <w:jc w:val="center"/>
        <w:outlineLvl w:val="0"/>
        <w:rPr>
          <w:rFonts w:ascii="仿宋" w:hAnsi="仿宋" w:eastAsia="仿宋" w:cs="仿宋"/>
          <w:b/>
          <w:color w:val="auto"/>
          <w:sz w:val="24"/>
          <w:szCs w:val="24"/>
          <w:highlight w:val="none"/>
          <w:lang w:val="en-GB"/>
        </w:rPr>
      </w:pPr>
    </w:p>
    <w:p>
      <w:pPr>
        <w:spacing w:line="360" w:lineRule="auto"/>
        <w:jc w:val="center"/>
        <w:outlineLvl w:val="0"/>
        <w:rPr>
          <w:rFonts w:ascii="仿宋" w:hAnsi="仿宋" w:eastAsia="仿宋" w:cs="仿宋"/>
          <w:b/>
          <w:color w:val="auto"/>
          <w:sz w:val="24"/>
          <w:szCs w:val="24"/>
          <w:highlight w:val="none"/>
          <w:lang w:val="en-GB"/>
        </w:rPr>
      </w:pPr>
    </w:p>
    <w:p>
      <w:pPr>
        <w:spacing w:line="360" w:lineRule="auto"/>
        <w:jc w:val="center"/>
        <w:outlineLvl w:val="0"/>
        <w:rPr>
          <w:rFonts w:ascii="仿宋" w:hAnsi="仿宋" w:eastAsia="仿宋" w:cs="仿宋"/>
          <w:b/>
          <w:color w:val="auto"/>
          <w:sz w:val="24"/>
          <w:szCs w:val="24"/>
          <w:highlight w:val="none"/>
          <w:lang w:val="en-GB"/>
        </w:rPr>
      </w:pPr>
    </w:p>
    <w:p>
      <w:pPr>
        <w:spacing w:line="360" w:lineRule="auto"/>
        <w:jc w:val="center"/>
        <w:outlineLvl w:val="0"/>
        <w:rPr>
          <w:rFonts w:ascii="仿宋" w:hAnsi="仿宋" w:eastAsia="仿宋" w:cs="仿宋"/>
          <w:b/>
          <w:color w:val="auto"/>
          <w:sz w:val="24"/>
          <w:szCs w:val="24"/>
          <w:highlight w:val="none"/>
          <w:lang w:val="en-GB"/>
        </w:rPr>
      </w:pPr>
    </w:p>
    <w:p>
      <w:pPr>
        <w:spacing w:line="360" w:lineRule="auto"/>
        <w:jc w:val="center"/>
        <w:outlineLvl w:val="0"/>
        <w:rPr>
          <w:rFonts w:ascii="仿宋" w:hAnsi="仿宋" w:eastAsia="仿宋" w:cs="仿宋"/>
          <w:b/>
          <w:color w:val="auto"/>
          <w:sz w:val="24"/>
          <w:szCs w:val="24"/>
          <w:highlight w:val="none"/>
          <w:lang w:val="en-GB"/>
        </w:rPr>
      </w:pPr>
    </w:p>
    <w:p>
      <w:pPr>
        <w:spacing w:line="360" w:lineRule="auto"/>
        <w:jc w:val="center"/>
        <w:outlineLvl w:val="0"/>
        <w:rPr>
          <w:rFonts w:ascii="仿宋" w:hAnsi="仿宋" w:eastAsia="仿宋" w:cs="仿宋"/>
          <w:b/>
          <w:color w:val="auto"/>
          <w:sz w:val="24"/>
          <w:szCs w:val="24"/>
          <w:highlight w:val="none"/>
          <w:lang w:val="en-GB"/>
        </w:rPr>
      </w:pPr>
    </w:p>
    <w:p>
      <w:pPr>
        <w:spacing w:line="360" w:lineRule="auto"/>
        <w:jc w:val="center"/>
        <w:outlineLvl w:val="0"/>
        <w:rPr>
          <w:rFonts w:ascii="仿宋" w:hAnsi="仿宋" w:eastAsia="仿宋" w:cs="仿宋"/>
          <w:b/>
          <w:color w:val="auto"/>
          <w:sz w:val="24"/>
          <w:szCs w:val="24"/>
          <w:highlight w:val="none"/>
          <w:lang w:val="en-GB"/>
        </w:rPr>
      </w:pPr>
    </w:p>
    <w:p>
      <w:pPr>
        <w:spacing w:line="360" w:lineRule="auto"/>
        <w:jc w:val="center"/>
        <w:outlineLvl w:val="0"/>
        <w:rPr>
          <w:rFonts w:ascii="仿宋" w:hAnsi="仿宋" w:eastAsia="仿宋" w:cs="仿宋"/>
          <w:b/>
          <w:color w:val="auto"/>
          <w:sz w:val="24"/>
          <w:szCs w:val="24"/>
          <w:highlight w:val="none"/>
          <w:lang w:val="en-GB"/>
        </w:rPr>
      </w:pPr>
    </w:p>
    <w:p>
      <w:pPr>
        <w:spacing w:line="360" w:lineRule="auto"/>
        <w:jc w:val="both"/>
        <w:outlineLvl w:val="0"/>
        <w:rPr>
          <w:rFonts w:ascii="仿宋" w:hAnsi="仿宋" w:eastAsia="仿宋" w:cs="仿宋"/>
          <w:b/>
          <w:color w:val="auto"/>
          <w:sz w:val="24"/>
          <w:szCs w:val="24"/>
          <w:highlight w:val="none"/>
          <w:lang w:val="en-GB"/>
        </w:rPr>
      </w:pPr>
    </w:p>
    <w:p>
      <w:pPr>
        <w:spacing w:line="360" w:lineRule="auto"/>
        <w:jc w:val="center"/>
        <w:outlineLvl w:val="0"/>
        <w:rPr>
          <w:rFonts w:ascii="仿宋" w:hAnsi="仿宋" w:eastAsia="仿宋" w:cs="仿宋"/>
          <w:b/>
          <w:color w:val="auto"/>
          <w:sz w:val="24"/>
          <w:szCs w:val="24"/>
          <w:highlight w:val="none"/>
        </w:rPr>
      </w:pPr>
      <w:bookmarkStart w:id="303" w:name="_Toc2843"/>
      <w:bookmarkStart w:id="304" w:name="_Toc19080"/>
      <w:r>
        <w:rPr>
          <w:rFonts w:hint="eastAsia" w:ascii="仿宋" w:hAnsi="仿宋" w:eastAsia="仿宋" w:cs="仿宋"/>
          <w:b/>
          <w:color w:val="auto"/>
          <w:sz w:val="24"/>
          <w:szCs w:val="24"/>
          <w:highlight w:val="none"/>
          <w:lang w:val="en-GB"/>
        </w:rPr>
        <w:t xml:space="preserve">八、 </w:t>
      </w:r>
      <w:r>
        <w:rPr>
          <w:rFonts w:hint="eastAsia" w:ascii="仿宋" w:hAnsi="仿宋" w:eastAsia="仿宋" w:cs="仿宋"/>
          <w:b/>
          <w:color w:val="auto"/>
          <w:sz w:val="24"/>
          <w:szCs w:val="24"/>
          <w:highlight w:val="none"/>
        </w:rPr>
        <w:t>封面及密封包格式</w:t>
      </w:r>
      <w:bookmarkEnd w:id="302"/>
      <w:bookmarkEnd w:id="303"/>
      <w:bookmarkEnd w:id="304"/>
    </w:p>
    <w:tbl>
      <w:tblPr>
        <w:tblStyle w:val="41"/>
        <w:tblW w:w="91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5" w:hRule="atLeast"/>
          <w:jc w:val="center"/>
        </w:trPr>
        <w:tc>
          <w:tcPr>
            <w:tcW w:w="4590" w:type="dxa"/>
          </w:tcPr>
          <w:p>
            <w:pPr>
              <w:spacing w:line="440" w:lineRule="exact"/>
              <w:ind w:left="-153"/>
              <w:rPr>
                <w:rFonts w:ascii="仿宋" w:hAnsi="仿宋" w:eastAsia="仿宋" w:cs="仿宋"/>
                <w:color w:val="auto"/>
                <w:sz w:val="24"/>
                <w:szCs w:val="24"/>
                <w:highlight w:val="none"/>
              </w:rPr>
            </w:pPr>
          </w:p>
          <w:p>
            <w:pPr>
              <w:autoSpaceDE w:val="0"/>
              <w:autoSpaceDN w:val="0"/>
              <w:spacing w:before="120" w:after="120" w:line="300" w:lineRule="auto"/>
              <w:jc w:val="righ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（正本）</w:t>
            </w:r>
          </w:p>
          <w:p>
            <w:pPr>
              <w:autoSpaceDE w:val="0"/>
              <w:autoSpaceDN w:val="0"/>
              <w:spacing w:before="120" w:after="120" w:line="300" w:lineRule="auto"/>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投标文件 </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投标人名称（公章）：</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4591" w:type="dxa"/>
          </w:tcPr>
          <w:p>
            <w:pPr>
              <w:spacing w:line="440" w:lineRule="exact"/>
              <w:ind w:left="-153"/>
              <w:rPr>
                <w:rFonts w:ascii="仿宋" w:hAnsi="仿宋" w:eastAsia="仿宋" w:cs="仿宋"/>
                <w:color w:val="auto"/>
                <w:sz w:val="24"/>
                <w:szCs w:val="24"/>
                <w:highlight w:val="none"/>
              </w:rPr>
            </w:pPr>
          </w:p>
          <w:p>
            <w:pPr>
              <w:autoSpaceDE w:val="0"/>
              <w:autoSpaceDN w:val="0"/>
              <w:spacing w:before="120" w:after="120" w:line="300" w:lineRule="auto"/>
              <w:jc w:val="righ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（副本）</w:t>
            </w:r>
          </w:p>
          <w:p>
            <w:pPr>
              <w:autoSpaceDE w:val="0"/>
              <w:autoSpaceDN w:val="0"/>
              <w:spacing w:before="120" w:after="120" w:line="30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投标文件 </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投标人名称（公章）：</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r>
    </w:tbl>
    <w:p>
      <w:pPr>
        <w:spacing w:line="360" w:lineRule="auto"/>
        <w:ind w:firstLine="723" w:firstLineChars="300"/>
        <w:jc w:val="center"/>
        <w:rPr>
          <w:rFonts w:ascii="仿宋" w:hAnsi="仿宋" w:eastAsia="仿宋" w:cs="仿宋"/>
          <w:b/>
          <w:bCs/>
          <w:color w:val="auto"/>
          <w:sz w:val="24"/>
          <w:szCs w:val="24"/>
          <w:highlight w:val="none"/>
        </w:rPr>
      </w:pPr>
    </w:p>
    <w:tbl>
      <w:tblPr>
        <w:tblStyle w:val="41"/>
        <w:tblW w:w="9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2" w:hRule="atLeast"/>
          <w:jc w:val="center"/>
        </w:trPr>
        <w:tc>
          <w:tcPr>
            <w:tcW w:w="9157" w:type="dxa"/>
          </w:tcPr>
          <w:p>
            <w:pPr>
              <w:spacing w:line="440" w:lineRule="exact"/>
              <w:ind w:left="-153"/>
              <w:rPr>
                <w:rFonts w:ascii="仿宋" w:hAnsi="仿宋" w:eastAsia="仿宋" w:cs="仿宋"/>
                <w:color w:val="auto"/>
                <w:sz w:val="24"/>
                <w:szCs w:val="24"/>
                <w:highlight w:val="none"/>
              </w:rPr>
            </w:pPr>
          </w:p>
          <w:p>
            <w:pPr>
              <w:autoSpaceDE w:val="0"/>
              <w:autoSpaceDN w:val="0"/>
              <w:spacing w:before="120" w:after="120" w:line="30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唱标单</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投标人名称（公章）：</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r>
    </w:tbl>
    <w:p>
      <w:pPr>
        <w:spacing w:line="360" w:lineRule="auto"/>
        <w:ind w:firstLine="723" w:firstLineChars="300"/>
        <w:jc w:val="center"/>
        <w:rPr>
          <w:rFonts w:ascii="仿宋" w:hAnsi="仿宋" w:eastAsia="仿宋" w:cs="仿宋"/>
          <w:b/>
          <w:bCs/>
          <w:color w:val="auto"/>
          <w:sz w:val="24"/>
          <w:szCs w:val="24"/>
          <w:highlight w:val="none"/>
        </w:rPr>
      </w:pPr>
    </w:p>
    <w:p>
      <w:pPr>
        <w:spacing w:line="360" w:lineRule="auto"/>
        <w:jc w:val="both"/>
        <w:rPr>
          <w:rFonts w:ascii="仿宋" w:hAnsi="仿宋" w:eastAsia="仿宋" w:cs="仿宋"/>
          <w:b/>
          <w:bCs/>
          <w:color w:val="auto"/>
          <w:sz w:val="24"/>
          <w:szCs w:val="24"/>
          <w:highlight w:val="none"/>
        </w:rPr>
      </w:pPr>
    </w:p>
    <w:p>
      <w:pPr>
        <w:spacing w:line="360" w:lineRule="auto"/>
        <w:ind w:firstLine="723" w:firstLineChars="30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封口格式：</w:t>
      </w:r>
    </w:p>
    <w:tbl>
      <w:tblPr>
        <w:tblStyle w:val="41"/>
        <w:tblW w:w="916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9162" w:type="dxa"/>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于     年   月    日    之前不准启封（公章）</w:t>
            </w:r>
            <w:r>
              <w:rPr>
                <w:rFonts w:hint="eastAsia" w:ascii="仿宋" w:hAnsi="仿宋" w:eastAsia="仿宋" w:cs="仿宋"/>
                <w:b/>
                <w:bCs/>
                <w:color w:val="auto"/>
                <w:sz w:val="24"/>
                <w:szCs w:val="24"/>
                <w:highlight w:val="none"/>
              </w:rPr>
              <w:t>......</w:t>
            </w:r>
          </w:p>
        </w:tc>
      </w:tr>
    </w:tbl>
    <w:p>
      <w:pPr>
        <w:pStyle w:val="61"/>
        <w:spacing w:line="360" w:lineRule="auto"/>
        <w:jc w:val="both"/>
        <w:rPr>
          <w:rFonts w:ascii="仿宋" w:hAnsi="仿宋" w:eastAsia="仿宋" w:cs="仿宋"/>
          <w:b/>
          <w:color w:val="auto"/>
          <w:sz w:val="24"/>
          <w:szCs w:val="24"/>
          <w:highlight w:val="none"/>
        </w:rPr>
      </w:pPr>
    </w:p>
    <w:p>
      <w:pPr>
        <w:pStyle w:val="61"/>
        <w:spacing w:line="500" w:lineRule="atLeast"/>
        <w:jc w:val="left"/>
        <w:rPr>
          <w:rFonts w:ascii="仿宋" w:hAnsi="仿宋" w:eastAsia="仿宋" w:cs="仿宋"/>
          <w:color w:val="auto"/>
          <w:sz w:val="24"/>
          <w:szCs w:val="24"/>
          <w:highlight w:val="none"/>
        </w:rPr>
      </w:pPr>
    </w:p>
    <w:p>
      <w:pPr>
        <w:pStyle w:val="61"/>
        <w:spacing w:line="500" w:lineRule="atLeast"/>
        <w:jc w:val="left"/>
        <w:rPr>
          <w:rFonts w:ascii="仿宋" w:hAnsi="仿宋" w:eastAsia="仿宋" w:cs="仿宋"/>
          <w:color w:val="auto"/>
          <w:sz w:val="24"/>
          <w:highlight w:val="none"/>
        </w:rPr>
      </w:pPr>
    </w:p>
    <w:p>
      <w:pPr>
        <w:pStyle w:val="61"/>
        <w:spacing w:line="500" w:lineRule="atLeast"/>
        <w:jc w:val="left"/>
        <w:rPr>
          <w:rFonts w:ascii="仿宋" w:hAnsi="仿宋" w:eastAsia="仿宋" w:cs="仿宋"/>
          <w:color w:val="auto"/>
          <w:sz w:val="24"/>
          <w:highlight w:val="none"/>
        </w:rPr>
      </w:pPr>
    </w:p>
    <w:p>
      <w:pPr>
        <w:pStyle w:val="2"/>
        <w:jc w:val="center"/>
        <w:rPr>
          <w:rFonts w:ascii="仿宋" w:hAnsi="仿宋" w:eastAsia="仿宋" w:cs="仿宋"/>
          <w:color w:val="auto"/>
          <w:szCs w:val="36"/>
          <w:highlight w:val="none"/>
        </w:rPr>
      </w:pPr>
      <w:bookmarkStart w:id="305" w:name="_Toc6016"/>
      <w:bookmarkStart w:id="306" w:name="_Toc17698"/>
      <w:bookmarkStart w:id="307" w:name="_Toc17773"/>
      <w:bookmarkStart w:id="308" w:name="_Toc19483"/>
      <w:bookmarkStart w:id="309" w:name="_Toc5034"/>
      <w:bookmarkStart w:id="310" w:name="_Toc32376"/>
      <w:bookmarkStart w:id="311" w:name="_Toc27874"/>
      <w:bookmarkStart w:id="312" w:name="_Toc16024"/>
      <w:bookmarkStart w:id="313" w:name="_Toc22216"/>
      <w:bookmarkStart w:id="314" w:name="_Toc9814"/>
      <w:bookmarkStart w:id="315" w:name="_Toc31804"/>
      <w:bookmarkStart w:id="316" w:name="_Toc25544"/>
      <w:bookmarkStart w:id="317" w:name="_Toc19567"/>
      <w:bookmarkStart w:id="318" w:name="_Toc31143"/>
      <w:bookmarkStart w:id="319" w:name="_Toc22648"/>
      <w:bookmarkStart w:id="320" w:name="_Toc3983"/>
      <w:bookmarkStart w:id="321" w:name="_Toc18013"/>
      <w:bookmarkStart w:id="322" w:name="_Toc11827"/>
      <w:bookmarkStart w:id="323" w:name="_Toc21835"/>
      <w:bookmarkStart w:id="324" w:name="_Toc1734"/>
      <w:r>
        <w:rPr>
          <w:rFonts w:hint="eastAsia" w:ascii="仿宋" w:hAnsi="仿宋" w:eastAsia="仿宋" w:cs="仿宋"/>
          <w:color w:val="auto"/>
          <w:highlight w:val="none"/>
        </w:rPr>
        <w:t>第八部分  报价文件商务部分格式</w:t>
      </w:r>
      <w:bookmarkEnd w:id="305"/>
      <w:bookmarkEnd w:id="306"/>
      <w:bookmarkEnd w:id="307"/>
      <w:bookmarkEnd w:id="308"/>
      <w:bookmarkEnd w:id="309"/>
      <w:bookmarkEnd w:id="310"/>
      <w:bookmarkEnd w:id="311"/>
      <w:bookmarkEnd w:id="312"/>
      <w:bookmarkEnd w:id="313"/>
    </w:p>
    <w:p>
      <w:pPr>
        <w:spacing w:line="500" w:lineRule="atLeast"/>
        <w:jc w:val="center"/>
        <w:rPr>
          <w:rFonts w:ascii="仿宋" w:hAnsi="仿宋" w:eastAsia="仿宋" w:cs="仿宋"/>
          <w:color w:val="auto"/>
          <w:sz w:val="24"/>
          <w:highlight w:val="none"/>
          <w:u w:val="single"/>
        </w:rPr>
      </w:pPr>
      <w:r>
        <w:rPr>
          <w:rFonts w:hint="eastAsia" w:ascii="仿宋" w:hAnsi="仿宋" w:eastAsia="仿宋" w:cs="仿宋"/>
          <w:b/>
          <w:color w:val="auto"/>
          <w:sz w:val="36"/>
          <w:szCs w:val="36"/>
          <w:highlight w:val="none"/>
        </w:rPr>
        <w:t>目  录</w:t>
      </w:r>
    </w:p>
    <w:p>
      <w:pPr>
        <w:spacing w:line="500" w:lineRule="atLeast"/>
        <w:ind w:firstLine="499" w:firstLineChars="20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1、总说明</w:t>
      </w:r>
    </w:p>
    <w:p>
      <w:pPr>
        <w:spacing w:line="500" w:lineRule="atLeast"/>
        <w:ind w:firstLine="50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2、工程项目报价汇总表</w:t>
      </w:r>
    </w:p>
    <w:p>
      <w:pPr>
        <w:spacing w:line="500" w:lineRule="atLeast"/>
        <w:ind w:firstLine="50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3、单项工程报价汇总表</w:t>
      </w:r>
    </w:p>
    <w:p>
      <w:pPr>
        <w:spacing w:line="500" w:lineRule="atLeast"/>
        <w:ind w:firstLine="50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4、单位工程标报价汇总表</w:t>
      </w:r>
    </w:p>
    <w:p>
      <w:pPr>
        <w:spacing w:line="500" w:lineRule="atLeast"/>
        <w:ind w:firstLine="50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5、近三年完成同类业绩一览表（后附业绩合同）</w:t>
      </w:r>
    </w:p>
    <w:p>
      <w:pPr>
        <w:spacing w:line="500" w:lineRule="atLeast"/>
        <w:ind w:firstLine="50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6对竞争性磋商文件的认同程度</w:t>
      </w:r>
    </w:p>
    <w:p>
      <w:pPr>
        <w:spacing w:line="500" w:lineRule="atLeast"/>
        <w:ind w:firstLine="50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7、投标人认为有必要提供的其他表格及资料</w:t>
      </w: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jc w:val="both"/>
        <w:rPr>
          <w:rFonts w:ascii="仿宋" w:hAnsi="仿宋" w:eastAsia="仿宋" w:cs="仿宋"/>
          <w:b/>
          <w:color w:val="auto"/>
          <w:sz w:val="24"/>
          <w:szCs w:val="24"/>
          <w:highlight w:val="none"/>
        </w:rPr>
      </w:pPr>
    </w:p>
    <w:p>
      <w:pPr>
        <w:spacing w:line="500" w:lineRule="atLeas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工程量清单计价表格</w:t>
      </w:r>
    </w:p>
    <w:p>
      <w:pPr>
        <w:tabs>
          <w:tab w:val="left" w:pos="3780"/>
        </w:tabs>
        <w:spacing w:line="500" w:lineRule="atLeast"/>
        <w:ind w:firstLine="482" w:firstLineChars="20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1、计价表格使用规定</w:t>
      </w:r>
    </w:p>
    <w:p>
      <w:pPr>
        <w:spacing w:line="500" w:lineRule="atLeas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1、封面应按规定的内容填写、造价员签字并盖章。</w:t>
      </w:r>
    </w:p>
    <w:p>
      <w:pPr>
        <w:spacing w:line="500" w:lineRule="atLeast"/>
        <w:ind w:left="342" w:leftChars="171"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2、总说明应按下列内容填写：</w:t>
      </w:r>
    </w:p>
    <w:p>
      <w:pPr>
        <w:widowControl w:val="0"/>
        <w:spacing w:line="500" w:lineRule="atLeast"/>
        <w:ind w:left="7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（1）工程概况：建设规模、工程特征、计划工期、合同工期、实际工期、施工现场及变化情况、施工组织设计的特点、自然地理条件、环境保护要求等。</w:t>
      </w:r>
    </w:p>
    <w:p>
      <w:pPr>
        <w:widowControl w:val="0"/>
        <w:spacing w:line="500" w:lineRule="atLeast"/>
        <w:ind w:left="7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（2）编制依据等。</w:t>
      </w:r>
    </w:p>
    <w:p>
      <w:pPr>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3、工程量清单与计价表中列明的所有需要填写的单价和合价，投标人均应填写，未填写的单价和合价，视为此项费用已包含在工程量清单的其他单价和合价中。</w:t>
      </w: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spacing w:line="500" w:lineRule="atLeast"/>
        <w:jc w:val="center"/>
        <w:rPr>
          <w:rFonts w:ascii="仿宋" w:hAnsi="仿宋" w:eastAsia="仿宋" w:cs="仿宋"/>
          <w:color w:val="auto"/>
          <w:sz w:val="44"/>
          <w:szCs w:val="44"/>
          <w:highlight w:val="none"/>
        </w:rPr>
      </w:pPr>
    </w:p>
    <w:p>
      <w:pPr>
        <w:spacing w:line="500" w:lineRule="atLeast"/>
        <w:jc w:val="center"/>
        <w:rPr>
          <w:rFonts w:ascii="仿宋" w:hAnsi="仿宋" w:eastAsia="仿宋" w:cs="仿宋"/>
          <w:color w:val="auto"/>
          <w:sz w:val="44"/>
          <w:szCs w:val="44"/>
          <w:highlight w:val="none"/>
        </w:rPr>
      </w:pPr>
    </w:p>
    <w:p>
      <w:pPr>
        <w:spacing w:line="500" w:lineRule="atLeast"/>
        <w:jc w:val="center"/>
        <w:rPr>
          <w:rFonts w:ascii="仿宋" w:hAnsi="仿宋" w:eastAsia="仿宋" w:cs="仿宋"/>
          <w:color w:val="auto"/>
          <w:sz w:val="44"/>
          <w:szCs w:val="44"/>
          <w:highlight w:val="none"/>
        </w:rPr>
      </w:pPr>
    </w:p>
    <w:p>
      <w:pPr>
        <w:spacing w:line="500" w:lineRule="atLeast"/>
        <w:jc w:val="both"/>
        <w:rPr>
          <w:rFonts w:ascii="仿宋" w:hAnsi="仿宋" w:eastAsia="仿宋" w:cs="仿宋"/>
          <w:color w:val="auto"/>
          <w:sz w:val="44"/>
          <w:szCs w:val="44"/>
          <w:highlight w:val="none"/>
        </w:rPr>
      </w:pPr>
    </w:p>
    <w:p>
      <w:pPr>
        <w:spacing w:line="500" w:lineRule="atLeast"/>
        <w:jc w:val="both"/>
        <w:rPr>
          <w:rFonts w:ascii="仿宋" w:hAnsi="仿宋" w:eastAsia="仿宋" w:cs="仿宋"/>
          <w:color w:val="auto"/>
          <w:sz w:val="44"/>
          <w:szCs w:val="44"/>
          <w:highlight w:val="none"/>
        </w:rPr>
      </w:pPr>
    </w:p>
    <w:p>
      <w:pPr>
        <w:spacing w:line="500" w:lineRule="atLeas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投 标 总 价</w:t>
      </w:r>
    </w:p>
    <w:p>
      <w:pPr>
        <w:spacing w:line="500" w:lineRule="atLeast"/>
        <w:jc w:val="center"/>
        <w:rPr>
          <w:rFonts w:ascii="仿宋" w:hAnsi="仿宋" w:eastAsia="仿宋" w:cs="仿宋"/>
          <w:color w:val="auto"/>
          <w:sz w:val="36"/>
          <w:szCs w:val="36"/>
          <w:highlight w:val="none"/>
        </w:rPr>
      </w:pPr>
    </w:p>
    <w:p>
      <w:pPr>
        <w:spacing w:line="500" w:lineRule="atLeast"/>
        <w:rPr>
          <w:rFonts w:ascii="仿宋" w:hAnsi="仿宋" w:eastAsia="仿宋" w:cs="仿宋"/>
          <w:color w:val="auto"/>
          <w:sz w:val="28"/>
          <w:szCs w:val="28"/>
          <w:highlight w:val="none"/>
          <w:u w:val="single"/>
        </w:rPr>
      </w:pPr>
      <w:r>
        <w:rPr>
          <w:rFonts w:hint="eastAsia" w:ascii="仿宋" w:hAnsi="仿宋" w:eastAsia="仿宋" w:cs="仿宋"/>
          <w:color w:val="auto"/>
          <w:spacing w:val="240"/>
          <w:sz w:val="28"/>
          <w:szCs w:val="28"/>
          <w:highlight w:val="none"/>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p>
    <w:p>
      <w:pPr>
        <w:spacing w:line="500" w:lineRule="atLeast"/>
        <w:rPr>
          <w:rFonts w:ascii="仿宋" w:hAnsi="仿宋" w:eastAsia="仿宋" w:cs="仿宋"/>
          <w:color w:val="auto"/>
          <w:spacing w:val="113"/>
          <w:sz w:val="28"/>
          <w:szCs w:val="28"/>
          <w:highlight w:val="none"/>
          <w:u w:val="single"/>
        </w:rPr>
      </w:pPr>
      <w:r>
        <w:rPr>
          <w:rFonts w:hint="eastAsia" w:ascii="仿宋" w:hAnsi="仿宋" w:eastAsia="仿宋" w:cs="仿宋"/>
          <w:color w:val="auto"/>
          <w:spacing w:val="113"/>
          <w:sz w:val="28"/>
          <w:szCs w:val="28"/>
          <w:highlight w:val="none"/>
        </w:rPr>
        <w:t>工程名称：</w:t>
      </w:r>
      <w:r>
        <w:rPr>
          <w:rFonts w:hint="eastAsia" w:ascii="仿宋" w:hAnsi="仿宋" w:eastAsia="仿宋" w:cs="仿宋"/>
          <w:color w:val="auto"/>
          <w:spacing w:val="113"/>
          <w:sz w:val="28"/>
          <w:szCs w:val="28"/>
          <w:highlight w:val="none"/>
          <w:u w:val="single"/>
        </w:rPr>
        <w:t xml:space="preserve">                </w:t>
      </w:r>
    </w:p>
    <w:p>
      <w:pPr>
        <w:spacing w:line="500" w:lineRule="atLeast"/>
        <w:rPr>
          <w:rFonts w:ascii="仿宋" w:hAnsi="仿宋" w:eastAsia="仿宋" w:cs="仿宋"/>
          <w:color w:val="auto"/>
          <w:sz w:val="28"/>
          <w:szCs w:val="28"/>
          <w:highlight w:val="none"/>
          <w:u w:val="single"/>
        </w:rPr>
      </w:pPr>
      <w:r>
        <w:rPr>
          <w:rFonts w:hint="eastAsia" w:ascii="仿宋" w:hAnsi="仿宋" w:eastAsia="仿宋" w:cs="仿宋"/>
          <w:color w:val="auto"/>
          <w:spacing w:val="113"/>
          <w:sz w:val="28"/>
          <w:szCs w:val="28"/>
          <w:highlight w:val="none"/>
        </w:rPr>
        <w:t>项目编号：</w:t>
      </w:r>
      <w:r>
        <w:rPr>
          <w:rFonts w:hint="eastAsia" w:ascii="仿宋" w:hAnsi="仿宋" w:eastAsia="仿宋" w:cs="仿宋"/>
          <w:color w:val="auto"/>
          <w:sz w:val="28"/>
          <w:szCs w:val="28"/>
          <w:highlight w:val="none"/>
          <w:u w:val="single"/>
        </w:rPr>
        <w:t xml:space="preserve">                                          </w:t>
      </w:r>
    </w:p>
    <w:p>
      <w:pPr>
        <w:spacing w:line="500" w:lineRule="atLeas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投标总价（小写）：</w:t>
      </w:r>
      <w:r>
        <w:rPr>
          <w:rFonts w:hint="eastAsia" w:ascii="仿宋" w:hAnsi="仿宋" w:eastAsia="仿宋" w:cs="仿宋"/>
          <w:color w:val="auto"/>
          <w:sz w:val="28"/>
          <w:szCs w:val="28"/>
          <w:highlight w:val="none"/>
          <w:u w:val="single"/>
        </w:rPr>
        <w:t xml:space="preserve">                                          </w:t>
      </w:r>
    </w:p>
    <w:p>
      <w:pPr>
        <w:spacing w:line="500" w:lineRule="atLeast"/>
        <w:ind w:firstLine="1394" w:firstLineChars="498"/>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u w:val="single"/>
        </w:rPr>
        <w:t xml:space="preserve">                                         </w:t>
      </w:r>
    </w:p>
    <w:tbl>
      <w:tblPr>
        <w:tblStyle w:val="41"/>
        <w:tblW w:w="8928" w:type="dxa"/>
        <w:tblInd w:w="0" w:type="dxa"/>
        <w:tblLayout w:type="fixed"/>
        <w:tblCellMar>
          <w:top w:w="0" w:type="dxa"/>
          <w:left w:w="108" w:type="dxa"/>
          <w:bottom w:w="0" w:type="dxa"/>
          <w:right w:w="108" w:type="dxa"/>
        </w:tblCellMar>
      </w:tblPr>
      <w:tblGrid>
        <w:gridCol w:w="8928"/>
      </w:tblGrid>
      <w:tr>
        <w:tblPrEx>
          <w:tblLayout w:type="fixed"/>
          <w:tblCellMar>
            <w:top w:w="0" w:type="dxa"/>
            <w:left w:w="108" w:type="dxa"/>
            <w:bottom w:w="0" w:type="dxa"/>
            <w:right w:w="108" w:type="dxa"/>
          </w:tblCellMar>
        </w:tblPrEx>
        <w:trPr>
          <w:trHeight w:val="1890" w:hRule="atLeast"/>
        </w:trPr>
        <w:tc>
          <w:tcPr>
            <w:tcW w:w="8928" w:type="dxa"/>
          </w:tcPr>
          <w:p>
            <w:pPr>
              <w:tabs>
                <w:tab w:val="left" w:pos="3780"/>
              </w:tabs>
              <w:spacing w:line="500" w:lineRule="atLeast"/>
              <w:rPr>
                <w:rFonts w:ascii="仿宋" w:hAnsi="仿宋" w:eastAsia="仿宋" w:cs="仿宋"/>
                <w:color w:val="auto"/>
                <w:sz w:val="28"/>
                <w:szCs w:val="28"/>
                <w:highlight w:val="none"/>
              </w:rPr>
            </w:pPr>
          </w:p>
          <w:p>
            <w:pPr>
              <w:tabs>
                <w:tab w:val="left" w:pos="3780"/>
              </w:tabs>
              <w:spacing w:line="500" w:lineRule="atLeas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  标  人：</w:t>
            </w:r>
            <w:r>
              <w:rPr>
                <w:rFonts w:hint="eastAsia" w:ascii="仿宋" w:hAnsi="仿宋" w:eastAsia="仿宋" w:cs="仿宋"/>
                <w:color w:val="auto"/>
                <w:sz w:val="28"/>
                <w:szCs w:val="28"/>
                <w:highlight w:val="none"/>
                <w:u w:val="single"/>
              </w:rPr>
              <w:t xml:space="preserve">                                                    </w:t>
            </w:r>
          </w:p>
          <w:p>
            <w:pPr>
              <w:tabs>
                <w:tab w:val="left" w:pos="3780"/>
              </w:tabs>
              <w:spacing w:line="500" w:lineRule="atLeast"/>
              <w:ind w:firstLine="3900" w:firstLineChars="1950"/>
              <w:rPr>
                <w:rFonts w:ascii="仿宋" w:hAnsi="仿宋" w:eastAsia="仿宋" w:cs="仿宋"/>
                <w:color w:val="auto"/>
                <w:szCs w:val="21"/>
                <w:highlight w:val="none"/>
              </w:rPr>
            </w:pPr>
            <w:r>
              <w:rPr>
                <w:rFonts w:hint="eastAsia" w:ascii="仿宋" w:hAnsi="仿宋" w:eastAsia="仿宋" w:cs="仿宋"/>
                <w:color w:val="auto"/>
                <w:szCs w:val="21"/>
                <w:highlight w:val="none"/>
              </w:rPr>
              <w:t>（单位盖章）</w:t>
            </w:r>
          </w:p>
        </w:tc>
      </w:tr>
      <w:tr>
        <w:tblPrEx>
          <w:tblLayout w:type="fixed"/>
          <w:tblCellMar>
            <w:top w:w="0" w:type="dxa"/>
            <w:left w:w="108" w:type="dxa"/>
            <w:bottom w:w="0" w:type="dxa"/>
            <w:right w:w="108" w:type="dxa"/>
          </w:tblCellMar>
        </w:tblPrEx>
        <w:trPr>
          <w:trHeight w:val="1890" w:hRule="atLeast"/>
        </w:trPr>
        <w:tc>
          <w:tcPr>
            <w:tcW w:w="8928" w:type="dxa"/>
            <w:vAlign w:val="center"/>
          </w:tcPr>
          <w:p>
            <w:pPr>
              <w:tabs>
                <w:tab w:val="left" w:pos="3780"/>
              </w:tabs>
              <w:spacing w:line="500" w:lineRule="atLeas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p>
          <w:p>
            <w:pPr>
              <w:tabs>
                <w:tab w:val="left" w:pos="3780"/>
              </w:tabs>
              <w:spacing w:line="500" w:lineRule="atLeas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或其授权人：</w:t>
            </w:r>
            <w:r>
              <w:rPr>
                <w:rFonts w:hint="eastAsia" w:ascii="仿宋" w:hAnsi="仿宋" w:eastAsia="仿宋" w:cs="仿宋"/>
                <w:color w:val="auto"/>
                <w:sz w:val="28"/>
                <w:szCs w:val="28"/>
                <w:highlight w:val="none"/>
                <w:u w:val="single"/>
              </w:rPr>
              <w:t xml:space="preserve">                                                    </w:t>
            </w:r>
          </w:p>
          <w:p>
            <w:pPr>
              <w:tabs>
                <w:tab w:val="left" w:pos="3780"/>
              </w:tabs>
              <w:spacing w:line="500" w:lineRule="atLeast"/>
              <w:ind w:firstLine="3900" w:firstLineChars="1950"/>
              <w:rPr>
                <w:rFonts w:ascii="仿宋" w:hAnsi="仿宋" w:eastAsia="仿宋" w:cs="仿宋"/>
                <w:color w:val="auto"/>
                <w:sz w:val="24"/>
                <w:highlight w:val="none"/>
              </w:rPr>
            </w:pPr>
            <w:r>
              <w:rPr>
                <w:rFonts w:hint="eastAsia" w:ascii="仿宋" w:hAnsi="仿宋" w:eastAsia="仿宋" w:cs="仿宋"/>
                <w:color w:val="auto"/>
                <w:szCs w:val="21"/>
                <w:highlight w:val="none"/>
              </w:rPr>
              <w:t>（签字或盖章）</w:t>
            </w:r>
          </w:p>
        </w:tc>
      </w:tr>
      <w:tr>
        <w:tblPrEx>
          <w:tblLayout w:type="fixed"/>
          <w:tblCellMar>
            <w:top w:w="0" w:type="dxa"/>
            <w:left w:w="108" w:type="dxa"/>
            <w:bottom w:w="0" w:type="dxa"/>
            <w:right w:w="108" w:type="dxa"/>
          </w:tblCellMar>
        </w:tblPrEx>
        <w:trPr>
          <w:trHeight w:val="1890" w:hRule="atLeast"/>
        </w:trPr>
        <w:tc>
          <w:tcPr>
            <w:tcW w:w="8928" w:type="dxa"/>
            <w:vAlign w:val="center"/>
          </w:tcPr>
          <w:p>
            <w:pPr>
              <w:tabs>
                <w:tab w:val="left" w:pos="3780"/>
              </w:tabs>
              <w:spacing w:line="500" w:lineRule="atLeast"/>
              <w:rPr>
                <w:rFonts w:ascii="仿宋" w:hAnsi="仿宋" w:eastAsia="仿宋" w:cs="仿宋"/>
                <w:color w:val="auto"/>
                <w:sz w:val="28"/>
                <w:szCs w:val="28"/>
                <w:highlight w:val="none"/>
              </w:rPr>
            </w:pPr>
          </w:p>
          <w:p>
            <w:pPr>
              <w:tabs>
                <w:tab w:val="left" w:pos="3780"/>
              </w:tabs>
              <w:spacing w:line="500" w:lineRule="atLeast"/>
              <w:rPr>
                <w:rFonts w:ascii="仿宋" w:hAnsi="仿宋" w:eastAsia="仿宋" w:cs="仿宋"/>
                <w:color w:val="auto"/>
                <w:sz w:val="28"/>
                <w:szCs w:val="28"/>
                <w:highlight w:val="none"/>
                <w:u w:val="single"/>
              </w:rPr>
            </w:pPr>
            <w:r>
              <w:rPr>
                <w:rFonts w:hint="eastAsia" w:ascii="仿宋" w:hAnsi="仿宋" w:eastAsia="仿宋" w:cs="仿宋"/>
                <w:color w:val="auto"/>
                <w:spacing w:val="90"/>
                <w:sz w:val="28"/>
                <w:szCs w:val="28"/>
                <w:highlight w:val="none"/>
              </w:rPr>
              <w:t>编制</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u w:val="single"/>
              </w:rPr>
              <w:t xml:space="preserve">                                                     </w:t>
            </w:r>
          </w:p>
          <w:p>
            <w:pPr>
              <w:tabs>
                <w:tab w:val="left" w:pos="3780"/>
              </w:tabs>
              <w:spacing w:line="500" w:lineRule="atLeast"/>
              <w:jc w:val="center"/>
              <w:rPr>
                <w:rFonts w:ascii="仿宋" w:hAnsi="仿宋" w:eastAsia="仿宋" w:cs="仿宋"/>
                <w:color w:val="auto"/>
                <w:szCs w:val="21"/>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Cs w:val="21"/>
                <w:highlight w:val="none"/>
              </w:rPr>
              <w:t>（造价人员签字盖专用章）</w:t>
            </w:r>
          </w:p>
        </w:tc>
      </w:tr>
      <w:tr>
        <w:tblPrEx>
          <w:tblLayout w:type="fixed"/>
          <w:tblCellMar>
            <w:top w:w="0" w:type="dxa"/>
            <w:left w:w="108" w:type="dxa"/>
            <w:bottom w:w="0" w:type="dxa"/>
            <w:right w:w="108" w:type="dxa"/>
          </w:tblCellMar>
        </w:tblPrEx>
        <w:trPr>
          <w:trHeight w:val="1405" w:hRule="atLeast"/>
        </w:trPr>
        <w:tc>
          <w:tcPr>
            <w:tcW w:w="8928" w:type="dxa"/>
            <w:vAlign w:val="center"/>
          </w:tcPr>
          <w:p>
            <w:pPr>
              <w:tabs>
                <w:tab w:val="left" w:pos="3780"/>
              </w:tabs>
              <w:spacing w:line="500" w:lineRule="atLeas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编制时间：       年     月     日</w:t>
            </w:r>
          </w:p>
        </w:tc>
      </w:tr>
    </w:tbl>
    <w:p>
      <w:pPr>
        <w:spacing w:line="500" w:lineRule="atLeast"/>
        <w:ind w:firstLine="1760" w:firstLineChars="55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u w:val="single"/>
        </w:rPr>
        <w:br w:type="textWrapping"/>
      </w:r>
    </w:p>
    <w:p>
      <w:pPr>
        <w:spacing w:line="500" w:lineRule="atLeast"/>
        <w:rPr>
          <w:rFonts w:ascii="仿宋" w:hAnsi="仿宋" w:eastAsia="仿宋" w:cs="仿宋"/>
          <w:color w:val="auto"/>
          <w:sz w:val="32"/>
          <w:szCs w:val="32"/>
          <w:highlight w:val="none"/>
          <w:u w:val="single"/>
        </w:rPr>
      </w:pPr>
    </w:p>
    <w:p>
      <w:pPr>
        <w:spacing w:line="500" w:lineRule="atLeast"/>
        <w:jc w:val="center"/>
        <w:rPr>
          <w:rFonts w:ascii="仿宋" w:hAnsi="仿宋" w:eastAsia="仿宋" w:cs="仿宋"/>
          <w:color w:val="auto"/>
          <w:sz w:val="32"/>
          <w:szCs w:val="32"/>
          <w:highlight w:val="none"/>
        </w:rPr>
      </w:pPr>
    </w:p>
    <w:p>
      <w:pPr>
        <w:spacing w:line="500" w:lineRule="atLeast"/>
        <w:jc w:val="center"/>
        <w:rPr>
          <w:rFonts w:ascii="仿宋" w:hAnsi="仿宋" w:eastAsia="仿宋" w:cs="仿宋"/>
          <w:color w:val="auto"/>
          <w:sz w:val="32"/>
          <w:szCs w:val="32"/>
          <w:highlight w:val="none"/>
        </w:rPr>
      </w:pPr>
    </w:p>
    <w:p>
      <w:pPr>
        <w:spacing w:line="500" w:lineRule="atLeast"/>
        <w:jc w:val="center"/>
        <w:rPr>
          <w:rFonts w:ascii="仿宋" w:hAnsi="仿宋" w:eastAsia="仿宋" w:cs="仿宋"/>
          <w:color w:val="auto"/>
          <w:sz w:val="32"/>
          <w:szCs w:val="32"/>
          <w:highlight w:val="none"/>
        </w:rPr>
      </w:pPr>
    </w:p>
    <w:p>
      <w:pPr>
        <w:spacing w:line="500" w:lineRule="atLeast"/>
        <w:jc w:val="center"/>
        <w:rPr>
          <w:rFonts w:ascii="仿宋" w:hAnsi="仿宋" w:eastAsia="仿宋" w:cs="仿宋"/>
          <w:color w:val="auto"/>
          <w:sz w:val="32"/>
          <w:szCs w:val="32"/>
          <w:highlight w:val="none"/>
        </w:rPr>
      </w:pPr>
    </w:p>
    <w:p>
      <w:pPr>
        <w:spacing w:line="500" w:lineRule="atLeast"/>
        <w:jc w:val="center"/>
        <w:rPr>
          <w:rFonts w:ascii="仿宋" w:hAnsi="仿宋" w:eastAsia="仿宋" w:cs="仿宋"/>
          <w:color w:val="auto"/>
          <w:sz w:val="32"/>
          <w:szCs w:val="32"/>
          <w:highlight w:val="none"/>
        </w:rPr>
      </w:pPr>
      <w:r>
        <w:rPr>
          <w:rFonts w:ascii="仿宋" w:hAnsi="仿宋" w:eastAsia="仿宋" w:cs="仿宋"/>
          <w:color w:val="auto"/>
          <w:sz w:val="32"/>
          <w:szCs w:val="32"/>
          <w:highlight w:val="none"/>
          <w:u w:val="single"/>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0</wp:posOffset>
                </wp:positionV>
                <wp:extent cx="571500" cy="297180"/>
                <wp:effectExtent l="0" t="0" r="0" b="0"/>
                <wp:wrapNone/>
                <wp:docPr id="4" name="Text Box 2"/>
                <wp:cNvGraphicFramePr/>
                <a:graphic xmlns:a="http://schemas.openxmlformats.org/drawingml/2006/main">
                  <a:graphicData uri="http://schemas.microsoft.com/office/word/2010/wordprocessingShape">
                    <wps:wsp>
                      <wps:cNvSpPr txBox="1"/>
                      <wps:spPr>
                        <a:xfrm>
                          <a:off x="0" y="0"/>
                          <a:ext cx="571500" cy="297180"/>
                        </a:xfrm>
                        <a:prstGeom prst="rect">
                          <a:avLst/>
                        </a:prstGeom>
                        <a:noFill/>
                        <a:ln w="9525">
                          <a:noFill/>
                          <a:miter/>
                        </a:ln>
                        <a:effectLst/>
                      </wps:spPr>
                      <wps:txbx>
                        <w:txbxContent>
                          <w:p>
                            <w:pPr>
                              <w:rPr>
                                <w:rFonts w:ascii="仿宋_GB2312" w:hAnsi="楷体" w:eastAsia="仿宋_GB2312"/>
                              </w:rPr>
                            </w:pPr>
                            <w:r>
                              <w:rPr>
                                <w:rFonts w:hint="eastAsia" w:ascii="仿宋_GB2312" w:hAnsi="楷体" w:eastAsia="仿宋_GB2312"/>
                              </w:rPr>
                              <w:t>封—1</w:t>
                            </w:r>
                          </w:p>
                        </w:txbxContent>
                      </wps:txbx>
                      <wps:bodyPr upright="1"/>
                    </wps:wsp>
                  </a:graphicData>
                </a:graphic>
              </wp:anchor>
            </w:drawing>
          </mc:Choice>
          <mc:Fallback>
            <w:pict>
              <v:shape id="Text Box 2" o:spid="_x0000_s1026" o:spt="202" type="#_x0000_t202" style="position:absolute;left:0pt;margin-left:396pt;margin-top:0pt;height:23.4pt;width:45pt;z-index:251658240;mso-width-relative:page;mso-height-relative:page;" filled="f" stroked="f" coordsize="21600,21600" o:gfxdata="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iiCxp9UAAAAHAQAADwAAAAAAAAABACAAAAAiAAAAZHJzL2Rv&#10;d25yZXYueG1sUEsBAhQAFAAAAAgAh07iQLy2dDuSAQAAHwMAAA4AAAAAAAAAAQAgAAAAJAEAAGRy&#10;cy9lMm9Eb2MueG1sUEsFBgAAAAAGAAYAWQEAACgFAAAAAA==&#10;">
                <v:fill on="f" focussize="0,0"/>
                <v:stroke on="f" joinstyle="miter"/>
                <v:imagedata o:title=""/>
                <o:lock v:ext="edit" aspectratio="f"/>
                <v:textbox>
                  <w:txbxContent>
                    <w:p>
                      <w:pPr>
                        <w:rPr>
                          <w:rFonts w:ascii="仿宋_GB2312" w:hAnsi="楷体" w:eastAsia="仿宋_GB2312"/>
                        </w:rPr>
                      </w:pPr>
                      <w:r>
                        <w:rPr>
                          <w:rFonts w:hint="eastAsia" w:ascii="仿宋_GB2312" w:hAnsi="楷体" w:eastAsia="仿宋_GB2312"/>
                        </w:rPr>
                        <w:t>封—1</w:t>
                      </w:r>
                    </w:p>
                  </w:txbxContent>
                </v:textbox>
              </v:shape>
            </w:pict>
          </mc:Fallback>
        </mc:AlternateContent>
      </w:r>
      <w:r>
        <w:rPr>
          <w:rFonts w:hint="eastAsia" w:ascii="仿宋" w:hAnsi="仿宋" w:eastAsia="仿宋" w:cs="仿宋"/>
          <w:color w:val="auto"/>
          <w:sz w:val="32"/>
          <w:szCs w:val="32"/>
          <w:highlight w:val="none"/>
        </w:rPr>
        <w:t>总  说  明</w:t>
      </w:r>
    </w:p>
    <w:p>
      <w:pPr>
        <w:tabs>
          <w:tab w:val="left" w:pos="3780"/>
        </w:tabs>
        <w:spacing w:afterLines="25"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工程名称：                                         第   页 共   页                        </w:t>
      </w:r>
    </w:p>
    <w:tbl>
      <w:tblPr>
        <w:tblStyle w:val="41"/>
        <w:tblW w:w="982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9803" w:hRule="atLeast"/>
          <w:jc w:val="center"/>
        </w:trPr>
        <w:tc>
          <w:tcPr>
            <w:tcW w:w="9823" w:type="dxa"/>
          </w:tcPr>
          <w:p>
            <w:pPr>
              <w:tabs>
                <w:tab w:val="left" w:pos="3780"/>
              </w:tabs>
              <w:spacing w:line="500" w:lineRule="atLeast"/>
              <w:rPr>
                <w:rFonts w:ascii="仿宋" w:hAnsi="仿宋" w:eastAsia="仿宋" w:cs="仿宋"/>
                <w:color w:val="auto"/>
                <w:highlight w:val="none"/>
              </w:rPr>
            </w:pPr>
          </w:p>
        </w:tc>
      </w:tr>
    </w:tbl>
    <w:p>
      <w:pPr>
        <w:spacing w:line="500" w:lineRule="atLeast"/>
        <w:jc w:val="center"/>
        <w:rPr>
          <w:rFonts w:ascii="仿宋" w:hAnsi="仿宋" w:eastAsia="仿宋" w:cs="仿宋"/>
          <w:color w:val="auto"/>
          <w:sz w:val="32"/>
          <w:szCs w:val="32"/>
          <w:highlight w:val="none"/>
        </w:rPr>
      </w:pPr>
    </w:p>
    <w:p>
      <w:pPr>
        <w:spacing w:line="500" w:lineRule="atLeast"/>
        <w:jc w:val="center"/>
        <w:rPr>
          <w:rFonts w:ascii="仿宋" w:hAnsi="仿宋" w:eastAsia="仿宋" w:cs="仿宋"/>
          <w:color w:val="auto"/>
          <w:sz w:val="32"/>
          <w:szCs w:val="32"/>
          <w:highlight w:val="none"/>
        </w:rPr>
      </w:pPr>
    </w:p>
    <w:p>
      <w:pPr>
        <w:spacing w:line="500" w:lineRule="atLeast"/>
        <w:jc w:val="center"/>
        <w:rPr>
          <w:rFonts w:ascii="仿宋" w:hAnsi="仿宋" w:eastAsia="仿宋" w:cs="仿宋"/>
          <w:color w:val="auto"/>
          <w:sz w:val="32"/>
          <w:szCs w:val="32"/>
          <w:highlight w:val="none"/>
        </w:rPr>
      </w:pPr>
    </w:p>
    <w:p>
      <w:pPr>
        <w:spacing w:line="500" w:lineRule="atLeast"/>
        <w:jc w:val="center"/>
        <w:rPr>
          <w:rFonts w:ascii="仿宋" w:hAnsi="仿宋" w:eastAsia="仿宋" w:cs="仿宋"/>
          <w:color w:val="auto"/>
          <w:sz w:val="32"/>
          <w:szCs w:val="32"/>
          <w:highlight w:val="none"/>
        </w:rPr>
      </w:pPr>
    </w:p>
    <w:p>
      <w:pPr>
        <w:spacing w:line="500" w:lineRule="atLeast"/>
        <w:jc w:val="center"/>
        <w:rPr>
          <w:rFonts w:ascii="仿宋" w:hAnsi="仿宋" w:eastAsia="仿宋" w:cs="仿宋"/>
          <w:color w:val="auto"/>
          <w:sz w:val="32"/>
          <w:szCs w:val="32"/>
          <w:highlight w:val="none"/>
        </w:rPr>
      </w:pPr>
    </w:p>
    <w:p>
      <w:pPr>
        <w:spacing w:line="500" w:lineRule="atLeast"/>
        <w:jc w:val="both"/>
        <w:rPr>
          <w:rFonts w:ascii="仿宋" w:hAnsi="仿宋" w:eastAsia="仿宋" w:cs="仿宋"/>
          <w:color w:val="auto"/>
          <w:sz w:val="32"/>
          <w:szCs w:val="32"/>
          <w:highlight w:val="none"/>
        </w:rPr>
      </w:pPr>
    </w:p>
    <w:p>
      <w:pPr>
        <w:pStyle w:val="2"/>
        <w:jc w:val="center"/>
        <w:rPr>
          <w:rFonts w:ascii="仿宋" w:hAnsi="仿宋" w:eastAsia="仿宋" w:cs="仿宋"/>
          <w:color w:val="auto"/>
          <w:highlight w:val="none"/>
        </w:rPr>
      </w:pPr>
      <w:bookmarkStart w:id="325" w:name="_Toc28558"/>
      <w:bookmarkStart w:id="326" w:name="_Toc16247"/>
      <w:bookmarkStart w:id="327" w:name="_Toc3863"/>
      <w:bookmarkStart w:id="328" w:name="_Toc9836"/>
      <w:bookmarkStart w:id="329" w:name="_Toc16801"/>
      <w:bookmarkStart w:id="330" w:name="_Toc29014"/>
      <w:bookmarkStart w:id="331" w:name="_Toc30916"/>
      <w:bookmarkStart w:id="332" w:name="_Toc17578"/>
      <w:r>
        <w:rPr>
          <w:rFonts w:hint="eastAsia" w:ascii="仿宋" w:hAnsi="仿宋" w:eastAsia="仿宋" w:cs="仿宋"/>
          <w:color w:val="auto"/>
          <w:highlight w:val="none"/>
        </w:rPr>
        <w:t>第九部分  报价文件技术部分格式</w:t>
      </w:r>
      <w:bookmarkEnd w:id="325"/>
      <w:bookmarkEnd w:id="326"/>
      <w:bookmarkEnd w:id="327"/>
      <w:bookmarkEnd w:id="328"/>
      <w:bookmarkEnd w:id="329"/>
      <w:bookmarkEnd w:id="330"/>
      <w:bookmarkEnd w:id="331"/>
      <w:bookmarkEnd w:id="332"/>
    </w:p>
    <w:p>
      <w:pPr>
        <w:pStyle w:val="61"/>
        <w:spacing w:line="500" w:lineRule="atLeast"/>
        <w:rPr>
          <w:rFonts w:ascii="仿宋" w:hAnsi="仿宋" w:eastAsia="仿宋" w:cs="仿宋"/>
          <w:b/>
          <w:color w:val="auto"/>
          <w:sz w:val="24"/>
          <w:szCs w:val="24"/>
          <w:highlight w:val="none"/>
        </w:rPr>
      </w:pPr>
    </w:p>
    <w:p>
      <w:pPr>
        <w:pStyle w:val="61"/>
        <w:spacing w:line="500" w:lineRule="atLeast"/>
        <w:rPr>
          <w:rFonts w:ascii="仿宋" w:hAnsi="仿宋" w:eastAsia="仿宋" w:cs="仿宋"/>
          <w:b/>
          <w:color w:val="auto"/>
          <w:sz w:val="24"/>
          <w:szCs w:val="24"/>
          <w:highlight w:val="none"/>
        </w:rPr>
      </w:pPr>
    </w:p>
    <w:p>
      <w:pPr>
        <w:overflowPunct w:val="0"/>
        <w:autoSpaceDE w:val="0"/>
        <w:autoSpaceDN w:val="0"/>
        <w:adjustRightInd w:val="0"/>
        <w:spacing w:line="500" w:lineRule="atLeast"/>
        <w:jc w:val="center"/>
        <w:rPr>
          <w:rFonts w:ascii="仿宋" w:hAnsi="仿宋" w:eastAsia="仿宋" w:cs="仿宋"/>
          <w:b/>
          <w:color w:val="auto"/>
          <w:sz w:val="36"/>
          <w:highlight w:val="none"/>
        </w:rPr>
      </w:pPr>
      <w:r>
        <w:rPr>
          <w:rFonts w:hint="eastAsia" w:ascii="仿宋" w:hAnsi="仿宋" w:eastAsia="仿宋" w:cs="仿宋"/>
          <w:b/>
          <w:color w:val="auto"/>
          <w:sz w:val="36"/>
          <w:highlight w:val="none"/>
        </w:rPr>
        <w:t>施工投标文件</w:t>
      </w:r>
    </w:p>
    <w:p>
      <w:pPr>
        <w:overflowPunct w:val="0"/>
        <w:autoSpaceDE w:val="0"/>
        <w:autoSpaceDN w:val="0"/>
        <w:adjustRightInd w:val="0"/>
        <w:spacing w:line="500" w:lineRule="atLeast"/>
        <w:jc w:val="center"/>
        <w:rPr>
          <w:rFonts w:ascii="仿宋" w:hAnsi="仿宋" w:eastAsia="仿宋" w:cs="仿宋"/>
          <w:b/>
          <w:bCs/>
          <w:color w:val="auto"/>
          <w:sz w:val="28"/>
          <w:highlight w:val="none"/>
        </w:rPr>
      </w:pPr>
      <w:r>
        <w:rPr>
          <w:rFonts w:hint="eastAsia" w:ascii="仿宋" w:hAnsi="仿宋" w:eastAsia="仿宋" w:cs="仿宋"/>
          <w:b/>
          <w:bCs/>
          <w:color w:val="auto"/>
          <w:sz w:val="28"/>
          <w:highlight w:val="none"/>
        </w:rPr>
        <w:t>(封 面)</w:t>
      </w:r>
    </w:p>
    <w:p>
      <w:pPr>
        <w:overflowPunct w:val="0"/>
        <w:autoSpaceDE w:val="0"/>
        <w:autoSpaceDN w:val="0"/>
        <w:adjustRightInd w:val="0"/>
        <w:spacing w:line="500" w:lineRule="atLeast"/>
        <w:ind w:firstLine="567"/>
        <w:jc w:val="center"/>
        <w:rPr>
          <w:rFonts w:ascii="仿宋" w:hAnsi="仿宋" w:eastAsia="仿宋" w:cs="仿宋"/>
          <w:b/>
          <w:bCs/>
          <w:color w:val="auto"/>
          <w:sz w:val="36"/>
          <w:highlight w:val="none"/>
        </w:rPr>
      </w:pPr>
    </w:p>
    <w:p>
      <w:pPr>
        <w:overflowPunct w:val="0"/>
        <w:autoSpaceDE w:val="0"/>
        <w:autoSpaceDN w:val="0"/>
        <w:adjustRightInd w:val="0"/>
        <w:spacing w:line="500" w:lineRule="atLeast"/>
        <w:ind w:firstLine="567"/>
        <w:rPr>
          <w:rFonts w:ascii="仿宋" w:hAnsi="仿宋" w:eastAsia="仿宋" w:cs="仿宋"/>
          <w:b/>
          <w:bCs/>
          <w:color w:val="auto"/>
          <w:sz w:val="28"/>
          <w:highlight w:val="none"/>
        </w:rPr>
      </w:pPr>
      <w:r>
        <w:rPr>
          <w:rFonts w:hint="eastAsia" w:ascii="仿宋" w:hAnsi="仿宋" w:eastAsia="仿宋" w:cs="仿宋"/>
          <w:b/>
          <w:bCs/>
          <w:color w:val="auto"/>
          <w:sz w:val="28"/>
          <w:highlight w:val="none"/>
        </w:rPr>
        <w:t>工 程 名 称 :</w:t>
      </w:r>
      <w:r>
        <w:rPr>
          <w:rFonts w:hint="eastAsia" w:ascii="仿宋" w:hAnsi="仿宋" w:eastAsia="仿宋" w:cs="仿宋"/>
          <w:b/>
          <w:bCs/>
          <w:color w:val="auto"/>
          <w:sz w:val="28"/>
          <w:highlight w:val="none"/>
          <w:u w:val="single"/>
        </w:rPr>
        <w:t xml:space="preserve">                            </w:t>
      </w:r>
    </w:p>
    <w:p>
      <w:pPr>
        <w:overflowPunct w:val="0"/>
        <w:autoSpaceDE w:val="0"/>
        <w:autoSpaceDN w:val="0"/>
        <w:adjustRightInd w:val="0"/>
        <w:spacing w:line="500" w:lineRule="atLeast"/>
        <w:ind w:firstLine="567"/>
        <w:rPr>
          <w:rFonts w:ascii="仿宋" w:hAnsi="仿宋" w:eastAsia="仿宋" w:cs="仿宋"/>
          <w:b/>
          <w:bCs/>
          <w:color w:val="auto"/>
          <w:sz w:val="28"/>
          <w:highlight w:val="none"/>
        </w:rPr>
      </w:pPr>
    </w:p>
    <w:p>
      <w:pPr>
        <w:overflowPunct w:val="0"/>
        <w:autoSpaceDE w:val="0"/>
        <w:autoSpaceDN w:val="0"/>
        <w:adjustRightInd w:val="0"/>
        <w:spacing w:line="500" w:lineRule="atLeast"/>
        <w:ind w:firstLine="567"/>
        <w:rPr>
          <w:rFonts w:ascii="仿宋" w:hAnsi="仿宋" w:eastAsia="仿宋" w:cs="仿宋"/>
          <w:b/>
          <w:bCs/>
          <w:color w:val="auto"/>
          <w:sz w:val="28"/>
          <w:highlight w:val="none"/>
        </w:rPr>
      </w:pPr>
    </w:p>
    <w:p>
      <w:pPr>
        <w:overflowPunct w:val="0"/>
        <w:autoSpaceDE w:val="0"/>
        <w:autoSpaceDN w:val="0"/>
        <w:adjustRightInd w:val="0"/>
        <w:spacing w:line="500" w:lineRule="atLeast"/>
        <w:ind w:firstLine="567"/>
        <w:rPr>
          <w:rFonts w:ascii="仿宋" w:hAnsi="仿宋" w:eastAsia="仿宋" w:cs="仿宋"/>
          <w:b/>
          <w:bCs/>
          <w:color w:val="auto"/>
          <w:sz w:val="28"/>
          <w:highlight w:val="none"/>
          <w:u w:val="single"/>
        </w:rPr>
      </w:pPr>
      <w:r>
        <w:rPr>
          <w:rFonts w:hint="eastAsia" w:ascii="仿宋" w:hAnsi="仿宋" w:eastAsia="仿宋" w:cs="仿宋"/>
          <w:b/>
          <w:bCs/>
          <w:color w:val="auto"/>
          <w:sz w:val="28"/>
          <w:highlight w:val="none"/>
        </w:rPr>
        <w:t xml:space="preserve">投标文件内容: </w:t>
      </w:r>
      <w:r>
        <w:rPr>
          <w:rFonts w:hint="eastAsia" w:ascii="仿宋" w:hAnsi="仿宋" w:eastAsia="仿宋" w:cs="仿宋"/>
          <w:b/>
          <w:bCs/>
          <w:color w:val="auto"/>
          <w:sz w:val="28"/>
          <w:highlight w:val="none"/>
          <w:u w:val="single"/>
        </w:rPr>
        <w:t xml:space="preserve"> 技术标投标文件             </w:t>
      </w:r>
    </w:p>
    <w:p>
      <w:pPr>
        <w:overflowPunct w:val="0"/>
        <w:autoSpaceDE w:val="0"/>
        <w:autoSpaceDN w:val="0"/>
        <w:adjustRightInd w:val="0"/>
        <w:spacing w:line="500" w:lineRule="atLeast"/>
        <w:ind w:firstLine="509" w:firstLineChars="181"/>
        <w:rPr>
          <w:rFonts w:ascii="仿宋" w:hAnsi="仿宋" w:eastAsia="仿宋" w:cs="仿宋"/>
          <w:b/>
          <w:bCs/>
          <w:color w:val="auto"/>
          <w:sz w:val="28"/>
          <w:highlight w:val="none"/>
        </w:rPr>
      </w:pPr>
    </w:p>
    <w:p>
      <w:pPr>
        <w:overflowPunct w:val="0"/>
        <w:autoSpaceDE w:val="0"/>
        <w:autoSpaceDN w:val="0"/>
        <w:adjustRightInd w:val="0"/>
        <w:spacing w:line="500" w:lineRule="atLeast"/>
        <w:ind w:firstLine="509" w:firstLineChars="181"/>
        <w:rPr>
          <w:rFonts w:ascii="仿宋" w:hAnsi="仿宋" w:eastAsia="仿宋" w:cs="仿宋"/>
          <w:b/>
          <w:bCs/>
          <w:color w:val="auto"/>
          <w:sz w:val="28"/>
          <w:highlight w:val="none"/>
        </w:rPr>
      </w:pPr>
    </w:p>
    <w:p>
      <w:pPr>
        <w:overflowPunct w:val="0"/>
        <w:autoSpaceDE w:val="0"/>
        <w:autoSpaceDN w:val="0"/>
        <w:adjustRightInd w:val="0"/>
        <w:spacing w:line="500" w:lineRule="atLeast"/>
        <w:ind w:firstLine="509" w:firstLineChars="181"/>
        <w:rPr>
          <w:rFonts w:ascii="仿宋" w:hAnsi="仿宋" w:eastAsia="仿宋" w:cs="仿宋"/>
          <w:b/>
          <w:bCs/>
          <w:color w:val="auto"/>
          <w:sz w:val="28"/>
          <w:highlight w:val="none"/>
        </w:rPr>
      </w:pPr>
    </w:p>
    <w:p>
      <w:pPr>
        <w:overflowPunct w:val="0"/>
        <w:autoSpaceDE w:val="0"/>
        <w:autoSpaceDN w:val="0"/>
        <w:adjustRightInd w:val="0"/>
        <w:spacing w:line="500" w:lineRule="atLeast"/>
        <w:ind w:firstLine="509" w:firstLineChars="181"/>
        <w:rPr>
          <w:rFonts w:ascii="仿宋" w:hAnsi="仿宋" w:eastAsia="仿宋" w:cs="仿宋"/>
          <w:b/>
          <w:bCs/>
          <w:color w:val="auto"/>
          <w:sz w:val="28"/>
          <w:highlight w:val="none"/>
        </w:rPr>
      </w:pPr>
      <w:r>
        <w:rPr>
          <w:rFonts w:hint="eastAsia" w:ascii="仿宋" w:hAnsi="仿宋" w:eastAsia="仿宋" w:cs="仿宋"/>
          <w:b/>
          <w:bCs/>
          <w:color w:val="auto"/>
          <w:sz w:val="28"/>
          <w:highlight w:val="none"/>
        </w:rPr>
        <w:t>投   标   人:</w:t>
      </w:r>
      <w:r>
        <w:rPr>
          <w:rFonts w:hint="eastAsia" w:ascii="仿宋" w:hAnsi="仿宋" w:eastAsia="仿宋" w:cs="仿宋"/>
          <w:b/>
          <w:bCs/>
          <w:color w:val="auto"/>
          <w:sz w:val="28"/>
          <w:highlight w:val="none"/>
          <w:u w:val="single"/>
        </w:rPr>
        <w:t xml:space="preserve">                (盖章)       </w:t>
      </w:r>
    </w:p>
    <w:p>
      <w:pPr>
        <w:overflowPunct w:val="0"/>
        <w:autoSpaceDE w:val="0"/>
        <w:autoSpaceDN w:val="0"/>
        <w:adjustRightInd w:val="0"/>
        <w:spacing w:line="500" w:lineRule="atLeast"/>
        <w:ind w:firstLine="567"/>
        <w:rPr>
          <w:rFonts w:ascii="仿宋" w:hAnsi="仿宋" w:eastAsia="仿宋" w:cs="仿宋"/>
          <w:b/>
          <w:bCs/>
          <w:color w:val="auto"/>
          <w:sz w:val="28"/>
          <w:highlight w:val="none"/>
        </w:rPr>
      </w:pPr>
    </w:p>
    <w:p>
      <w:pPr>
        <w:overflowPunct w:val="0"/>
        <w:autoSpaceDE w:val="0"/>
        <w:autoSpaceDN w:val="0"/>
        <w:adjustRightInd w:val="0"/>
        <w:spacing w:line="500" w:lineRule="atLeast"/>
        <w:ind w:firstLine="567"/>
        <w:rPr>
          <w:rFonts w:ascii="仿宋" w:hAnsi="仿宋" w:eastAsia="仿宋" w:cs="仿宋"/>
          <w:b/>
          <w:bCs/>
          <w:color w:val="auto"/>
          <w:sz w:val="28"/>
          <w:highlight w:val="none"/>
        </w:rPr>
      </w:pPr>
      <w:r>
        <w:rPr>
          <w:rFonts w:hint="eastAsia" w:ascii="仿宋" w:hAnsi="仿宋" w:eastAsia="仿宋" w:cs="仿宋"/>
          <w:b/>
          <w:bCs/>
          <w:color w:val="auto"/>
          <w:sz w:val="28"/>
          <w:highlight w:val="none"/>
        </w:rPr>
        <w:t>法定代表人或:</w:t>
      </w:r>
    </w:p>
    <w:p>
      <w:pPr>
        <w:overflowPunct w:val="0"/>
        <w:autoSpaceDE w:val="0"/>
        <w:autoSpaceDN w:val="0"/>
        <w:adjustRightInd w:val="0"/>
        <w:spacing w:line="500" w:lineRule="atLeast"/>
        <w:ind w:firstLine="567"/>
        <w:rPr>
          <w:rFonts w:ascii="仿宋" w:hAnsi="仿宋" w:eastAsia="仿宋" w:cs="仿宋"/>
          <w:b/>
          <w:bCs/>
          <w:color w:val="auto"/>
          <w:spacing w:val="30"/>
          <w:sz w:val="28"/>
          <w:highlight w:val="none"/>
        </w:rPr>
      </w:pPr>
    </w:p>
    <w:p>
      <w:pPr>
        <w:overflowPunct w:val="0"/>
        <w:autoSpaceDE w:val="0"/>
        <w:autoSpaceDN w:val="0"/>
        <w:adjustRightInd w:val="0"/>
        <w:spacing w:line="500" w:lineRule="atLeast"/>
        <w:ind w:firstLine="567"/>
        <w:rPr>
          <w:rFonts w:ascii="仿宋" w:hAnsi="仿宋" w:eastAsia="仿宋" w:cs="仿宋"/>
          <w:b/>
          <w:bCs/>
          <w:color w:val="auto"/>
          <w:sz w:val="28"/>
          <w:highlight w:val="none"/>
        </w:rPr>
      </w:pPr>
      <w:r>
        <w:rPr>
          <w:rFonts w:hint="eastAsia" w:ascii="仿宋" w:hAnsi="仿宋" w:eastAsia="仿宋" w:cs="仿宋"/>
          <w:b/>
          <w:bCs/>
          <w:color w:val="auto"/>
          <w:spacing w:val="30"/>
          <w:sz w:val="28"/>
          <w:highlight w:val="none"/>
        </w:rPr>
        <w:t>委托代理人:</w:t>
      </w:r>
      <w:r>
        <w:rPr>
          <w:rFonts w:hint="eastAsia" w:ascii="仿宋" w:hAnsi="仿宋" w:eastAsia="仿宋" w:cs="仿宋"/>
          <w:b/>
          <w:bCs/>
          <w:color w:val="auto"/>
          <w:sz w:val="28"/>
          <w:highlight w:val="none"/>
          <w:u w:val="single"/>
        </w:rPr>
        <w:t xml:space="preserve">     (签字或盖章)             </w:t>
      </w:r>
    </w:p>
    <w:p>
      <w:pPr>
        <w:overflowPunct w:val="0"/>
        <w:autoSpaceDE w:val="0"/>
        <w:autoSpaceDN w:val="0"/>
        <w:adjustRightInd w:val="0"/>
        <w:spacing w:line="500" w:lineRule="atLeast"/>
        <w:ind w:firstLine="567"/>
        <w:rPr>
          <w:rFonts w:ascii="仿宋" w:hAnsi="仿宋" w:eastAsia="仿宋" w:cs="仿宋"/>
          <w:b/>
          <w:bCs/>
          <w:color w:val="auto"/>
          <w:sz w:val="28"/>
          <w:highlight w:val="none"/>
        </w:rPr>
      </w:pPr>
    </w:p>
    <w:p>
      <w:pPr>
        <w:overflowPunct w:val="0"/>
        <w:autoSpaceDE w:val="0"/>
        <w:autoSpaceDN w:val="0"/>
        <w:adjustRightInd w:val="0"/>
        <w:spacing w:line="500" w:lineRule="atLeast"/>
        <w:ind w:firstLine="567"/>
        <w:rPr>
          <w:rFonts w:ascii="仿宋" w:hAnsi="仿宋" w:eastAsia="仿宋" w:cs="仿宋"/>
          <w:b/>
          <w:bCs/>
          <w:color w:val="auto"/>
          <w:sz w:val="28"/>
          <w:highlight w:val="none"/>
        </w:rPr>
      </w:pPr>
      <w:r>
        <w:rPr>
          <w:rFonts w:hint="eastAsia" w:ascii="仿宋" w:hAnsi="仿宋" w:eastAsia="仿宋" w:cs="仿宋"/>
          <w:b/>
          <w:bCs/>
          <w:color w:val="auto"/>
          <w:sz w:val="28"/>
          <w:highlight w:val="none"/>
        </w:rPr>
        <w:t>日       期:</w:t>
      </w:r>
      <w:r>
        <w:rPr>
          <w:rFonts w:hint="eastAsia" w:ascii="仿宋" w:hAnsi="仿宋" w:eastAsia="仿宋" w:cs="仿宋"/>
          <w:b/>
          <w:bCs/>
          <w:color w:val="auto"/>
          <w:sz w:val="28"/>
          <w:highlight w:val="none"/>
          <w:u w:val="single"/>
        </w:rPr>
        <w:t xml:space="preserve">        </w:t>
      </w:r>
      <w:r>
        <w:rPr>
          <w:rFonts w:hint="eastAsia" w:ascii="仿宋" w:hAnsi="仿宋" w:eastAsia="仿宋" w:cs="仿宋"/>
          <w:b/>
          <w:bCs/>
          <w:color w:val="auto"/>
          <w:sz w:val="28"/>
          <w:highlight w:val="none"/>
        </w:rPr>
        <w:t>年</w:t>
      </w:r>
      <w:r>
        <w:rPr>
          <w:rFonts w:hint="eastAsia" w:ascii="仿宋" w:hAnsi="仿宋" w:eastAsia="仿宋" w:cs="仿宋"/>
          <w:b/>
          <w:bCs/>
          <w:color w:val="auto"/>
          <w:sz w:val="28"/>
          <w:highlight w:val="none"/>
          <w:u w:val="single"/>
        </w:rPr>
        <w:t xml:space="preserve">      </w:t>
      </w:r>
      <w:r>
        <w:rPr>
          <w:rFonts w:hint="eastAsia" w:ascii="仿宋" w:hAnsi="仿宋" w:eastAsia="仿宋" w:cs="仿宋"/>
          <w:b/>
          <w:bCs/>
          <w:color w:val="auto"/>
          <w:sz w:val="28"/>
          <w:highlight w:val="none"/>
        </w:rPr>
        <w:t>月</w:t>
      </w:r>
      <w:r>
        <w:rPr>
          <w:rFonts w:hint="eastAsia" w:ascii="仿宋" w:hAnsi="仿宋" w:eastAsia="仿宋" w:cs="仿宋"/>
          <w:b/>
          <w:bCs/>
          <w:color w:val="auto"/>
          <w:sz w:val="28"/>
          <w:highlight w:val="none"/>
          <w:u w:val="single"/>
        </w:rPr>
        <w:t xml:space="preserve">        </w:t>
      </w:r>
      <w:r>
        <w:rPr>
          <w:rFonts w:hint="eastAsia" w:ascii="仿宋" w:hAnsi="仿宋" w:eastAsia="仿宋" w:cs="仿宋"/>
          <w:b/>
          <w:bCs/>
          <w:color w:val="auto"/>
          <w:sz w:val="28"/>
          <w:highlight w:val="none"/>
        </w:rPr>
        <w:t>日</w:t>
      </w:r>
    </w:p>
    <w:p>
      <w:pPr>
        <w:overflowPunct w:val="0"/>
        <w:autoSpaceDE w:val="0"/>
        <w:autoSpaceDN w:val="0"/>
        <w:adjustRightInd w:val="0"/>
        <w:spacing w:line="500" w:lineRule="atLeast"/>
        <w:ind w:firstLine="567"/>
        <w:jc w:val="center"/>
        <w:rPr>
          <w:rFonts w:ascii="仿宋" w:hAnsi="仿宋" w:eastAsia="仿宋" w:cs="仿宋"/>
          <w:b/>
          <w:bCs/>
          <w:color w:val="auto"/>
          <w:sz w:val="36"/>
          <w:highlight w:val="none"/>
        </w:rPr>
      </w:pPr>
      <w:r>
        <w:rPr>
          <w:rFonts w:hint="eastAsia" w:ascii="仿宋" w:hAnsi="仿宋" w:eastAsia="仿宋" w:cs="仿宋"/>
          <w:b/>
          <w:bCs/>
          <w:color w:val="auto"/>
          <w:sz w:val="36"/>
          <w:highlight w:val="none"/>
        </w:rPr>
        <w:br w:type="page"/>
      </w:r>
      <w:r>
        <w:rPr>
          <w:rFonts w:hint="eastAsia" w:ascii="仿宋" w:hAnsi="仿宋" w:eastAsia="仿宋" w:cs="仿宋"/>
          <w:b/>
          <w:bCs/>
          <w:color w:val="auto"/>
          <w:sz w:val="36"/>
          <w:highlight w:val="none"/>
        </w:rPr>
        <w:t>目  录</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一、施工组织设计；</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（1）施工方案及技术措施；</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（2）质量保证措施和创优计划；</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（3）施工总进度计划及保证措施（包括以横道图或标明关键线路的网络进度计划、保障进度计划需要的主要施工机械设备、劳动力需求计划及保证措施、材料设备进场计划及其他保证措施等）；</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（4）施工管理措施计划；</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（5）安全文明施工措施计划及安全保证措施；</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（6）季节施工措施计划；</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（7）施工环保措施计划；</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（8）减少噪音、降低环境污染、管线设施的保护加固措施等；</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（9）成品保护和工程保修工作的管理措施和承诺；</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（10）任何可能的紧急情况的处理措施、预案以及抵抗风险（包括工程施工过程中可能遇到的各种风险）的措施；</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（11）材料的质量保证措施；</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r>
        <w:rPr>
          <w:rFonts w:hint="eastAsia" w:ascii="仿宋" w:hAnsi="仿宋" w:eastAsia="仿宋" w:cs="仿宋"/>
          <w:bCs/>
          <w:color w:val="auto"/>
          <w:sz w:val="24"/>
          <w:szCs w:val="24"/>
          <w:highlight w:val="none"/>
          <w:lang w:eastAsia="zh-CN"/>
        </w:rPr>
        <w:t>施工机具配备及</w:t>
      </w:r>
      <w:r>
        <w:rPr>
          <w:rFonts w:hint="eastAsia" w:ascii="仿宋" w:hAnsi="仿宋" w:eastAsia="仿宋" w:cs="仿宋"/>
          <w:bCs/>
          <w:color w:val="auto"/>
          <w:sz w:val="24"/>
          <w:szCs w:val="24"/>
          <w:highlight w:val="none"/>
        </w:rPr>
        <w:t>设备的质量保证措施；</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（13）质量通病的防治措施；</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（14）投标人对自身承建本工程的施工的有利条件和优势说明，有关质量、工期、文明施工、服务等方面对业主的承诺、合理化建议及优惠条件；（投标人自行列报）</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（15）投标人的服务及承诺；</w:t>
      </w:r>
    </w:p>
    <w:p>
      <w:pPr>
        <w:tabs>
          <w:tab w:val="left" w:pos="3920"/>
        </w:tabs>
        <w:spacing w:line="500" w:lineRule="atLeas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（16）投标人认为有必要说明的其他内容。（投标人自行列报）</w:t>
      </w:r>
    </w:p>
    <w:p>
      <w:pPr>
        <w:adjustRightIn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 项目管理班子配备：</w:t>
      </w:r>
    </w:p>
    <w:p>
      <w:pPr>
        <w:adjustRightIn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（1）项目管理班子配备情况表、组织机构图；</w:t>
      </w:r>
    </w:p>
    <w:p>
      <w:pPr>
        <w:adjustRightIn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（2）项目经理简历表、近三年（2015年1月1日至今）负责的类似工程和规模相当的工程项目情况介绍，后附项目合同；</w:t>
      </w:r>
    </w:p>
    <w:p>
      <w:pPr>
        <w:adjustRightIn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（3）项目技术负责人简历表、近三年（2015年1月1日至今）负责的类似工程和规模相当的工程项目情况介绍，后附项目合同；</w:t>
      </w:r>
    </w:p>
    <w:p>
      <w:pPr>
        <w:adjustRightIn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（4）拟投入本工程的主要人员及承建类似工程情况介绍；</w:t>
      </w:r>
    </w:p>
    <w:p>
      <w:pPr>
        <w:adjustRightInd w:val="0"/>
        <w:spacing w:line="500" w:lineRule="atLeast"/>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（5）项目管理班子配备情况及其它辅助说明资料、施工力量部署。</w:t>
      </w:r>
    </w:p>
    <w:p>
      <w:pPr>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（6）技术偏离表</w:t>
      </w: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b/>
          <w:bCs/>
          <w:color w:val="auto"/>
          <w:sz w:val="24"/>
          <w:szCs w:val="24"/>
          <w:highlight w:val="none"/>
        </w:rPr>
      </w:pPr>
    </w:p>
    <w:p>
      <w:pPr>
        <w:spacing w:line="500" w:lineRule="atLeast"/>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一、施工组织设计</w:t>
      </w:r>
    </w:p>
    <w:p>
      <w:pPr>
        <w:autoSpaceDE w:val="0"/>
        <w:autoSpaceDN w:val="0"/>
        <w:adjustRightInd w:val="0"/>
        <w:spacing w:line="500" w:lineRule="atLeast"/>
        <w:ind w:firstLine="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编制递交完整的施工组织设计，施工组织设计应包括磋商文件规定的施工组织设计基本内容．编制具体要求是：编制时应采用文字并结合图表阐述说明各分部分项工程的施工方法；主要材料、施工机械设备、劳动力、采购、运输、使用、计划安排；结合工程特点提出切实可行的工程质量、安全生产、文明施工、工程进度技术组织措施，同时应对关键工序、复杂环节重点提出相应技术措施，如季节性施工技术措施、减少扰民噪音、降低环境污染技术措施、地上地下设施的保护加固措施等。</w:t>
      </w:r>
    </w:p>
    <w:p>
      <w:pPr>
        <w:autoSpaceDE w:val="0"/>
        <w:autoSpaceDN w:val="0"/>
        <w:adjustRightInd w:val="0"/>
        <w:spacing w:line="500" w:lineRule="atLeast"/>
        <w:ind w:firstLine="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2、施工组织设计除采用文字表述外应附下列图表，图表及格式要求附后。</w:t>
      </w:r>
    </w:p>
    <w:p>
      <w:pPr>
        <w:autoSpaceDE w:val="0"/>
        <w:autoSpaceDN w:val="0"/>
        <w:adjustRightInd w:val="0"/>
        <w:spacing w:line="500" w:lineRule="atLeast"/>
        <w:ind w:firstLine="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（1）拟投入的主要施工机械设备表；</w:t>
      </w:r>
    </w:p>
    <w:p>
      <w:pPr>
        <w:autoSpaceDE w:val="0"/>
        <w:autoSpaceDN w:val="0"/>
        <w:adjustRightInd w:val="0"/>
        <w:spacing w:line="500" w:lineRule="atLeast"/>
        <w:ind w:firstLine="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（2）劳动力计划表；</w:t>
      </w:r>
    </w:p>
    <w:p>
      <w:pPr>
        <w:autoSpaceDE w:val="0"/>
        <w:autoSpaceDN w:val="0"/>
        <w:adjustRightInd w:val="0"/>
        <w:spacing w:line="500" w:lineRule="atLeast"/>
        <w:ind w:firstLine="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（3）计划开、竣工日期和施工进度网络图；</w:t>
      </w:r>
    </w:p>
    <w:p>
      <w:pPr>
        <w:autoSpaceDE w:val="0"/>
        <w:autoSpaceDN w:val="0"/>
        <w:adjustRightInd w:val="0"/>
        <w:spacing w:line="500" w:lineRule="atLeast"/>
        <w:ind w:firstLine="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（4）施工总平面布置图及临时用地表</w:t>
      </w:r>
    </w:p>
    <w:p>
      <w:pPr>
        <w:autoSpaceDE w:val="0"/>
        <w:autoSpaceDN w:val="0"/>
        <w:adjustRightInd w:val="0"/>
        <w:spacing w:line="500" w:lineRule="atLeast"/>
        <w:ind w:firstLine="567"/>
        <w:rPr>
          <w:rFonts w:ascii="仿宋" w:hAnsi="仿宋" w:eastAsia="仿宋" w:cs="仿宋"/>
          <w:color w:val="auto"/>
          <w:sz w:val="24"/>
          <w:szCs w:val="24"/>
          <w:highlight w:val="none"/>
        </w:rPr>
      </w:pPr>
    </w:p>
    <w:p>
      <w:pPr>
        <w:spacing w:line="500" w:lineRule="atLeast"/>
        <w:rPr>
          <w:rFonts w:ascii="仿宋" w:hAnsi="仿宋" w:eastAsia="仿宋" w:cs="仿宋"/>
          <w:b/>
          <w:bCs/>
          <w:color w:val="auto"/>
          <w:highlight w:val="none"/>
        </w:rPr>
      </w:pPr>
    </w:p>
    <w:p>
      <w:pPr>
        <w:spacing w:line="500" w:lineRule="atLeast"/>
        <w:rPr>
          <w:rFonts w:ascii="仿宋" w:hAnsi="仿宋" w:eastAsia="仿宋" w:cs="仿宋"/>
          <w:b/>
          <w:bCs/>
          <w:color w:val="auto"/>
          <w:highlight w:val="none"/>
        </w:rPr>
      </w:pPr>
    </w:p>
    <w:p>
      <w:pPr>
        <w:spacing w:line="500" w:lineRule="atLeast"/>
        <w:rPr>
          <w:rFonts w:ascii="仿宋" w:hAnsi="仿宋" w:eastAsia="仿宋" w:cs="仿宋"/>
          <w:b/>
          <w:bCs/>
          <w:color w:val="auto"/>
          <w:highlight w:val="none"/>
        </w:rPr>
      </w:pPr>
    </w:p>
    <w:p>
      <w:pPr>
        <w:spacing w:line="500" w:lineRule="atLeast"/>
        <w:rPr>
          <w:rFonts w:ascii="仿宋" w:hAnsi="仿宋" w:eastAsia="仿宋" w:cs="仿宋"/>
          <w:b/>
          <w:bCs/>
          <w:color w:val="auto"/>
          <w:highlight w:val="none"/>
        </w:rPr>
      </w:pPr>
    </w:p>
    <w:p>
      <w:pPr>
        <w:spacing w:line="500" w:lineRule="atLeast"/>
        <w:rPr>
          <w:rFonts w:ascii="仿宋" w:hAnsi="仿宋" w:eastAsia="仿宋" w:cs="仿宋"/>
          <w:b/>
          <w:bCs/>
          <w:color w:val="auto"/>
          <w:highlight w:val="none"/>
        </w:rPr>
      </w:pPr>
    </w:p>
    <w:p>
      <w:pPr>
        <w:spacing w:line="500" w:lineRule="atLeast"/>
        <w:rPr>
          <w:rFonts w:ascii="仿宋" w:hAnsi="仿宋" w:eastAsia="仿宋" w:cs="仿宋"/>
          <w:b/>
          <w:bCs/>
          <w:color w:val="auto"/>
          <w:highlight w:val="none"/>
        </w:rPr>
      </w:pPr>
    </w:p>
    <w:p>
      <w:pPr>
        <w:spacing w:line="500" w:lineRule="atLeast"/>
        <w:rPr>
          <w:rFonts w:ascii="仿宋" w:hAnsi="仿宋" w:eastAsia="仿宋" w:cs="仿宋"/>
          <w:b/>
          <w:bCs/>
          <w:color w:val="auto"/>
          <w:highlight w:val="none"/>
        </w:rPr>
      </w:pPr>
    </w:p>
    <w:p>
      <w:pPr>
        <w:spacing w:line="500" w:lineRule="atLeast"/>
        <w:rPr>
          <w:rFonts w:ascii="仿宋" w:hAnsi="仿宋" w:eastAsia="仿宋" w:cs="仿宋"/>
          <w:b/>
          <w:bCs/>
          <w:color w:val="auto"/>
          <w:highlight w:val="none"/>
        </w:rPr>
      </w:pPr>
    </w:p>
    <w:p>
      <w:pPr>
        <w:spacing w:line="500" w:lineRule="atLeast"/>
        <w:rPr>
          <w:rFonts w:ascii="仿宋" w:hAnsi="仿宋" w:eastAsia="仿宋" w:cs="仿宋"/>
          <w:b/>
          <w:bCs/>
          <w:color w:val="auto"/>
          <w:highlight w:val="none"/>
        </w:rPr>
      </w:pPr>
    </w:p>
    <w:p>
      <w:pPr>
        <w:spacing w:line="500" w:lineRule="atLeast"/>
        <w:rPr>
          <w:rFonts w:ascii="仿宋" w:hAnsi="仿宋" w:eastAsia="仿宋" w:cs="仿宋"/>
          <w:b/>
          <w:bCs/>
          <w:color w:val="auto"/>
          <w:highlight w:val="none"/>
        </w:rPr>
      </w:pPr>
    </w:p>
    <w:p>
      <w:pPr>
        <w:spacing w:line="500" w:lineRule="atLeast"/>
        <w:rPr>
          <w:rFonts w:ascii="仿宋" w:hAnsi="仿宋" w:eastAsia="仿宋" w:cs="仿宋"/>
          <w:b/>
          <w:bCs/>
          <w:color w:val="auto"/>
          <w:highlight w:val="none"/>
        </w:rPr>
      </w:pPr>
    </w:p>
    <w:p>
      <w:pPr>
        <w:spacing w:line="500" w:lineRule="atLeast"/>
        <w:rPr>
          <w:rFonts w:ascii="仿宋" w:hAnsi="仿宋" w:eastAsia="仿宋" w:cs="仿宋"/>
          <w:b/>
          <w:bCs/>
          <w:color w:val="auto"/>
          <w:highlight w:val="none"/>
        </w:rPr>
      </w:pPr>
    </w:p>
    <w:p>
      <w:pPr>
        <w:spacing w:line="500" w:lineRule="atLeast"/>
        <w:rPr>
          <w:rFonts w:ascii="仿宋" w:hAnsi="仿宋" w:eastAsia="仿宋" w:cs="仿宋"/>
          <w:b/>
          <w:bCs/>
          <w:color w:val="auto"/>
          <w:highlight w:val="none"/>
        </w:rPr>
      </w:pPr>
    </w:p>
    <w:p>
      <w:pPr>
        <w:spacing w:line="500" w:lineRule="atLeast"/>
        <w:rPr>
          <w:rFonts w:ascii="仿宋" w:hAnsi="仿宋" w:eastAsia="仿宋" w:cs="仿宋"/>
          <w:b/>
          <w:bCs/>
          <w:color w:val="auto"/>
          <w:highlight w:val="none"/>
        </w:rPr>
      </w:pPr>
    </w:p>
    <w:p>
      <w:pPr>
        <w:spacing w:line="500" w:lineRule="atLeast"/>
        <w:rPr>
          <w:rFonts w:ascii="仿宋" w:hAnsi="仿宋" w:eastAsia="仿宋" w:cs="仿宋"/>
          <w:b/>
          <w:bCs/>
          <w:color w:val="auto"/>
          <w:highlight w:val="none"/>
        </w:rPr>
      </w:pPr>
    </w:p>
    <w:p>
      <w:pPr>
        <w:spacing w:line="500" w:lineRule="atLeas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(一)拟投入的主要施工机械设备表</w:t>
      </w:r>
    </w:p>
    <w:tbl>
      <w:tblPr>
        <w:tblStyle w:val="41"/>
        <w:tblW w:w="8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76"/>
        <w:gridCol w:w="1052"/>
        <w:gridCol w:w="1052"/>
        <w:gridCol w:w="1052"/>
        <w:gridCol w:w="1061"/>
        <w:gridCol w:w="1065"/>
        <w:gridCol w:w="1052"/>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77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机械设备名称</w:t>
            </w:r>
          </w:p>
        </w:tc>
        <w:tc>
          <w:tcPr>
            <w:tcW w:w="1052"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型号</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规格</w:t>
            </w:r>
          </w:p>
        </w:tc>
        <w:tc>
          <w:tcPr>
            <w:tcW w:w="1052"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1052"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国别</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产地</w:t>
            </w:r>
          </w:p>
        </w:tc>
        <w:tc>
          <w:tcPr>
            <w:tcW w:w="1061"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年份</w:t>
            </w:r>
          </w:p>
        </w:tc>
        <w:tc>
          <w:tcPr>
            <w:tcW w:w="1065"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额定</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功率</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(KW)</w:t>
            </w:r>
          </w:p>
        </w:tc>
        <w:tc>
          <w:tcPr>
            <w:tcW w:w="1052"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生产</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能力</w:t>
            </w:r>
          </w:p>
        </w:tc>
        <w:tc>
          <w:tcPr>
            <w:tcW w:w="1052"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jc w:val="center"/>
        </w:trPr>
        <w:tc>
          <w:tcPr>
            <w:tcW w:w="770"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776"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1"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5"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776"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1"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5"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776"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1"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5"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776"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1"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5"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776"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1"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5"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776"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1"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5"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776"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1"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5"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776"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1"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5"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776"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1"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5"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776"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1"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5"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776"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1"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5"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776"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1"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5"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776"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1"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5"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770"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776"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1"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65"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c>
          <w:tcPr>
            <w:tcW w:w="1052" w:type="dxa"/>
          </w:tcPr>
          <w:p>
            <w:pPr>
              <w:autoSpaceDE w:val="0"/>
              <w:autoSpaceDN w:val="0"/>
              <w:adjustRightInd w:val="0"/>
              <w:spacing w:line="500" w:lineRule="atLeast"/>
              <w:ind w:firstLine="567"/>
              <w:rPr>
                <w:rFonts w:ascii="仿宋" w:hAnsi="仿宋" w:eastAsia="仿宋" w:cs="仿宋"/>
                <w:color w:val="auto"/>
                <w:sz w:val="24"/>
                <w:szCs w:val="24"/>
                <w:highlight w:val="none"/>
              </w:rPr>
            </w:pPr>
          </w:p>
        </w:tc>
      </w:tr>
    </w:tbl>
    <w:p>
      <w:pPr>
        <w:autoSpaceDE w:val="0"/>
        <w:autoSpaceDN w:val="0"/>
        <w:adjustRightInd w:val="0"/>
        <w:spacing w:line="500" w:lineRule="atLeast"/>
        <w:ind w:firstLine="567"/>
        <w:rPr>
          <w:rFonts w:ascii="仿宋" w:hAnsi="仿宋" w:eastAsia="仿宋" w:cs="仿宋"/>
          <w:color w:val="auto"/>
          <w:sz w:val="24"/>
          <w:szCs w:val="24"/>
          <w:highlight w:val="none"/>
        </w:rPr>
      </w:pPr>
    </w:p>
    <w:p>
      <w:pPr>
        <w:autoSpaceDE w:val="0"/>
        <w:autoSpaceDN w:val="0"/>
        <w:adjustRightInd w:val="0"/>
        <w:spacing w:line="500" w:lineRule="atLeast"/>
        <w:ind w:firstLine="567"/>
        <w:rPr>
          <w:rFonts w:ascii="仿宋" w:hAnsi="仿宋" w:eastAsia="仿宋" w:cs="仿宋"/>
          <w:color w:val="auto"/>
          <w:sz w:val="24"/>
          <w:szCs w:val="24"/>
          <w:highlight w:val="none"/>
        </w:rPr>
      </w:pPr>
    </w:p>
    <w:p>
      <w:pPr>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4"/>
          <w:szCs w:val="24"/>
          <w:highlight w:val="none"/>
        </w:rPr>
        <w:t>(二)劳动力计划表</w:t>
      </w:r>
    </w:p>
    <w:p>
      <w:pPr>
        <w:autoSpaceDE w:val="0"/>
        <w:autoSpaceDN w:val="0"/>
        <w:adjustRightInd w:val="0"/>
        <w:spacing w:line="500" w:lineRule="atLeast"/>
        <w:ind w:firstLine="5586" w:firstLineChars="1995"/>
        <w:rPr>
          <w:rFonts w:ascii="仿宋" w:hAnsi="仿宋" w:eastAsia="仿宋" w:cs="仿宋"/>
          <w:bCs/>
          <w:color w:val="auto"/>
          <w:sz w:val="24"/>
          <w:szCs w:val="24"/>
          <w:highlight w:val="none"/>
        </w:rPr>
      </w:pPr>
      <w:r>
        <w:rPr>
          <w:rFonts w:hint="eastAsia" w:ascii="仿宋" w:hAnsi="仿宋" w:eastAsia="仿宋" w:cs="仿宋"/>
          <w:color w:val="auto"/>
          <w:sz w:val="28"/>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单位</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人</w:t>
      </w:r>
    </w:p>
    <w:tbl>
      <w:tblPr>
        <w:tblStyle w:val="41"/>
        <w:tblW w:w="8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821"/>
        <w:gridCol w:w="822"/>
        <w:gridCol w:w="822"/>
        <w:gridCol w:w="822"/>
        <w:gridCol w:w="821"/>
        <w:gridCol w:w="822"/>
        <w:gridCol w:w="822"/>
        <w:gridCol w:w="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540" w:type="dxa"/>
            <w:vMerge w:val="restart"/>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工种级别</w:t>
            </w:r>
          </w:p>
        </w:tc>
        <w:tc>
          <w:tcPr>
            <w:tcW w:w="7084" w:type="dxa"/>
            <w:gridSpan w:val="9"/>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jc w:val="center"/>
        </w:trPr>
        <w:tc>
          <w:tcPr>
            <w:tcW w:w="1540" w:type="dxa"/>
            <w:vMerge w:val="continue"/>
            <w:vAlign w:val="center"/>
          </w:tcPr>
          <w:p>
            <w:pPr>
              <w:autoSpaceDE w:val="0"/>
              <w:autoSpaceDN w:val="0"/>
              <w:adjustRightInd w:val="0"/>
              <w:spacing w:line="500" w:lineRule="atLeast"/>
              <w:ind w:firstLine="567"/>
              <w:jc w:val="center"/>
              <w:rPr>
                <w:rFonts w:ascii="仿宋" w:hAnsi="仿宋" w:eastAsia="仿宋" w:cs="仿宋"/>
                <w:bCs/>
                <w:color w:val="auto"/>
                <w:sz w:val="28"/>
                <w:highlight w:val="none"/>
              </w:rPr>
            </w:pPr>
          </w:p>
        </w:tc>
        <w:tc>
          <w:tcPr>
            <w:tcW w:w="821" w:type="dxa"/>
            <w:vAlign w:val="center"/>
          </w:tcPr>
          <w:p>
            <w:pPr>
              <w:autoSpaceDE w:val="0"/>
              <w:autoSpaceDN w:val="0"/>
              <w:adjustRightInd w:val="0"/>
              <w:spacing w:line="500" w:lineRule="atLeast"/>
              <w:ind w:firstLine="567"/>
              <w:jc w:val="center"/>
              <w:rPr>
                <w:rFonts w:ascii="仿宋" w:hAnsi="仿宋" w:eastAsia="仿宋" w:cs="仿宋"/>
                <w:bCs/>
                <w:color w:val="auto"/>
                <w:sz w:val="28"/>
                <w:highlight w:val="none"/>
              </w:rPr>
            </w:pPr>
          </w:p>
        </w:tc>
        <w:tc>
          <w:tcPr>
            <w:tcW w:w="822" w:type="dxa"/>
            <w:vAlign w:val="center"/>
          </w:tcPr>
          <w:p>
            <w:pPr>
              <w:autoSpaceDE w:val="0"/>
              <w:autoSpaceDN w:val="0"/>
              <w:adjustRightInd w:val="0"/>
              <w:spacing w:line="500" w:lineRule="atLeast"/>
              <w:ind w:firstLine="567"/>
              <w:jc w:val="center"/>
              <w:rPr>
                <w:rFonts w:ascii="仿宋" w:hAnsi="仿宋" w:eastAsia="仿宋" w:cs="仿宋"/>
                <w:bCs/>
                <w:color w:val="auto"/>
                <w:sz w:val="28"/>
                <w:highlight w:val="none"/>
              </w:rPr>
            </w:pPr>
          </w:p>
        </w:tc>
        <w:tc>
          <w:tcPr>
            <w:tcW w:w="822" w:type="dxa"/>
            <w:vAlign w:val="center"/>
          </w:tcPr>
          <w:p>
            <w:pPr>
              <w:autoSpaceDE w:val="0"/>
              <w:autoSpaceDN w:val="0"/>
              <w:adjustRightInd w:val="0"/>
              <w:spacing w:line="500" w:lineRule="atLeast"/>
              <w:ind w:firstLine="567"/>
              <w:jc w:val="center"/>
              <w:rPr>
                <w:rFonts w:ascii="仿宋" w:hAnsi="仿宋" w:eastAsia="仿宋" w:cs="仿宋"/>
                <w:bCs/>
                <w:color w:val="auto"/>
                <w:sz w:val="28"/>
                <w:highlight w:val="none"/>
              </w:rPr>
            </w:pPr>
          </w:p>
        </w:tc>
        <w:tc>
          <w:tcPr>
            <w:tcW w:w="822" w:type="dxa"/>
            <w:vAlign w:val="center"/>
          </w:tcPr>
          <w:p>
            <w:pPr>
              <w:autoSpaceDE w:val="0"/>
              <w:autoSpaceDN w:val="0"/>
              <w:adjustRightInd w:val="0"/>
              <w:spacing w:line="500" w:lineRule="atLeast"/>
              <w:ind w:firstLine="567"/>
              <w:jc w:val="center"/>
              <w:rPr>
                <w:rFonts w:ascii="仿宋" w:hAnsi="仿宋" w:eastAsia="仿宋" w:cs="仿宋"/>
                <w:bCs/>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1332" w:type="dxa"/>
            <w:gridSpan w:val="2"/>
          </w:tcPr>
          <w:p>
            <w:pPr>
              <w:autoSpaceDE w:val="0"/>
              <w:autoSpaceDN w:val="0"/>
              <w:adjustRightInd w:val="0"/>
              <w:spacing w:line="500" w:lineRule="atLeast"/>
              <w:ind w:firstLine="567"/>
              <w:rPr>
                <w:rFonts w:ascii="仿宋" w:hAnsi="仿宋" w:eastAsia="仿宋" w:cs="仿宋"/>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8" w:type="dxa"/>
            <w:gridSpan w:val="2"/>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1326" w:type="dxa"/>
          </w:tcPr>
          <w:p>
            <w:pPr>
              <w:autoSpaceDE w:val="0"/>
              <w:autoSpaceDN w:val="0"/>
              <w:adjustRightInd w:val="0"/>
              <w:spacing w:line="500" w:lineRule="atLeast"/>
              <w:ind w:firstLine="567"/>
              <w:rPr>
                <w:rFonts w:ascii="仿宋" w:hAnsi="仿宋" w:eastAsia="仿宋" w:cs="仿宋"/>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8" w:type="dxa"/>
            <w:gridSpan w:val="2"/>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1326" w:type="dxa"/>
          </w:tcPr>
          <w:p>
            <w:pPr>
              <w:autoSpaceDE w:val="0"/>
              <w:autoSpaceDN w:val="0"/>
              <w:adjustRightInd w:val="0"/>
              <w:spacing w:line="500" w:lineRule="atLeast"/>
              <w:ind w:firstLine="567"/>
              <w:rPr>
                <w:rFonts w:ascii="仿宋" w:hAnsi="仿宋" w:eastAsia="仿宋" w:cs="仿宋"/>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8" w:type="dxa"/>
            <w:gridSpan w:val="2"/>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1326" w:type="dxa"/>
          </w:tcPr>
          <w:p>
            <w:pPr>
              <w:autoSpaceDE w:val="0"/>
              <w:autoSpaceDN w:val="0"/>
              <w:adjustRightInd w:val="0"/>
              <w:spacing w:line="500" w:lineRule="atLeast"/>
              <w:ind w:firstLine="567"/>
              <w:rPr>
                <w:rFonts w:ascii="仿宋" w:hAnsi="仿宋" w:eastAsia="仿宋" w:cs="仿宋"/>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8" w:type="dxa"/>
            <w:gridSpan w:val="2"/>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1326" w:type="dxa"/>
          </w:tcPr>
          <w:p>
            <w:pPr>
              <w:autoSpaceDE w:val="0"/>
              <w:autoSpaceDN w:val="0"/>
              <w:adjustRightInd w:val="0"/>
              <w:spacing w:line="500" w:lineRule="atLeast"/>
              <w:ind w:firstLine="567"/>
              <w:rPr>
                <w:rFonts w:ascii="仿宋" w:hAnsi="仿宋" w:eastAsia="仿宋" w:cs="仿宋"/>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8" w:type="dxa"/>
            <w:gridSpan w:val="2"/>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1326" w:type="dxa"/>
          </w:tcPr>
          <w:p>
            <w:pPr>
              <w:autoSpaceDE w:val="0"/>
              <w:autoSpaceDN w:val="0"/>
              <w:adjustRightInd w:val="0"/>
              <w:spacing w:line="500" w:lineRule="atLeast"/>
              <w:ind w:firstLine="567"/>
              <w:rPr>
                <w:rFonts w:ascii="仿宋" w:hAnsi="仿宋" w:eastAsia="仿宋" w:cs="仿宋"/>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8" w:type="dxa"/>
            <w:gridSpan w:val="2"/>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1326" w:type="dxa"/>
          </w:tcPr>
          <w:p>
            <w:pPr>
              <w:autoSpaceDE w:val="0"/>
              <w:autoSpaceDN w:val="0"/>
              <w:adjustRightInd w:val="0"/>
              <w:spacing w:line="500" w:lineRule="atLeast"/>
              <w:ind w:firstLine="567"/>
              <w:rPr>
                <w:rFonts w:ascii="仿宋" w:hAnsi="仿宋" w:eastAsia="仿宋" w:cs="仿宋"/>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828" w:type="dxa"/>
            <w:gridSpan w:val="2"/>
          </w:tcPr>
          <w:p>
            <w:pPr>
              <w:autoSpaceDE w:val="0"/>
              <w:autoSpaceDN w:val="0"/>
              <w:adjustRightInd w:val="0"/>
              <w:spacing w:line="500" w:lineRule="atLeast"/>
              <w:ind w:firstLine="567"/>
              <w:rPr>
                <w:rFonts w:ascii="仿宋" w:hAnsi="仿宋" w:eastAsia="仿宋" w:cs="仿宋"/>
                <w:bCs/>
                <w:color w:val="auto"/>
                <w:sz w:val="28"/>
                <w:highlight w:val="none"/>
              </w:rPr>
            </w:pPr>
          </w:p>
        </w:tc>
        <w:tc>
          <w:tcPr>
            <w:tcW w:w="1326" w:type="dxa"/>
          </w:tcPr>
          <w:p>
            <w:pPr>
              <w:autoSpaceDE w:val="0"/>
              <w:autoSpaceDN w:val="0"/>
              <w:adjustRightInd w:val="0"/>
              <w:spacing w:line="500" w:lineRule="atLeast"/>
              <w:ind w:firstLine="567"/>
              <w:rPr>
                <w:rFonts w:ascii="仿宋" w:hAnsi="仿宋" w:eastAsia="仿宋" w:cs="仿宋"/>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8" w:type="dxa"/>
            <w:gridSpan w:val="2"/>
          </w:tcPr>
          <w:p>
            <w:pPr>
              <w:autoSpaceDE w:val="0"/>
              <w:autoSpaceDN w:val="0"/>
              <w:adjustRightInd w:val="0"/>
              <w:spacing w:line="500" w:lineRule="atLeast"/>
              <w:ind w:firstLine="567"/>
              <w:rPr>
                <w:rFonts w:ascii="仿宋" w:hAnsi="仿宋" w:eastAsia="仿宋" w:cs="仿宋"/>
                <w:color w:val="auto"/>
                <w:sz w:val="28"/>
                <w:highlight w:val="none"/>
              </w:rPr>
            </w:pPr>
          </w:p>
        </w:tc>
        <w:tc>
          <w:tcPr>
            <w:tcW w:w="1326" w:type="dxa"/>
          </w:tcPr>
          <w:p>
            <w:pPr>
              <w:autoSpaceDE w:val="0"/>
              <w:autoSpaceDN w:val="0"/>
              <w:adjustRightInd w:val="0"/>
              <w:spacing w:line="500" w:lineRule="atLeast"/>
              <w:ind w:firstLine="567"/>
              <w:rPr>
                <w:rFonts w:ascii="仿宋" w:hAnsi="仿宋" w:eastAsia="仿宋" w:cs="仿宋"/>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8" w:type="dxa"/>
            <w:gridSpan w:val="2"/>
          </w:tcPr>
          <w:p>
            <w:pPr>
              <w:autoSpaceDE w:val="0"/>
              <w:autoSpaceDN w:val="0"/>
              <w:adjustRightInd w:val="0"/>
              <w:spacing w:line="500" w:lineRule="atLeast"/>
              <w:ind w:firstLine="567"/>
              <w:rPr>
                <w:rFonts w:ascii="仿宋" w:hAnsi="仿宋" w:eastAsia="仿宋" w:cs="仿宋"/>
                <w:color w:val="auto"/>
                <w:sz w:val="28"/>
                <w:highlight w:val="none"/>
              </w:rPr>
            </w:pPr>
          </w:p>
        </w:tc>
        <w:tc>
          <w:tcPr>
            <w:tcW w:w="1326" w:type="dxa"/>
          </w:tcPr>
          <w:p>
            <w:pPr>
              <w:autoSpaceDE w:val="0"/>
              <w:autoSpaceDN w:val="0"/>
              <w:adjustRightInd w:val="0"/>
              <w:spacing w:line="500" w:lineRule="atLeast"/>
              <w:ind w:firstLine="567"/>
              <w:rPr>
                <w:rFonts w:ascii="仿宋" w:hAnsi="仿宋" w:eastAsia="仿宋" w:cs="仿宋"/>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8" w:type="dxa"/>
            <w:gridSpan w:val="2"/>
          </w:tcPr>
          <w:p>
            <w:pPr>
              <w:autoSpaceDE w:val="0"/>
              <w:autoSpaceDN w:val="0"/>
              <w:adjustRightInd w:val="0"/>
              <w:spacing w:line="500" w:lineRule="atLeast"/>
              <w:ind w:firstLine="567"/>
              <w:rPr>
                <w:rFonts w:ascii="仿宋" w:hAnsi="仿宋" w:eastAsia="仿宋" w:cs="仿宋"/>
                <w:color w:val="auto"/>
                <w:sz w:val="28"/>
                <w:highlight w:val="none"/>
              </w:rPr>
            </w:pPr>
          </w:p>
        </w:tc>
        <w:tc>
          <w:tcPr>
            <w:tcW w:w="1326" w:type="dxa"/>
          </w:tcPr>
          <w:p>
            <w:pPr>
              <w:autoSpaceDE w:val="0"/>
              <w:autoSpaceDN w:val="0"/>
              <w:adjustRightInd w:val="0"/>
              <w:spacing w:line="500" w:lineRule="atLeast"/>
              <w:ind w:firstLine="567"/>
              <w:rPr>
                <w:rFonts w:ascii="仿宋" w:hAnsi="仿宋" w:eastAsia="仿宋" w:cs="仿宋"/>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8" w:type="dxa"/>
            <w:gridSpan w:val="2"/>
          </w:tcPr>
          <w:p>
            <w:pPr>
              <w:autoSpaceDE w:val="0"/>
              <w:autoSpaceDN w:val="0"/>
              <w:adjustRightInd w:val="0"/>
              <w:spacing w:line="500" w:lineRule="atLeast"/>
              <w:ind w:firstLine="567"/>
              <w:rPr>
                <w:rFonts w:ascii="仿宋" w:hAnsi="仿宋" w:eastAsia="仿宋" w:cs="仿宋"/>
                <w:color w:val="auto"/>
                <w:sz w:val="28"/>
                <w:highlight w:val="none"/>
              </w:rPr>
            </w:pPr>
          </w:p>
        </w:tc>
        <w:tc>
          <w:tcPr>
            <w:tcW w:w="1326" w:type="dxa"/>
          </w:tcPr>
          <w:p>
            <w:pPr>
              <w:autoSpaceDE w:val="0"/>
              <w:autoSpaceDN w:val="0"/>
              <w:adjustRightInd w:val="0"/>
              <w:spacing w:line="500" w:lineRule="atLeast"/>
              <w:ind w:firstLine="567"/>
              <w:rPr>
                <w:rFonts w:ascii="仿宋" w:hAnsi="仿宋" w:eastAsia="仿宋" w:cs="仿宋"/>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8" w:type="dxa"/>
            <w:gridSpan w:val="2"/>
          </w:tcPr>
          <w:p>
            <w:pPr>
              <w:autoSpaceDE w:val="0"/>
              <w:autoSpaceDN w:val="0"/>
              <w:adjustRightInd w:val="0"/>
              <w:spacing w:line="500" w:lineRule="atLeast"/>
              <w:ind w:firstLine="567"/>
              <w:rPr>
                <w:rFonts w:ascii="仿宋" w:hAnsi="仿宋" w:eastAsia="仿宋" w:cs="仿宋"/>
                <w:color w:val="auto"/>
                <w:sz w:val="28"/>
                <w:highlight w:val="none"/>
              </w:rPr>
            </w:pPr>
          </w:p>
        </w:tc>
        <w:tc>
          <w:tcPr>
            <w:tcW w:w="1326" w:type="dxa"/>
          </w:tcPr>
          <w:p>
            <w:pPr>
              <w:autoSpaceDE w:val="0"/>
              <w:autoSpaceDN w:val="0"/>
              <w:adjustRightInd w:val="0"/>
              <w:spacing w:line="500" w:lineRule="atLeast"/>
              <w:ind w:firstLine="567"/>
              <w:rPr>
                <w:rFonts w:ascii="仿宋" w:hAnsi="仿宋" w:eastAsia="仿宋" w:cs="仿宋"/>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8" w:type="dxa"/>
            <w:gridSpan w:val="2"/>
          </w:tcPr>
          <w:p>
            <w:pPr>
              <w:autoSpaceDE w:val="0"/>
              <w:autoSpaceDN w:val="0"/>
              <w:adjustRightInd w:val="0"/>
              <w:spacing w:line="500" w:lineRule="atLeast"/>
              <w:ind w:firstLine="567"/>
              <w:rPr>
                <w:rFonts w:ascii="仿宋" w:hAnsi="仿宋" w:eastAsia="仿宋" w:cs="仿宋"/>
                <w:color w:val="auto"/>
                <w:sz w:val="28"/>
                <w:highlight w:val="none"/>
              </w:rPr>
            </w:pPr>
          </w:p>
        </w:tc>
        <w:tc>
          <w:tcPr>
            <w:tcW w:w="1326" w:type="dxa"/>
          </w:tcPr>
          <w:p>
            <w:pPr>
              <w:autoSpaceDE w:val="0"/>
              <w:autoSpaceDN w:val="0"/>
              <w:adjustRightInd w:val="0"/>
              <w:spacing w:line="500" w:lineRule="atLeast"/>
              <w:ind w:firstLine="567"/>
              <w:rPr>
                <w:rFonts w:ascii="仿宋" w:hAnsi="仿宋" w:eastAsia="仿宋" w:cs="仿宋"/>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1"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2" w:type="dxa"/>
          </w:tcPr>
          <w:p>
            <w:pPr>
              <w:autoSpaceDE w:val="0"/>
              <w:autoSpaceDN w:val="0"/>
              <w:adjustRightInd w:val="0"/>
              <w:spacing w:line="500" w:lineRule="atLeast"/>
              <w:ind w:firstLine="567"/>
              <w:rPr>
                <w:rFonts w:ascii="仿宋" w:hAnsi="仿宋" w:eastAsia="仿宋" w:cs="仿宋"/>
                <w:color w:val="auto"/>
                <w:sz w:val="28"/>
                <w:highlight w:val="none"/>
              </w:rPr>
            </w:pPr>
          </w:p>
        </w:tc>
        <w:tc>
          <w:tcPr>
            <w:tcW w:w="828" w:type="dxa"/>
            <w:gridSpan w:val="2"/>
          </w:tcPr>
          <w:p>
            <w:pPr>
              <w:autoSpaceDE w:val="0"/>
              <w:autoSpaceDN w:val="0"/>
              <w:adjustRightInd w:val="0"/>
              <w:spacing w:line="500" w:lineRule="atLeast"/>
              <w:ind w:firstLine="567"/>
              <w:rPr>
                <w:rFonts w:ascii="仿宋" w:hAnsi="仿宋" w:eastAsia="仿宋" w:cs="仿宋"/>
                <w:color w:val="auto"/>
                <w:sz w:val="28"/>
                <w:highlight w:val="none"/>
              </w:rPr>
            </w:pPr>
          </w:p>
        </w:tc>
        <w:tc>
          <w:tcPr>
            <w:tcW w:w="1326" w:type="dxa"/>
          </w:tcPr>
          <w:p>
            <w:pPr>
              <w:autoSpaceDE w:val="0"/>
              <w:autoSpaceDN w:val="0"/>
              <w:adjustRightInd w:val="0"/>
              <w:spacing w:line="500" w:lineRule="atLeast"/>
              <w:ind w:firstLine="567"/>
              <w:rPr>
                <w:rFonts w:ascii="仿宋" w:hAnsi="仿宋" w:eastAsia="仿宋" w:cs="仿宋"/>
                <w:color w:val="auto"/>
                <w:sz w:val="28"/>
                <w:highlight w:val="none"/>
              </w:rPr>
            </w:pPr>
          </w:p>
        </w:tc>
      </w:tr>
    </w:tbl>
    <w:p>
      <w:pPr>
        <w:autoSpaceDE w:val="0"/>
        <w:autoSpaceDN w:val="0"/>
        <w:adjustRightInd w:val="0"/>
        <w:spacing w:line="500" w:lineRule="atLeast"/>
        <w:ind w:firstLine="567"/>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注：投标人应按所列格式提交包括分包人在内的估计的劳动力计划表。</w:t>
      </w:r>
    </w:p>
    <w:p>
      <w:pPr>
        <w:autoSpaceDE w:val="0"/>
        <w:autoSpaceDN w:val="0"/>
        <w:adjustRightInd w:val="0"/>
        <w:spacing w:line="500" w:lineRule="atLeast"/>
        <w:ind w:firstLine="56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本计划表是以每班八小时工作制为基础的。</w:t>
      </w:r>
    </w:p>
    <w:p>
      <w:pPr>
        <w:spacing w:line="500" w:lineRule="atLeast"/>
        <w:jc w:val="center"/>
        <w:rPr>
          <w:rFonts w:ascii="仿宋" w:hAnsi="仿宋" w:eastAsia="仿宋" w:cs="仿宋"/>
          <w:color w:val="auto"/>
          <w:sz w:val="24"/>
          <w:szCs w:val="24"/>
          <w:highlight w:val="none"/>
        </w:rPr>
      </w:pPr>
    </w:p>
    <w:p>
      <w:pPr>
        <w:spacing w:line="500" w:lineRule="atLeas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(三)计划开、竣工日期和施工进度网络图</w:t>
      </w:r>
    </w:p>
    <w:p>
      <w:pPr>
        <w:overflowPunct w:val="0"/>
        <w:autoSpaceDE w:val="0"/>
        <w:autoSpaceDN w:val="0"/>
        <w:adjustRightIn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投标人应提交的施工进度网络图或施工进度表，说明按磋商文件要求的工期进行施工的各个关键日期。中标的投标人还要按合同条件有关条款的要求提交详细的施工进度计划。</w:t>
      </w:r>
    </w:p>
    <w:p>
      <w:pPr>
        <w:overflowPunct w:val="0"/>
        <w:autoSpaceDE w:val="0"/>
        <w:autoSpaceDN w:val="0"/>
        <w:adjustRightIn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施工进度表可采用关键线路网络图表示，说明计划开工日期和各分项工程各阶段的完工日期。</w:t>
      </w:r>
    </w:p>
    <w:p>
      <w:pPr>
        <w:overflowPunct w:val="0"/>
        <w:autoSpaceDE w:val="0"/>
        <w:autoSpaceDN w:val="0"/>
        <w:adjustRightIn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施工进度计划应与施工组织设计或施工方案相适应。</w:t>
      </w:r>
    </w:p>
    <w:p>
      <w:pPr>
        <w:autoSpaceDE w:val="0"/>
        <w:autoSpaceDN w:val="0"/>
        <w:adjustRightInd w:val="0"/>
        <w:spacing w:line="500" w:lineRule="atLeast"/>
        <w:ind w:firstLine="567"/>
        <w:rPr>
          <w:rFonts w:ascii="仿宋" w:hAnsi="仿宋" w:eastAsia="仿宋" w:cs="仿宋"/>
          <w:color w:val="auto"/>
          <w:highlight w:val="none"/>
        </w:rPr>
      </w:pPr>
    </w:p>
    <w:p>
      <w:pPr>
        <w:spacing w:line="500" w:lineRule="atLeas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(四)施工总平面布置图及临时用地表</w:t>
      </w:r>
    </w:p>
    <w:p>
      <w:pPr>
        <w:autoSpaceDE w:val="0"/>
        <w:autoSpaceDN w:val="0"/>
        <w:adjustRightInd w:val="0"/>
        <w:spacing w:line="500" w:lineRule="atLeas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1、施工总平面布置图</w:t>
      </w:r>
    </w:p>
    <w:p>
      <w:pPr>
        <w:autoSpaceDE w:val="0"/>
        <w:autoSpaceDN w:val="0"/>
        <w:adjustRightIn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投标人应提交一份施工总平面图，给出现场临时设施布置图表并附文字说明，说明临时设施、加工车间、现场办公、设备及仓储、供电、供水、卫生、生活等设施的情况和布置。</w:t>
      </w:r>
    </w:p>
    <w:p>
      <w:pPr>
        <w:autoSpaceDE w:val="0"/>
        <w:autoSpaceDN w:val="0"/>
        <w:adjustRightInd w:val="0"/>
        <w:spacing w:line="500" w:lineRule="atLeas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2、临时用地表</w:t>
      </w:r>
    </w:p>
    <w:tbl>
      <w:tblPr>
        <w:tblStyle w:val="41"/>
        <w:tblW w:w="9246"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246"/>
        <w:gridCol w:w="2530"/>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vAlign w:val="center"/>
          </w:tcPr>
          <w:p>
            <w:pPr>
              <w:autoSpaceDE w:val="0"/>
              <w:autoSpaceDN w:val="0"/>
              <w:adjustRightIn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用途</w:t>
            </w:r>
          </w:p>
        </w:tc>
        <w:tc>
          <w:tcPr>
            <w:tcW w:w="2246" w:type="dxa"/>
            <w:vAlign w:val="center"/>
          </w:tcPr>
          <w:p>
            <w:pPr>
              <w:autoSpaceDE w:val="0"/>
              <w:autoSpaceDN w:val="0"/>
              <w:adjustRightIn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面积（平方米）</w:t>
            </w:r>
          </w:p>
        </w:tc>
        <w:tc>
          <w:tcPr>
            <w:tcW w:w="2530" w:type="dxa"/>
            <w:vAlign w:val="center"/>
          </w:tcPr>
          <w:p>
            <w:pPr>
              <w:autoSpaceDE w:val="0"/>
              <w:autoSpaceDN w:val="0"/>
              <w:adjustRightIn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位置</w:t>
            </w:r>
          </w:p>
        </w:tc>
        <w:tc>
          <w:tcPr>
            <w:tcW w:w="3268" w:type="dxa"/>
            <w:vAlign w:val="center"/>
          </w:tcPr>
          <w:p>
            <w:pPr>
              <w:autoSpaceDE w:val="0"/>
              <w:autoSpaceDN w:val="0"/>
              <w:adjustRightInd w:val="0"/>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1202" w:type="dxa"/>
            <w:vAlign w:val="center"/>
          </w:tcPr>
          <w:p>
            <w:pPr>
              <w:autoSpaceDE w:val="0"/>
              <w:autoSpaceDN w:val="0"/>
              <w:adjustRightInd w:val="0"/>
              <w:spacing w:line="500" w:lineRule="atLeast"/>
              <w:jc w:val="center"/>
              <w:rPr>
                <w:rFonts w:ascii="仿宋" w:hAnsi="仿宋" w:eastAsia="仿宋" w:cs="仿宋"/>
                <w:color w:val="auto"/>
                <w:sz w:val="24"/>
                <w:szCs w:val="24"/>
                <w:highlight w:val="none"/>
              </w:rPr>
            </w:pPr>
          </w:p>
        </w:tc>
        <w:tc>
          <w:tcPr>
            <w:tcW w:w="2246" w:type="dxa"/>
            <w:vAlign w:val="center"/>
          </w:tcPr>
          <w:p>
            <w:pPr>
              <w:autoSpaceDE w:val="0"/>
              <w:autoSpaceDN w:val="0"/>
              <w:adjustRightInd w:val="0"/>
              <w:spacing w:line="500" w:lineRule="atLeast"/>
              <w:jc w:val="center"/>
              <w:rPr>
                <w:rFonts w:ascii="仿宋" w:hAnsi="仿宋" w:eastAsia="仿宋" w:cs="仿宋"/>
                <w:color w:val="auto"/>
                <w:sz w:val="24"/>
                <w:szCs w:val="24"/>
                <w:highlight w:val="none"/>
              </w:rPr>
            </w:pPr>
          </w:p>
        </w:tc>
        <w:tc>
          <w:tcPr>
            <w:tcW w:w="2530" w:type="dxa"/>
            <w:vAlign w:val="center"/>
          </w:tcPr>
          <w:p>
            <w:pPr>
              <w:autoSpaceDE w:val="0"/>
              <w:autoSpaceDN w:val="0"/>
              <w:adjustRightInd w:val="0"/>
              <w:spacing w:line="500" w:lineRule="atLeast"/>
              <w:jc w:val="center"/>
              <w:rPr>
                <w:rFonts w:ascii="仿宋" w:hAnsi="仿宋" w:eastAsia="仿宋" w:cs="仿宋"/>
                <w:color w:val="auto"/>
                <w:sz w:val="24"/>
                <w:szCs w:val="24"/>
                <w:highlight w:val="none"/>
              </w:rPr>
            </w:pPr>
          </w:p>
        </w:tc>
        <w:tc>
          <w:tcPr>
            <w:tcW w:w="3268" w:type="dxa"/>
            <w:vAlign w:val="center"/>
          </w:tcPr>
          <w:p>
            <w:pPr>
              <w:autoSpaceDE w:val="0"/>
              <w:autoSpaceDN w:val="0"/>
              <w:adjustRightInd w:val="0"/>
              <w:spacing w:line="500" w:lineRule="atLeas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1202" w:type="dxa"/>
            <w:vAlign w:val="center"/>
          </w:tcPr>
          <w:p>
            <w:pPr>
              <w:autoSpaceDE w:val="0"/>
              <w:autoSpaceDN w:val="0"/>
              <w:adjustRightInd w:val="0"/>
              <w:spacing w:line="500" w:lineRule="atLeast"/>
              <w:jc w:val="center"/>
              <w:rPr>
                <w:rFonts w:ascii="仿宋" w:hAnsi="仿宋" w:eastAsia="仿宋" w:cs="仿宋"/>
                <w:color w:val="auto"/>
                <w:sz w:val="24"/>
                <w:szCs w:val="24"/>
                <w:highlight w:val="none"/>
              </w:rPr>
            </w:pPr>
          </w:p>
        </w:tc>
        <w:tc>
          <w:tcPr>
            <w:tcW w:w="2246" w:type="dxa"/>
            <w:vAlign w:val="center"/>
          </w:tcPr>
          <w:p>
            <w:pPr>
              <w:autoSpaceDE w:val="0"/>
              <w:autoSpaceDN w:val="0"/>
              <w:adjustRightInd w:val="0"/>
              <w:spacing w:line="500" w:lineRule="atLeast"/>
              <w:jc w:val="center"/>
              <w:rPr>
                <w:rFonts w:ascii="仿宋" w:hAnsi="仿宋" w:eastAsia="仿宋" w:cs="仿宋"/>
                <w:color w:val="auto"/>
                <w:sz w:val="24"/>
                <w:szCs w:val="24"/>
                <w:highlight w:val="none"/>
              </w:rPr>
            </w:pPr>
          </w:p>
        </w:tc>
        <w:tc>
          <w:tcPr>
            <w:tcW w:w="2530" w:type="dxa"/>
            <w:vAlign w:val="center"/>
          </w:tcPr>
          <w:p>
            <w:pPr>
              <w:autoSpaceDE w:val="0"/>
              <w:autoSpaceDN w:val="0"/>
              <w:adjustRightInd w:val="0"/>
              <w:spacing w:line="500" w:lineRule="atLeast"/>
              <w:jc w:val="center"/>
              <w:rPr>
                <w:rFonts w:ascii="仿宋" w:hAnsi="仿宋" w:eastAsia="仿宋" w:cs="仿宋"/>
                <w:color w:val="auto"/>
                <w:sz w:val="24"/>
                <w:szCs w:val="24"/>
                <w:highlight w:val="none"/>
              </w:rPr>
            </w:pPr>
          </w:p>
        </w:tc>
        <w:tc>
          <w:tcPr>
            <w:tcW w:w="3268" w:type="dxa"/>
            <w:vAlign w:val="center"/>
          </w:tcPr>
          <w:p>
            <w:pPr>
              <w:autoSpaceDE w:val="0"/>
              <w:autoSpaceDN w:val="0"/>
              <w:adjustRightInd w:val="0"/>
              <w:spacing w:line="500" w:lineRule="atLeas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1202" w:type="dxa"/>
            <w:vAlign w:val="center"/>
          </w:tcPr>
          <w:p>
            <w:pPr>
              <w:autoSpaceDE w:val="0"/>
              <w:autoSpaceDN w:val="0"/>
              <w:adjustRightInd w:val="0"/>
              <w:spacing w:line="500" w:lineRule="atLeast"/>
              <w:jc w:val="center"/>
              <w:rPr>
                <w:rFonts w:ascii="仿宋" w:hAnsi="仿宋" w:eastAsia="仿宋" w:cs="仿宋"/>
                <w:color w:val="auto"/>
                <w:sz w:val="24"/>
                <w:szCs w:val="24"/>
                <w:highlight w:val="none"/>
              </w:rPr>
            </w:pPr>
          </w:p>
        </w:tc>
        <w:tc>
          <w:tcPr>
            <w:tcW w:w="2246" w:type="dxa"/>
            <w:vAlign w:val="center"/>
          </w:tcPr>
          <w:p>
            <w:pPr>
              <w:autoSpaceDE w:val="0"/>
              <w:autoSpaceDN w:val="0"/>
              <w:adjustRightInd w:val="0"/>
              <w:spacing w:line="500" w:lineRule="atLeast"/>
              <w:jc w:val="center"/>
              <w:rPr>
                <w:rFonts w:ascii="仿宋" w:hAnsi="仿宋" w:eastAsia="仿宋" w:cs="仿宋"/>
                <w:color w:val="auto"/>
                <w:sz w:val="24"/>
                <w:szCs w:val="24"/>
                <w:highlight w:val="none"/>
              </w:rPr>
            </w:pPr>
          </w:p>
        </w:tc>
        <w:tc>
          <w:tcPr>
            <w:tcW w:w="2530" w:type="dxa"/>
            <w:vAlign w:val="center"/>
          </w:tcPr>
          <w:p>
            <w:pPr>
              <w:autoSpaceDE w:val="0"/>
              <w:autoSpaceDN w:val="0"/>
              <w:adjustRightInd w:val="0"/>
              <w:spacing w:line="500" w:lineRule="atLeast"/>
              <w:jc w:val="center"/>
              <w:rPr>
                <w:rFonts w:ascii="仿宋" w:hAnsi="仿宋" w:eastAsia="仿宋" w:cs="仿宋"/>
                <w:color w:val="auto"/>
                <w:sz w:val="24"/>
                <w:szCs w:val="24"/>
                <w:highlight w:val="none"/>
              </w:rPr>
            </w:pPr>
          </w:p>
        </w:tc>
        <w:tc>
          <w:tcPr>
            <w:tcW w:w="3268" w:type="dxa"/>
            <w:vAlign w:val="center"/>
          </w:tcPr>
          <w:p>
            <w:pPr>
              <w:autoSpaceDE w:val="0"/>
              <w:autoSpaceDN w:val="0"/>
              <w:adjustRightInd w:val="0"/>
              <w:spacing w:line="500" w:lineRule="atLeas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1202" w:type="dxa"/>
            <w:vAlign w:val="center"/>
          </w:tcPr>
          <w:p>
            <w:pPr>
              <w:autoSpaceDE w:val="0"/>
              <w:autoSpaceDN w:val="0"/>
              <w:adjustRightInd w:val="0"/>
              <w:spacing w:line="500" w:lineRule="atLeast"/>
              <w:jc w:val="center"/>
              <w:rPr>
                <w:rFonts w:ascii="仿宋" w:hAnsi="仿宋" w:eastAsia="仿宋" w:cs="仿宋"/>
                <w:b/>
                <w:bCs/>
                <w:color w:val="auto"/>
                <w:sz w:val="24"/>
                <w:szCs w:val="24"/>
                <w:highlight w:val="none"/>
              </w:rPr>
            </w:pPr>
          </w:p>
        </w:tc>
        <w:tc>
          <w:tcPr>
            <w:tcW w:w="2246" w:type="dxa"/>
            <w:vAlign w:val="center"/>
          </w:tcPr>
          <w:p>
            <w:pPr>
              <w:autoSpaceDE w:val="0"/>
              <w:autoSpaceDN w:val="0"/>
              <w:adjustRightInd w:val="0"/>
              <w:spacing w:line="500" w:lineRule="atLeast"/>
              <w:jc w:val="center"/>
              <w:rPr>
                <w:rFonts w:ascii="仿宋" w:hAnsi="仿宋" w:eastAsia="仿宋" w:cs="仿宋"/>
                <w:b/>
                <w:bCs/>
                <w:color w:val="auto"/>
                <w:sz w:val="24"/>
                <w:szCs w:val="24"/>
                <w:highlight w:val="none"/>
              </w:rPr>
            </w:pPr>
          </w:p>
        </w:tc>
        <w:tc>
          <w:tcPr>
            <w:tcW w:w="2530" w:type="dxa"/>
            <w:vAlign w:val="center"/>
          </w:tcPr>
          <w:p>
            <w:pPr>
              <w:autoSpaceDE w:val="0"/>
              <w:autoSpaceDN w:val="0"/>
              <w:adjustRightInd w:val="0"/>
              <w:spacing w:line="500" w:lineRule="atLeast"/>
              <w:jc w:val="center"/>
              <w:rPr>
                <w:rFonts w:ascii="仿宋" w:hAnsi="仿宋" w:eastAsia="仿宋" w:cs="仿宋"/>
                <w:b/>
                <w:bCs/>
                <w:color w:val="auto"/>
                <w:sz w:val="24"/>
                <w:szCs w:val="24"/>
                <w:highlight w:val="none"/>
              </w:rPr>
            </w:pPr>
          </w:p>
        </w:tc>
        <w:tc>
          <w:tcPr>
            <w:tcW w:w="3268" w:type="dxa"/>
            <w:vAlign w:val="center"/>
          </w:tcPr>
          <w:p>
            <w:pPr>
              <w:autoSpaceDE w:val="0"/>
              <w:autoSpaceDN w:val="0"/>
              <w:adjustRightInd w:val="0"/>
              <w:spacing w:line="500" w:lineRule="atLeast"/>
              <w:jc w:val="center"/>
              <w:rPr>
                <w:rFonts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1202"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224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253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326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bl>
    <w:p>
      <w:pPr>
        <w:autoSpaceDE w:val="0"/>
        <w:autoSpaceDN w:val="0"/>
        <w:adjustRightIn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注：（1）投标人应逐项填写本表，指出全部临时设施用地面积及详细用途。</w:t>
      </w:r>
    </w:p>
    <w:p>
      <w:pPr>
        <w:autoSpaceDE w:val="0"/>
        <w:autoSpaceDN w:val="0"/>
        <w:adjustRightInd w:val="0"/>
        <w:spacing w:line="500" w:lineRule="atLeast"/>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（2）若本表不够，可加附页。</w:t>
      </w:r>
    </w:p>
    <w:p>
      <w:pPr>
        <w:pStyle w:val="4"/>
        <w:spacing w:before="0" w:after="0"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二、项目管理机构配备情况</w:t>
      </w:r>
    </w:p>
    <w:p>
      <w:pPr>
        <w:overflowPunct w:val="0"/>
        <w:autoSpaceDE w:val="0"/>
        <w:autoSpaceDN w:val="0"/>
        <w:adjustRightInd w:val="0"/>
        <w:snapToGri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（1）项目管理班子配备情况表</w:t>
      </w:r>
    </w:p>
    <w:p>
      <w:pPr>
        <w:overflowPunct w:val="0"/>
        <w:autoSpaceDE w:val="0"/>
        <w:autoSpaceDN w:val="0"/>
        <w:adjustRightInd w:val="0"/>
        <w:snapToGri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（2）项目经理简历表，项目经理简历表、近三年（2015年1月1日至今）负责的类似工程和规模相当的工程项目情况介绍，后附项目合同；</w:t>
      </w:r>
    </w:p>
    <w:p>
      <w:pPr>
        <w:overflowPunct w:val="0"/>
        <w:autoSpaceDE w:val="0"/>
        <w:autoSpaceDN w:val="0"/>
        <w:adjustRightInd w:val="0"/>
        <w:snapToGri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（3）项目技术负责人简历表，近三年（2015年1月1日至今）负责的类似工程和规模相当的工程项目情况介绍，后附项目合同；</w:t>
      </w:r>
    </w:p>
    <w:p>
      <w:pPr>
        <w:overflowPunct w:val="0"/>
        <w:autoSpaceDE w:val="0"/>
        <w:autoSpaceDN w:val="0"/>
        <w:adjustRightInd w:val="0"/>
        <w:snapToGrid w:val="0"/>
        <w:spacing w:line="50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（4）项目管理机构配备情况辅助说明资料</w:t>
      </w:r>
    </w:p>
    <w:p>
      <w:pPr>
        <w:spacing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rPr>
        <w:t>(一)项目管理机构配备情况表</w:t>
      </w:r>
    </w:p>
    <w:p>
      <w:pPr>
        <w:autoSpaceDE w:val="0"/>
        <w:autoSpaceDN w:val="0"/>
        <w:adjustRightInd w:val="0"/>
        <w:spacing w:beforeLines="100" w:line="500" w:lineRule="atLeas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pPr>
        <w:autoSpaceDE w:val="0"/>
        <w:autoSpaceDN w:val="0"/>
        <w:adjustRightInd w:val="0"/>
        <w:spacing w:beforeLines="100" w:line="500" w:lineRule="atLeas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p>
    <w:p>
      <w:pPr>
        <w:autoSpaceDE w:val="0"/>
        <w:autoSpaceDN w:val="0"/>
        <w:adjustRightInd w:val="0"/>
        <w:spacing w:beforeLines="100" w:line="500" w:lineRule="atLeast"/>
        <w:rPr>
          <w:rFonts w:ascii="仿宋" w:hAnsi="仿宋" w:eastAsia="仿宋" w:cs="仿宋"/>
          <w:color w:val="auto"/>
          <w:sz w:val="24"/>
          <w:szCs w:val="24"/>
          <w:highlight w:val="none"/>
          <w:u w:val="single"/>
        </w:rPr>
      </w:pPr>
    </w:p>
    <w:tbl>
      <w:tblPr>
        <w:tblStyle w:val="41"/>
        <w:tblW w:w="9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17"/>
        <w:gridCol w:w="720"/>
        <w:gridCol w:w="900"/>
        <w:gridCol w:w="720"/>
        <w:gridCol w:w="990"/>
        <w:gridCol w:w="990"/>
        <w:gridCol w:w="1440"/>
        <w:gridCol w:w="1080"/>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720" w:type="dxa"/>
            <w:vMerge w:val="restart"/>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职</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务</w:t>
            </w:r>
          </w:p>
        </w:tc>
        <w:tc>
          <w:tcPr>
            <w:tcW w:w="1017" w:type="dxa"/>
            <w:vMerge w:val="restart"/>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姓</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名</w:t>
            </w:r>
          </w:p>
        </w:tc>
        <w:tc>
          <w:tcPr>
            <w:tcW w:w="720" w:type="dxa"/>
            <w:vMerge w:val="restart"/>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职</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称</w:t>
            </w:r>
          </w:p>
        </w:tc>
        <w:tc>
          <w:tcPr>
            <w:tcW w:w="5040" w:type="dxa"/>
            <w:gridSpan w:val="5"/>
            <w:vAlign w:val="center"/>
          </w:tcPr>
          <w:p>
            <w:pPr>
              <w:autoSpaceDE w:val="0"/>
              <w:autoSpaceDN w:val="0"/>
              <w:adjustRightInd w:val="0"/>
              <w:spacing w:line="500" w:lineRule="atLeast"/>
              <w:ind w:firstLine="1432" w:firstLineChars="597"/>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上岗资格证明</w:t>
            </w:r>
          </w:p>
        </w:tc>
        <w:tc>
          <w:tcPr>
            <w:tcW w:w="2092"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已承担</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720" w:type="dxa"/>
            <w:vMerge w:val="continue"/>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017" w:type="dxa"/>
            <w:vMerge w:val="continue"/>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720" w:type="dxa"/>
            <w:vMerge w:val="continue"/>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90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证书</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名称</w:t>
            </w:r>
          </w:p>
        </w:tc>
        <w:tc>
          <w:tcPr>
            <w:tcW w:w="72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级</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别</w:t>
            </w:r>
          </w:p>
        </w:tc>
        <w:tc>
          <w:tcPr>
            <w:tcW w:w="99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证号</w:t>
            </w:r>
          </w:p>
        </w:tc>
        <w:tc>
          <w:tcPr>
            <w:tcW w:w="99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专业</w:t>
            </w:r>
          </w:p>
        </w:tc>
        <w:tc>
          <w:tcPr>
            <w:tcW w:w="144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原服务</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108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项目数</w:t>
            </w:r>
          </w:p>
        </w:tc>
        <w:tc>
          <w:tcPr>
            <w:tcW w:w="1012"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72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017" w:type="dxa"/>
          </w:tcPr>
          <w:p>
            <w:pPr>
              <w:autoSpaceDE w:val="0"/>
              <w:autoSpaceDN w:val="0"/>
              <w:adjustRightInd w:val="0"/>
              <w:spacing w:line="500" w:lineRule="atLeast"/>
              <w:rPr>
                <w:rFonts w:ascii="仿宋" w:hAnsi="仿宋" w:eastAsia="仿宋" w:cs="仿宋"/>
                <w:color w:val="auto"/>
                <w:sz w:val="24"/>
                <w:szCs w:val="24"/>
                <w:highlight w:val="none"/>
              </w:rPr>
            </w:pPr>
          </w:p>
        </w:tc>
        <w:tc>
          <w:tcPr>
            <w:tcW w:w="720" w:type="dxa"/>
          </w:tcPr>
          <w:p>
            <w:pPr>
              <w:autoSpaceDE w:val="0"/>
              <w:autoSpaceDN w:val="0"/>
              <w:adjustRightInd w:val="0"/>
              <w:spacing w:line="500" w:lineRule="atLeast"/>
              <w:rPr>
                <w:rFonts w:ascii="仿宋" w:hAnsi="仿宋" w:eastAsia="仿宋" w:cs="仿宋"/>
                <w:color w:val="auto"/>
                <w:sz w:val="24"/>
                <w:szCs w:val="24"/>
                <w:highlight w:val="none"/>
              </w:rPr>
            </w:pPr>
          </w:p>
        </w:tc>
        <w:tc>
          <w:tcPr>
            <w:tcW w:w="900" w:type="dxa"/>
          </w:tcPr>
          <w:p>
            <w:pPr>
              <w:autoSpaceDE w:val="0"/>
              <w:autoSpaceDN w:val="0"/>
              <w:adjustRightInd w:val="0"/>
              <w:spacing w:line="500" w:lineRule="atLeast"/>
              <w:rPr>
                <w:rFonts w:ascii="仿宋" w:hAnsi="仿宋" w:eastAsia="仿宋" w:cs="仿宋"/>
                <w:color w:val="auto"/>
                <w:sz w:val="24"/>
                <w:szCs w:val="24"/>
                <w:highlight w:val="none"/>
              </w:rPr>
            </w:pPr>
          </w:p>
        </w:tc>
        <w:tc>
          <w:tcPr>
            <w:tcW w:w="720" w:type="dxa"/>
          </w:tcPr>
          <w:p>
            <w:pPr>
              <w:autoSpaceDE w:val="0"/>
              <w:autoSpaceDN w:val="0"/>
              <w:adjustRightInd w:val="0"/>
              <w:spacing w:line="500" w:lineRule="atLeast"/>
              <w:rPr>
                <w:rFonts w:ascii="仿宋" w:hAnsi="仿宋" w:eastAsia="仿宋" w:cs="仿宋"/>
                <w:color w:val="auto"/>
                <w:sz w:val="24"/>
                <w:szCs w:val="24"/>
                <w:highlight w:val="none"/>
              </w:rPr>
            </w:pPr>
          </w:p>
        </w:tc>
        <w:tc>
          <w:tcPr>
            <w:tcW w:w="990" w:type="dxa"/>
          </w:tcPr>
          <w:p>
            <w:pPr>
              <w:autoSpaceDE w:val="0"/>
              <w:autoSpaceDN w:val="0"/>
              <w:adjustRightInd w:val="0"/>
              <w:spacing w:line="500" w:lineRule="atLeast"/>
              <w:rPr>
                <w:rFonts w:ascii="仿宋" w:hAnsi="仿宋" w:eastAsia="仿宋" w:cs="仿宋"/>
                <w:color w:val="auto"/>
                <w:sz w:val="24"/>
                <w:szCs w:val="24"/>
                <w:highlight w:val="none"/>
              </w:rPr>
            </w:pPr>
          </w:p>
        </w:tc>
        <w:tc>
          <w:tcPr>
            <w:tcW w:w="99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44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08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012" w:type="dxa"/>
          </w:tcPr>
          <w:p>
            <w:pPr>
              <w:autoSpaceDE w:val="0"/>
              <w:autoSpaceDN w:val="0"/>
              <w:adjustRightInd w:val="0"/>
              <w:spacing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72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017" w:type="dxa"/>
          </w:tcPr>
          <w:p>
            <w:pPr>
              <w:autoSpaceDE w:val="0"/>
              <w:autoSpaceDN w:val="0"/>
              <w:adjustRightInd w:val="0"/>
              <w:spacing w:line="500" w:lineRule="atLeast"/>
              <w:rPr>
                <w:rFonts w:ascii="仿宋" w:hAnsi="仿宋" w:eastAsia="仿宋" w:cs="仿宋"/>
                <w:color w:val="auto"/>
                <w:sz w:val="24"/>
                <w:szCs w:val="24"/>
                <w:highlight w:val="none"/>
              </w:rPr>
            </w:pPr>
          </w:p>
        </w:tc>
        <w:tc>
          <w:tcPr>
            <w:tcW w:w="720" w:type="dxa"/>
          </w:tcPr>
          <w:p>
            <w:pPr>
              <w:autoSpaceDE w:val="0"/>
              <w:autoSpaceDN w:val="0"/>
              <w:adjustRightInd w:val="0"/>
              <w:spacing w:line="500" w:lineRule="atLeast"/>
              <w:rPr>
                <w:rFonts w:ascii="仿宋" w:hAnsi="仿宋" w:eastAsia="仿宋" w:cs="仿宋"/>
                <w:color w:val="auto"/>
                <w:sz w:val="24"/>
                <w:szCs w:val="24"/>
                <w:highlight w:val="none"/>
              </w:rPr>
            </w:pPr>
          </w:p>
        </w:tc>
        <w:tc>
          <w:tcPr>
            <w:tcW w:w="900" w:type="dxa"/>
          </w:tcPr>
          <w:p>
            <w:pPr>
              <w:autoSpaceDE w:val="0"/>
              <w:autoSpaceDN w:val="0"/>
              <w:adjustRightInd w:val="0"/>
              <w:spacing w:line="500" w:lineRule="atLeast"/>
              <w:rPr>
                <w:rFonts w:ascii="仿宋" w:hAnsi="仿宋" w:eastAsia="仿宋" w:cs="仿宋"/>
                <w:color w:val="auto"/>
                <w:sz w:val="24"/>
                <w:szCs w:val="24"/>
                <w:highlight w:val="none"/>
              </w:rPr>
            </w:pPr>
          </w:p>
        </w:tc>
        <w:tc>
          <w:tcPr>
            <w:tcW w:w="720" w:type="dxa"/>
          </w:tcPr>
          <w:p>
            <w:pPr>
              <w:autoSpaceDE w:val="0"/>
              <w:autoSpaceDN w:val="0"/>
              <w:adjustRightInd w:val="0"/>
              <w:spacing w:line="500" w:lineRule="atLeast"/>
              <w:rPr>
                <w:rFonts w:ascii="仿宋" w:hAnsi="仿宋" w:eastAsia="仿宋" w:cs="仿宋"/>
                <w:color w:val="auto"/>
                <w:sz w:val="24"/>
                <w:szCs w:val="24"/>
                <w:highlight w:val="none"/>
              </w:rPr>
            </w:pPr>
          </w:p>
        </w:tc>
        <w:tc>
          <w:tcPr>
            <w:tcW w:w="990" w:type="dxa"/>
          </w:tcPr>
          <w:p>
            <w:pPr>
              <w:autoSpaceDE w:val="0"/>
              <w:autoSpaceDN w:val="0"/>
              <w:adjustRightInd w:val="0"/>
              <w:spacing w:line="500" w:lineRule="atLeast"/>
              <w:rPr>
                <w:rFonts w:ascii="仿宋" w:hAnsi="仿宋" w:eastAsia="仿宋" w:cs="仿宋"/>
                <w:color w:val="auto"/>
                <w:sz w:val="24"/>
                <w:szCs w:val="24"/>
                <w:highlight w:val="none"/>
              </w:rPr>
            </w:pPr>
          </w:p>
        </w:tc>
        <w:tc>
          <w:tcPr>
            <w:tcW w:w="99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44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08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012" w:type="dxa"/>
          </w:tcPr>
          <w:p>
            <w:pPr>
              <w:autoSpaceDE w:val="0"/>
              <w:autoSpaceDN w:val="0"/>
              <w:adjustRightInd w:val="0"/>
              <w:spacing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72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017" w:type="dxa"/>
          </w:tcPr>
          <w:p>
            <w:pPr>
              <w:autoSpaceDE w:val="0"/>
              <w:autoSpaceDN w:val="0"/>
              <w:adjustRightInd w:val="0"/>
              <w:spacing w:line="500" w:lineRule="atLeast"/>
              <w:rPr>
                <w:rFonts w:ascii="仿宋" w:hAnsi="仿宋" w:eastAsia="仿宋" w:cs="仿宋"/>
                <w:color w:val="auto"/>
                <w:sz w:val="24"/>
                <w:szCs w:val="24"/>
                <w:highlight w:val="none"/>
              </w:rPr>
            </w:pPr>
          </w:p>
        </w:tc>
        <w:tc>
          <w:tcPr>
            <w:tcW w:w="720" w:type="dxa"/>
          </w:tcPr>
          <w:p>
            <w:pPr>
              <w:autoSpaceDE w:val="0"/>
              <w:autoSpaceDN w:val="0"/>
              <w:adjustRightInd w:val="0"/>
              <w:spacing w:line="500" w:lineRule="atLeast"/>
              <w:rPr>
                <w:rFonts w:ascii="仿宋" w:hAnsi="仿宋" w:eastAsia="仿宋" w:cs="仿宋"/>
                <w:color w:val="auto"/>
                <w:sz w:val="24"/>
                <w:szCs w:val="24"/>
                <w:highlight w:val="none"/>
              </w:rPr>
            </w:pPr>
          </w:p>
        </w:tc>
        <w:tc>
          <w:tcPr>
            <w:tcW w:w="900" w:type="dxa"/>
          </w:tcPr>
          <w:p>
            <w:pPr>
              <w:autoSpaceDE w:val="0"/>
              <w:autoSpaceDN w:val="0"/>
              <w:adjustRightInd w:val="0"/>
              <w:spacing w:line="500" w:lineRule="atLeast"/>
              <w:rPr>
                <w:rFonts w:ascii="仿宋" w:hAnsi="仿宋" w:eastAsia="仿宋" w:cs="仿宋"/>
                <w:color w:val="auto"/>
                <w:sz w:val="24"/>
                <w:szCs w:val="24"/>
                <w:highlight w:val="none"/>
              </w:rPr>
            </w:pPr>
          </w:p>
        </w:tc>
        <w:tc>
          <w:tcPr>
            <w:tcW w:w="720" w:type="dxa"/>
          </w:tcPr>
          <w:p>
            <w:pPr>
              <w:autoSpaceDE w:val="0"/>
              <w:autoSpaceDN w:val="0"/>
              <w:adjustRightInd w:val="0"/>
              <w:spacing w:line="500" w:lineRule="atLeast"/>
              <w:rPr>
                <w:rFonts w:ascii="仿宋" w:hAnsi="仿宋" w:eastAsia="仿宋" w:cs="仿宋"/>
                <w:color w:val="auto"/>
                <w:sz w:val="24"/>
                <w:szCs w:val="24"/>
                <w:highlight w:val="none"/>
              </w:rPr>
            </w:pPr>
          </w:p>
        </w:tc>
        <w:tc>
          <w:tcPr>
            <w:tcW w:w="990" w:type="dxa"/>
          </w:tcPr>
          <w:p>
            <w:pPr>
              <w:autoSpaceDE w:val="0"/>
              <w:autoSpaceDN w:val="0"/>
              <w:adjustRightInd w:val="0"/>
              <w:spacing w:line="500" w:lineRule="atLeast"/>
              <w:rPr>
                <w:rFonts w:ascii="仿宋" w:hAnsi="仿宋" w:eastAsia="仿宋" w:cs="仿宋"/>
                <w:color w:val="auto"/>
                <w:sz w:val="24"/>
                <w:szCs w:val="24"/>
                <w:highlight w:val="none"/>
              </w:rPr>
            </w:pPr>
          </w:p>
        </w:tc>
        <w:tc>
          <w:tcPr>
            <w:tcW w:w="99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44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08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012" w:type="dxa"/>
          </w:tcPr>
          <w:p>
            <w:pPr>
              <w:autoSpaceDE w:val="0"/>
              <w:autoSpaceDN w:val="0"/>
              <w:adjustRightInd w:val="0"/>
              <w:spacing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72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017" w:type="dxa"/>
          </w:tcPr>
          <w:p>
            <w:pPr>
              <w:autoSpaceDE w:val="0"/>
              <w:autoSpaceDN w:val="0"/>
              <w:adjustRightInd w:val="0"/>
              <w:spacing w:line="500" w:lineRule="atLeast"/>
              <w:rPr>
                <w:rFonts w:ascii="仿宋" w:hAnsi="仿宋" w:eastAsia="仿宋" w:cs="仿宋"/>
                <w:color w:val="auto"/>
                <w:sz w:val="24"/>
                <w:szCs w:val="24"/>
                <w:highlight w:val="none"/>
              </w:rPr>
            </w:pPr>
          </w:p>
        </w:tc>
        <w:tc>
          <w:tcPr>
            <w:tcW w:w="720" w:type="dxa"/>
          </w:tcPr>
          <w:p>
            <w:pPr>
              <w:autoSpaceDE w:val="0"/>
              <w:autoSpaceDN w:val="0"/>
              <w:adjustRightInd w:val="0"/>
              <w:spacing w:line="500" w:lineRule="atLeast"/>
              <w:rPr>
                <w:rFonts w:ascii="仿宋" w:hAnsi="仿宋" w:eastAsia="仿宋" w:cs="仿宋"/>
                <w:color w:val="auto"/>
                <w:sz w:val="24"/>
                <w:szCs w:val="24"/>
                <w:highlight w:val="none"/>
              </w:rPr>
            </w:pPr>
          </w:p>
        </w:tc>
        <w:tc>
          <w:tcPr>
            <w:tcW w:w="900" w:type="dxa"/>
          </w:tcPr>
          <w:p>
            <w:pPr>
              <w:autoSpaceDE w:val="0"/>
              <w:autoSpaceDN w:val="0"/>
              <w:adjustRightInd w:val="0"/>
              <w:spacing w:line="500" w:lineRule="atLeast"/>
              <w:rPr>
                <w:rFonts w:ascii="仿宋" w:hAnsi="仿宋" w:eastAsia="仿宋" w:cs="仿宋"/>
                <w:color w:val="auto"/>
                <w:sz w:val="24"/>
                <w:szCs w:val="24"/>
                <w:highlight w:val="none"/>
              </w:rPr>
            </w:pPr>
          </w:p>
        </w:tc>
        <w:tc>
          <w:tcPr>
            <w:tcW w:w="720" w:type="dxa"/>
          </w:tcPr>
          <w:p>
            <w:pPr>
              <w:autoSpaceDE w:val="0"/>
              <w:autoSpaceDN w:val="0"/>
              <w:adjustRightInd w:val="0"/>
              <w:spacing w:line="500" w:lineRule="atLeast"/>
              <w:rPr>
                <w:rFonts w:ascii="仿宋" w:hAnsi="仿宋" w:eastAsia="仿宋" w:cs="仿宋"/>
                <w:color w:val="auto"/>
                <w:sz w:val="24"/>
                <w:szCs w:val="24"/>
                <w:highlight w:val="none"/>
              </w:rPr>
            </w:pPr>
          </w:p>
        </w:tc>
        <w:tc>
          <w:tcPr>
            <w:tcW w:w="990" w:type="dxa"/>
          </w:tcPr>
          <w:p>
            <w:pPr>
              <w:autoSpaceDE w:val="0"/>
              <w:autoSpaceDN w:val="0"/>
              <w:adjustRightInd w:val="0"/>
              <w:spacing w:line="500" w:lineRule="atLeast"/>
              <w:rPr>
                <w:rFonts w:ascii="仿宋" w:hAnsi="仿宋" w:eastAsia="仿宋" w:cs="仿宋"/>
                <w:color w:val="auto"/>
                <w:sz w:val="24"/>
                <w:szCs w:val="24"/>
                <w:highlight w:val="none"/>
              </w:rPr>
            </w:pPr>
          </w:p>
        </w:tc>
        <w:tc>
          <w:tcPr>
            <w:tcW w:w="99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44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08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012" w:type="dxa"/>
          </w:tcPr>
          <w:p>
            <w:pPr>
              <w:autoSpaceDE w:val="0"/>
              <w:autoSpaceDN w:val="0"/>
              <w:adjustRightInd w:val="0"/>
              <w:spacing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72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017" w:type="dxa"/>
          </w:tcPr>
          <w:p>
            <w:pPr>
              <w:autoSpaceDE w:val="0"/>
              <w:autoSpaceDN w:val="0"/>
              <w:adjustRightInd w:val="0"/>
              <w:spacing w:line="500" w:lineRule="atLeast"/>
              <w:rPr>
                <w:rFonts w:ascii="仿宋" w:hAnsi="仿宋" w:eastAsia="仿宋" w:cs="仿宋"/>
                <w:color w:val="auto"/>
                <w:sz w:val="24"/>
                <w:szCs w:val="24"/>
                <w:highlight w:val="none"/>
              </w:rPr>
            </w:pPr>
          </w:p>
        </w:tc>
        <w:tc>
          <w:tcPr>
            <w:tcW w:w="720" w:type="dxa"/>
          </w:tcPr>
          <w:p>
            <w:pPr>
              <w:autoSpaceDE w:val="0"/>
              <w:autoSpaceDN w:val="0"/>
              <w:adjustRightInd w:val="0"/>
              <w:spacing w:line="500" w:lineRule="atLeast"/>
              <w:rPr>
                <w:rFonts w:ascii="仿宋" w:hAnsi="仿宋" w:eastAsia="仿宋" w:cs="仿宋"/>
                <w:color w:val="auto"/>
                <w:sz w:val="24"/>
                <w:szCs w:val="24"/>
                <w:highlight w:val="none"/>
              </w:rPr>
            </w:pPr>
          </w:p>
        </w:tc>
        <w:tc>
          <w:tcPr>
            <w:tcW w:w="900" w:type="dxa"/>
          </w:tcPr>
          <w:p>
            <w:pPr>
              <w:autoSpaceDE w:val="0"/>
              <w:autoSpaceDN w:val="0"/>
              <w:adjustRightInd w:val="0"/>
              <w:spacing w:line="500" w:lineRule="atLeast"/>
              <w:rPr>
                <w:rFonts w:ascii="仿宋" w:hAnsi="仿宋" w:eastAsia="仿宋" w:cs="仿宋"/>
                <w:color w:val="auto"/>
                <w:sz w:val="24"/>
                <w:szCs w:val="24"/>
                <w:highlight w:val="none"/>
              </w:rPr>
            </w:pPr>
          </w:p>
        </w:tc>
        <w:tc>
          <w:tcPr>
            <w:tcW w:w="720" w:type="dxa"/>
          </w:tcPr>
          <w:p>
            <w:pPr>
              <w:autoSpaceDE w:val="0"/>
              <w:autoSpaceDN w:val="0"/>
              <w:adjustRightInd w:val="0"/>
              <w:spacing w:line="500" w:lineRule="atLeast"/>
              <w:rPr>
                <w:rFonts w:ascii="仿宋" w:hAnsi="仿宋" w:eastAsia="仿宋" w:cs="仿宋"/>
                <w:color w:val="auto"/>
                <w:sz w:val="24"/>
                <w:szCs w:val="24"/>
                <w:highlight w:val="none"/>
              </w:rPr>
            </w:pPr>
          </w:p>
        </w:tc>
        <w:tc>
          <w:tcPr>
            <w:tcW w:w="990" w:type="dxa"/>
          </w:tcPr>
          <w:p>
            <w:pPr>
              <w:autoSpaceDE w:val="0"/>
              <w:autoSpaceDN w:val="0"/>
              <w:adjustRightInd w:val="0"/>
              <w:spacing w:line="500" w:lineRule="atLeast"/>
              <w:rPr>
                <w:rFonts w:ascii="仿宋" w:hAnsi="仿宋" w:eastAsia="仿宋" w:cs="仿宋"/>
                <w:color w:val="auto"/>
                <w:sz w:val="24"/>
                <w:szCs w:val="24"/>
                <w:highlight w:val="none"/>
              </w:rPr>
            </w:pPr>
          </w:p>
        </w:tc>
        <w:tc>
          <w:tcPr>
            <w:tcW w:w="99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44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080" w:type="dxa"/>
          </w:tcPr>
          <w:p>
            <w:pPr>
              <w:autoSpaceDE w:val="0"/>
              <w:autoSpaceDN w:val="0"/>
              <w:adjustRightInd w:val="0"/>
              <w:spacing w:line="500" w:lineRule="atLeast"/>
              <w:rPr>
                <w:rFonts w:ascii="仿宋" w:hAnsi="仿宋" w:eastAsia="仿宋" w:cs="仿宋"/>
                <w:color w:val="auto"/>
                <w:sz w:val="24"/>
                <w:szCs w:val="24"/>
                <w:highlight w:val="none"/>
              </w:rPr>
            </w:pPr>
          </w:p>
        </w:tc>
        <w:tc>
          <w:tcPr>
            <w:tcW w:w="1012" w:type="dxa"/>
          </w:tcPr>
          <w:p>
            <w:pPr>
              <w:autoSpaceDE w:val="0"/>
              <w:autoSpaceDN w:val="0"/>
              <w:adjustRightInd w:val="0"/>
              <w:spacing w:line="500" w:lineRule="atLeas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9589" w:type="dxa"/>
            <w:gridSpan w:val="10"/>
          </w:tcPr>
          <w:p>
            <w:pPr>
              <w:autoSpaceDE w:val="0"/>
              <w:autoSpaceDN w:val="0"/>
              <w:adjustRightInd w:val="0"/>
              <w:spacing w:line="500" w:lineRule="atLeast"/>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本工程一旦我单位中标，将实行项目经理负责制，并配备上述项目管理班子。上述填报内容真实，若不真实，愿按有关规定接受处理。项目管理班子机构设置、职责分工等情况另附资料说明。</w:t>
            </w:r>
          </w:p>
        </w:tc>
      </w:tr>
    </w:tbl>
    <w:p>
      <w:pPr>
        <w:autoSpaceDE w:val="0"/>
        <w:autoSpaceDN w:val="0"/>
        <w:adjustRightInd w:val="0"/>
        <w:spacing w:line="500" w:lineRule="atLeast"/>
        <w:rPr>
          <w:rFonts w:ascii="仿宋" w:hAnsi="仿宋" w:eastAsia="仿宋" w:cs="仿宋"/>
          <w:color w:val="auto"/>
          <w:highlight w:val="none"/>
        </w:rPr>
      </w:pPr>
    </w:p>
    <w:p>
      <w:pPr>
        <w:autoSpaceDE w:val="0"/>
        <w:autoSpaceDN w:val="0"/>
        <w:adjustRightInd w:val="0"/>
        <w:spacing w:line="500" w:lineRule="atLeast"/>
        <w:rPr>
          <w:rFonts w:ascii="仿宋" w:hAnsi="仿宋" w:eastAsia="仿宋" w:cs="仿宋"/>
          <w:color w:val="auto"/>
          <w:highlight w:val="none"/>
        </w:rPr>
      </w:pPr>
    </w:p>
    <w:p>
      <w:pPr>
        <w:autoSpaceDE w:val="0"/>
        <w:autoSpaceDN w:val="0"/>
        <w:adjustRightInd w:val="0"/>
        <w:spacing w:line="500" w:lineRule="atLeast"/>
        <w:rPr>
          <w:rFonts w:ascii="仿宋" w:hAnsi="仿宋" w:eastAsia="仿宋" w:cs="仿宋"/>
          <w:color w:val="auto"/>
          <w:highlight w:val="none"/>
        </w:rPr>
      </w:pPr>
      <w:r>
        <w:rPr>
          <w:rFonts w:hint="eastAsia" w:ascii="仿宋" w:hAnsi="仿宋" w:eastAsia="仿宋" w:cs="仿宋"/>
          <w:color w:val="auto"/>
          <w:highlight w:val="none"/>
        </w:rPr>
        <w:t xml:space="preserve">                                                                         年   月   日</w:t>
      </w:r>
    </w:p>
    <w:p>
      <w:pPr>
        <w:autoSpaceDE w:val="0"/>
        <w:autoSpaceDN w:val="0"/>
        <w:adjustRightInd w:val="0"/>
        <w:spacing w:line="500" w:lineRule="atLeast"/>
        <w:rPr>
          <w:rFonts w:ascii="仿宋" w:hAnsi="仿宋" w:eastAsia="仿宋" w:cs="仿宋"/>
          <w:color w:val="auto"/>
          <w:highlight w:val="none"/>
        </w:rPr>
      </w:pPr>
    </w:p>
    <w:p>
      <w:pPr>
        <w:spacing w:line="500" w:lineRule="atLeast"/>
        <w:jc w:val="center"/>
        <w:rPr>
          <w:rFonts w:ascii="仿宋" w:hAnsi="仿宋" w:eastAsia="仿宋" w:cs="仿宋"/>
          <w:color w:val="auto"/>
          <w:sz w:val="30"/>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4"/>
          <w:szCs w:val="24"/>
          <w:highlight w:val="none"/>
        </w:rPr>
        <w:t>(二)项目经理简历表</w:t>
      </w:r>
    </w:p>
    <w:tbl>
      <w:tblPr>
        <w:tblStyle w:val="4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66"/>
        <w:gridCol w:w="1540"/>
        <w:gridCol w:w="1232"/>
        <w:gridCol w:w="164"/>
        <w:gridCol w:w="1684"/>
        <w:gridCol w:w="1386"/>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2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姓名</w:t>
            </w:r>
          </w:p>
        </w:tc>
        <w:tc>
          <w:tcPr>
            <w:tcW w:w="220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232"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性别</w:t>
            </w:r>
          </w:p>
        </w:tc>
        <w:tc>
          <w:tcPr>
            <w:tcW w:w="1848"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8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年龄</w:t>
            </w:r>
          </w:p>
        </w:tc>
        <w:tc>
          <w:tcPr>
            <w:tcW w:w="178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2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职务</w:t>
            </w:r>
          </w:p>
        </w:tc>
        <w:tc>
          <w:tcPr>
            <w:tcW w:w="220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232"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职称</w:t>
            </w:r>
          </w:p>
        </w:tc>
        <w:tc>
          <w:tcPr>
            <w:tcW w:w="1848"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8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学历</w:t>
            </w:r>
          </w:p>
        </w:tc>
        <w:tc>
          <w:tcPr>
            <w:tcW w:w="178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34" w:type="dxa"/>
            <w:gridSpan w:val="3"/>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参加工作时间</w:t>
            </w:r>
          </w:p>
        </w:tc>
        <w:tc>
          <w:tcPr>
            <w:tcW w:w="1232"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3234" w:type="dxa"/>
            <w:gridSpan w:val="3"/>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从事项目经理年限</w:t>
            </w:r>
          </w:p>
        </w:tc>
        <w:tc>
          <w:tcPr>
            <w:tcW w:w="178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exact"/>
        </w:trPr>
        <w:tc>
          <w:tcPr>
            <w:tcW w:w="3034" w:type="dxa"/>
            <w:gridSpan w:val="3"/>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建造师资格证书编号/专业</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及级别</w:t>
            </w:r>
          </w:p>
        </w:tc>
        <w:tc>
          <w:tcPr>
            <w:tcW w:w="6254" w:type="dxa"/>
            <w:gridSpan w:val="5"/>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288" w:type="dxa"/>
            <w:gridSpan w:val="8"/>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atLeast"/>
        </w:trPr>
        <w:tc>
          <w:tcPr>
            <w:tcW w:w="1494"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建设单位</w:t>
            </w:r>
          </w:p>
        </w:tc>
        <w:tc>
          <w:tcPr>
            <w:tcW w:w="154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139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建设规模</w:t>
            </w:r>
          </w:p>
        </w:tc>
        <w:tc>
          <w:tcPr>
            <w:tcW w:w="1684"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开、竣工</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w:t>
            </w:r>
          </w:p>
        </w:tc>
        <w:tc>
          <w:tcPr>
            <w:tcW w:w="138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在建或</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已完</w:t>
            </w:r>
          </w:p>
        </w:tc>
        <w:tc>
          <w:tcPr>
            <w:tcW w:w="178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94"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54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9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684"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8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78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94"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54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9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684"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8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78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94"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54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9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684"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8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78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94"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54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9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684"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8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78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94"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54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9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684"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8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78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94"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54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9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684"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8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78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94"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54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9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684"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8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78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94"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54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9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684"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8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78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94"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54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9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684"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8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78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94"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54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9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684"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8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788"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94"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540"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396"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684"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386"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788" w:type="dxa"/>
          </w:tcPr>
          <w:p>
            <w:pPr>
              <w:autoSpaceDE w:val="0"/>
              <w:autoSpaceDN w:val="0"/>
              <w:adjustRightInd w:val="0"/>
              <w:spacing w:line="500" w:lineRule="atLeast"/>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94"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540"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396"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684"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386"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788" w:type="dxa"/>
          </w:tcPr>
          <w:p>
            <w:pPr>
              <w:autoSpaceDE w:val="0"/>
              <w:autoSpaceDN w:val="0"/>
              <w:adjustRightInd w:val="0"/>
              <w:spacing w:line="500" w:lineRule="atLeast"/>
              <w:rPr>
                <w:rFonts w:ascii="仿宋" w:hAnsi="仿宋" w:eastAsia="仿宋" w:cs="仿宋"/>
                <w:bCs/>
                <w:color w:val="auto"/>
                <w:sz w:val="24"/>
                <w:szCs w:val="24"/>
                <w:highlight w:val="none"/>
              </w:rPr>
            </w:pPr>
          </w:p>
        </w:tc>
      </w:tr>
    </w:tbl>
    <w:p>
      <w:pPr>
        <w:autoSpaceDE w:val="0"/>
        <w:autoSpaceDN w:val="0"/>
        <w:adjustRightInd w:val="0"/>
        <w:spacing w:line="500" w:lineRule="atLeas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注：可另附承建类似工程情况介绍。</w:t>
      </w:r>
    </w:p>
    <w:p>
      <w:pPr>
        <w:spacing w:afterLines="100"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rPr>
        <w:t>(三)项目技术负责人简历表</w:t>
      </w:r>
    </w:p>
    <w:tbl>
      <w:tblPr>
        <w:tblStyle w:val="41"/>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444"/>
        <w:gridCol w:w="1492"/>
        <w:gridCol w:w="1460"/>
        <w:gridCol w:w="1536"/>
        <w:gridCol w:w="114"/>
        <w:gridCol w:w="1232"/>
        <w:gridCol w:w="148"/>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03"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姓名</w:t>
            </w:r>
          </w:p>
        </w:tc>
        <w:tc>
          <w:tcPr>
            <w:tcW w:w="193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46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性别</w:t>
            </w:r>
          </w:p>
        </w:tc>
        <w:tc>
          <w:tcPr>
            <w:tcW w:w="153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4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年龄</w:t>
            </w:r>
          </w:p>
        </w:tc>
        <w:tc>
          <w:tcPr>
            <w:tcW w:w="2227"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03"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职务</w:t>
            </w:r>
          </w:p>
        </w:tc>
        <w:tc>
          <w:tcPr>
            <w:tcW w:w="193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46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职称</w:t>
            </w:r>
          </w:p>
        </w:tc>
        <w:tc>
          <w:tcPr>
            <w:tcW w:w="1536"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1346"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学历</w:t>
            </w:r>
          </w:p>
        </w:tc>
        <w:tc>
          <w:tcPr>
            <w:tcW w:w="2227"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939" w:type="dxa"/>
            <w:gridSpan w:val="3"/>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参加工作时间</w:t>
            </w:r>
          </w:p>
        </w:tc>
        <w:tc>
          <w:tcPr>
            <w:tcW w:w="146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c>
          <w:tcPr>
            <w:tcW w:w="2882" w:type="dxa"/>
            <w:gridSpan w:val="3"/>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从事技术负责人年限</w:t>
            </w:r>
          </w:p>
        </w:tc>
        <w:tc>
          <w:tcPr>
            <w:tcW w:w="2227"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508" w:type="dxa"/>
            <w:gridSpan w:val="9"/>
            <w:tcBorders>
              <w:bottom w:val="single" w:color="auto" w:sz="4" w:space="0"/>
            </w:tcBorders>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1447"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建设单位</w:t>
            </w:r>
          </w:p>
        </w:tc>
        <w:tc>
          <w:tcPr>
            <w:tcW w:w="1492"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1460"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建设规模</w:t>
            </w:r>
          </w:p>
        </w:tc>
        <w:tc>
          <w:tcPr>
            <w:tcW w:w="1650" w:type="dxa"/>
            <w:gridSpan w:val="2"/>
            <w:vAlign w:val="center"/>
          </w:tcPr>
          <w:p>
            <w:pPr>
              <w:autoSpaceDE w:val="0"/>
              <w:autoSpaceDN w:val="0"/>
              <w:adjustRightInd w:val="0"/>
              <w:spacing w:line="500" w:lineRule="atLeast"/>
              <w:jc w:val="both"/>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开、竣工日期</w:t>
            </w:r>
          </w:p>
        </w:tc>
        <w:tc>
          <w:tcPr>
            <w:tcW w:w="1380" w:type="dxa"/>
            <w:gridSpan w:val="2"/>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在建或</w:t>
            </w:r>
          </w:p>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已完</w:t>
            </w:r>
          </w:p>
        </w:tc>
        <w:tc>
          <w:tcPr>
            <w:tcW w:w="2079" w:type="dxa"/>
            <w:vAlign w:val="center"/>
          </w:tcPr>
          <w:p>
            <w:pPr>
              <w:autoSpaceDE w:val="0"/>
              <w:autoSpaceDN w:val="0"/>
              <w:adjustRightInd w:val="0"/>
              <w:spacing w:line="500" w:lineRule="atLeas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47"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492"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460"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65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38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2079" w:type="dxa"/>
          </w:tcPr>
          <w:p>
            <w:pPr>
              <w:autoSpaceDE w:val="0"/>
              <w:autoSpaceDN w:val="0"/>
              <w:adjustRightInd w:val="0"/>
              <w:spacing w:line="500" w:lineRule="atLeast"/>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47"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492"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460"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65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38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2079" w:type="dxa"/>
          </w:tcPr>
          <w:p>
            <w:pPr>
              <w:autoSpaceDE w:val="0"/>
              <w:autoSpaceDN w:val="0"/>
              <w:adjustRightInd w:val="0"/>
              <w:spacing w:line="500" w:lineRule="atLeast"/>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47"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492"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460"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65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38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2079" w:type="dxa"/>
          </w:tcPr>
          <w:p>
            <w:pPr>
              <w:autoSpaceDE w:val="0"/>
              <w:autoSpaceDN w:val="0"/>
              <w:adjustRightInd w:val="0"/>
              <w:spacing w:line="500" w:lineRule="atLeast"/>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47"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492"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460"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65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38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2079" w:type="dxa"/>
          </w:tcPr>
          <w:p>
            <w:pPr>
              <w:autoSpaceDE w:val="0"/>
              <w:autoSpaceDN w:val="0"/>
              <w:adjustRightInd w:val="0"/>
              <w:spacing w:line="500" w:lineRule="atLeast"/>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47"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492"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460"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65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38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2079" w:type="dxa"/>
          </w:tcPr>
          <w:p>
            <w:pPr>
              <w:autoSpaceDE w:val="0"/>
              <w:autoSpaceDN w:val="0"/>
              <w:adjustRightInd w:val="0"/>
              <w:spacing w:line="500" w:lineRule="atLeast"/>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47"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492"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460"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65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38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2079" w:type="dxa"/>
          </w:tcPr>
          <w:p>
            <w:pPr>
              <w:autoSpaceDE w:val="0"/>
              <w:autoSpaceDN w:val="0"/>
              <w:adjustRightInd w:val="0"/>
              <w:spacing w:line="500" w:lineRule="atLeast"/>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47"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492"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460"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65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38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2079" w:type="dxa"/>
          </w:tcPr>
          <w:p>
            <w:pPr>
              <w:autoSpaceDE w:val="0"/>
              <w:autoSpaceDN w:val="0"/>
              <w:adjustRightInd w:val="0"/>
              <w:spacing w:line="500" w:lineRule="atLeast"/>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47"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492"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460"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65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38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2079" w:type="dxa"/>
          </w:tcPr>
          <w:p>
            <w:pPr>
              <w:autoSpaceDE w:val="0"/>
              <w:autoSpaceDN w:val="0"/>
              <w:adjustRightInd w:val="0"/>
              <w:spacing w:line="500" w:lineRule="atLeast"/>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47"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492"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460"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65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38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2079" w:type="dxa"/>
          </w:tcPr>
          <w:p>
            <w:pPr>
              <w:autoSpaceDE w:val="0"/>
              <w:autoSpaceDN w:val="0"/>
              <w:adjustRightInd w:val="0"/>
              <w:spacing w:line="500" w:lineRule="atLeast"/>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47"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492"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460"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65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38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2079" w:type="dxa"/>
          </w:tcPr>
          <w:p>
            <w:pPr>
              <w:autoSpaceDE w:val="0"/>
              <w:autoSpaceDN w:val="0"/>
              <w:adjustRightInd w:val="0"/>
              <w:spacing w:line="500" w:lineRule="atLeast"/>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47"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492"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460"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65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38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2079" w:type="dxa"/>
          </w:tcPr>
          <w:p>
            <w:pPr>
              <w:autoSpaceDE w:val="0"/>
              <w:autoSpaceDN w:val="0"/>
              <w:adjustRightInd w:val="0"/>
              <w:spacing w:line="500" w:lineRule="atLeast"/>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47"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492"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460"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65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38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2079" w:type="dxa"/>
          </w:tcPr>
          <w:p>
            <w:pPr>
              <w:autoSpaceDE w:val="0"/>
              <w:autoSpaceDN w:val="0"/>
              <w:adjustRightInd w:val="0"/>
              <w:spacing w:line="500" w:lineRule="atLeast"/>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447"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492"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460" w:type="dxa"/>
          </w:tcPr>
          <w:p>
            <w:pPr>
              <w:autoSpaceDE w:val="0"/>
              <w:autoSpaceDN w:val="0"/>
              <w:adjustRightInd w:val="0"/>
              <w:spacing w:line="500" w:lineRule="atLeast"/>
              <w:rPr>
                <w:rFonts w:ascii="仿宋" w:hAnsi="仿宋" w:eastAsia="仿宋" w:cs="仿宋"/>
                <w:bCs/>
                <w:color w:val="auto"/>
                <w:sz w:val="24"/>
                <w:szCs w:val="24"/>
                <w:highlight w:val="none"/>
              </w:rPr>
            </w:pPr>
          </w:p>
        </w:tc>
        <w:tc>
          <w:tcPr>
            <w:tcW w:w="165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1380" w:type="dxa"/>
            <w:gridSpan w:val="2"/>
          </w:tcPr>
          <w:p>
            <w:pPr>
              <w:autoSpaceDE w:val="0"/>
              <w:autoSpaceDN w:val="0"/>
              <w:adjustRightInd w:val="0"/>
              <w:spacing w:line="500" w:lineRule="atLeast"/>
              <w:rPr>
                <w:rFonts w:ascii="仿宋" w:hAnsi="仿宋" w:eastAsia="仿宋" w:cs="仿宋"/>
                <w:bCs/>
                <w:color w:val="auto"/>
                <w:sz w:val="24"/>
                <w:szCs w:val="24"/>
                <w:highlight w:val="none"/>
              </w:rPr>
            </w:pPr>
          </w:p>
        </w:tc>
        <w:tc>
          <w:tcPr>
            <w:tcW w:w="2079" w:type="dxa"/>
          </w:tcPr>
          <w:p>
            <w:pPr>
              <w:autoSpaceDE w:val="0"/>
              <w:autoSpaceDN w:val="0"/>
              <w:adjustRightInd w:val="0"/>
              <w:spacing w:line="500" w:lineRule="atLeast"/>
              <w:rPr>
                <w:rFonts w:ascii="仿宋" w:hAnsi="仿宋" w:eastAsia="仿宋" w:cs="仿宋"/>
                <w:bCs/>
                <w:color w:val="auto"/>
                <w:sz w:val="24"/>
                <w:szCs w:val="24"/>
                <w:highlight w:val="none"/>
              </w:rPr>
            </w:pPr>
          </w:p>
        </w:tc>
      </w:tr>
    </w:tbl>
    <w:p>
      <w:pPr>
        <w:autoSpaceDE w:val="0"/>
        <w:autoSpaceDN w:val="0"/>
        <w:adjustRightInd w:val="0"/>
        <w:spacing w:line="500" w:lineRule="atLeast"/>
        <w:rPr>
          <w:rFonts w:ascii="仿宋" w:hAnsi="仿宋" w:eastAsia="仿宋" w:cs="仿宋"/>
          <w:bCs/>
          <w:color w:val="auto"/>
          <w:sz w:val="24"/>
          <w:szCs w:val="24"/>
          <w:highlight w:val="none"/>
        </w:rPr>
      </w:pPr>
      <w:r>
        <w:rPr>
          <w:rFonts w:hint="eastAsia" w:ascii="仿宋" w:hAnsi="仿宋" w:eastAsia="仿宋" w:cs="仿宋"/>
          <w:bCs/>
          <w:color w:val="auto"/>
          <w:sz w:val="28"/>
          <w:highlight w:val="none"/>
        </w:rPr>
        <w:t xml:space="preserve">   </w:t>
      </w:r>
      <w:r>
        <w:rPr>
          <w:rFonts w:hint="eastAsia" w:ascii="仿宋" w:hAnsi="仿宋" w:eastAsia="仿宋" w:cs="仿宋"/>
          <w:bCs/>
          <w:color w:val="auto"/>
          <w:sz w:val="24"/>
          <w:szCs w:val="24"/>
          <w:highlight w:val="none"/>
        </w:rPr>
        <w:t>注：可另附承建类似工程情况介绍。</w:t>
      </w:r>
    </w:p>
    <w:p>
      <w:pPr>
        <w:spacing w:afterLines="100" w:line="50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(四)项目管理机构配备情况辅助说明资料</w:t>
      </w:r>
    </w:p>
    <w:tbl>
      <w:tblPr>
        <w:tblStyle w:val="41"/>
        <w:tblW w:w="9154"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9" w:hRule="atLeast"/>
        </w:trPr>
        <w:tc>
          <w:tcPr>
            <w:tcW w:w="9154" w:type="dxa"/>
          </w:tcPr>
          <w:p>
            <w:pPr>
              <w:overflowPunct w:val="0"/>
              <w:autoSpaceDE w:val="0"/>
              <w:autoSpaceDN w:val="0"/>
              <w:adjustRightInd w:val="0"/>
              <w:spacing w:line="500" w:lineRule="atLeast"/>
              <w:rPr>
                <w:rFonts w:ascii="仿宋" w:hAnsi="仿宋" w:eastAsia="仿宋" w:cs="仿宋"/>
                <w:bCs/>
                <w:color w:val="auto"/>
                <w:sz w:val="28"/>
                <w:highlight w:val="none"/>
              </w:rPr>
            </w:pPr>
          </w:p>
          <w:p>
            <w:pPr>
              <w:overflowPunct w:val="0"/>
              <w:autoSpaceDE w:val="0"/>
              <w:autoSpaceDN w:val="0"/>
              <w:adjustRightInd w:val="0"/>
              <w:spacing w:line="500" w:lineRule="atLeast"/>
              <w:rPr>
                <w:rFonts w:ascii="仿宋" w:hAnsi="仿宋" w:eastAsia="仿宋" w:cs="仿宋"/>
                <w:bCs/>
                <w:color w:val="auto"/>
                <w:sz w:val="28"/>
                <w:highlight w:val="none"/>
              </w:rPr>
            </w:pPr>
          </w:p>
          <w:p>
            <w:pPr>
              <w:overflowPunct w:val="0"/>
              <w:autoSpaceDE w:val="0"/>
              <w:autoSpaceDN w:val="0"/>
              <w:adjustRightInd w:val="0"/>
              <w:spacing w:line="500" w:lineRule="atLeast"/>
              <w:rPr>
                <w:rFonts w:ascii="仿宋" w:hAnsi="仿宋" w:eastAsia="仿宋" w:cs="仿宋"/>
                <w:bCs/>
                <w:color w:val="auto"/>
                <w:sz w:val="28"/>
                <w:highlight w:val="none"/>
              </w:rPr>
            </w:pPr>
          </w:p>
          <w:p>
            <w:pPr>
              <w:overflowPunct w:val="0"/>
              <w:autoSpaceDE w:val="0"/>
              <w:autoSpaceDN w:val="0"/>
              <w:adjustRightInd w:val="0"/>
              <w:spacing w:line="500" w:lineRule="atLeast"/>
              <w:rPr>
                <w:rFonts w:ascii="仿宋" w:hAnsi="仿宋" w:eastAsia="仿宋" w:cs="仿宋"/>
                <w:bCs/>
                <w:color w:val="auto"/>
                <w:sz w:val="28"/>
                <w:highlight w:val="none"/>
              </w:rPr>
            </w:pPr>
          </w:p>
          <w:p>
            <w:pPr>
              <w:overflowPunct w:val="0"/>
              <w:autoSpaceDE w:val="0"/>
              <w:autoSpaceDN w:val="0"/>
              <w:adjustRightInd w:val="0"/>
              <w:spacing w:line="500" w:lineRule="atLeast"/>
              <w:rPr>
                <w:rFonts w:ascii="仿宋" w:hAnsi="仿宋" w:eastAsia="仿宋" w:cs="仿宋"/>
                <w:bCs/>
                <w:color w:val="auto"/>
                <w:sz w:val="28"/>
                <w:highlight w:val="none"/>
              </w:rPr>
            </w:pPr>
          </w:p>
          <w:p>
            <w:pPr>
              <w:overflowPunct w:val="0"/>
              <w:autoSpaceDE w:val="0"/>
              <w:autoSpaceDN w:val="0"/>
              <w:adjustRightInd w:val="0"/>
              <w:spacing w:line="500" w:lineRule="atLeast"/>
              <w:rPr>
                <w:rFonts w:ascii="仿宋" w:hAnsi="仿宋" w:eastAsia="仿宋" w:cs="仿宋"/>
                <w:bCs/>
                <w:color w:val="auto"/>
                <w:sz w:val="28"/>
                <w:highlight w:val="none"/>
              </w:rPr>
            </w:pPr>
          </w:p>
          <w:p>
            <w:pPr>
              <w:overflowPunct w:val="0"/>
              <w:autoSpaceDE w:val="0"/>
              <w:autoSpaceDN w:val="0"/>
              <w:adjustRightInd w:val="0"/>
              <w:spacing w:line="500" w:lineRule="atLeast"/>
              <w:rPr>
                <w:rFonts w:ascii="仿宋" w:hAnsi="仿宋" w:eastAsia="仿宋" w:cs="仿宋"/>
                <w:bCs/>
                <w:color w:val="auto"/>
                <w:sz w:val="28"/>
                <w:highlight w:val="none"/>
              </w:rPr>
            </w:pPr>
          </w:p>
          <w:p>
            <w:pPr>
              <w:overflowPunct w:val="0"/>
              <w:autoSpaceDE w:val="0"/>
              <w:autoSpaceDN w:val="0"/>
              <w:adjustRightInd w:val="0"/>
              <w:spacing w:line="500" w:lineRule="atLeast"/>
              <w:rPr>
                <w:rFonts w:ascii="仿宋" w:hAnsi="仿宋" w:eastAsia="仿宋" w:cs="仿宋"/>
                <w:bCs/>
                <w:color w:val="auto"/>
                <w:sz w:val="28"/>
                <w:highlight w:val="none"/>
              </w:rPr>
            </w:pPr>
          </w:p>
          <w:p>
            <w:pPr>
              <w:overflowPunct w:val="0"/>
              <w:autoSpaceDE w:val="0"/>
              <w:autoSpaceDN w:val="0"/>
              <w:adjustRightInd w:val="0"/>
              <w:spacing w:line="500" w:lineRule="atLeast"/>
              <w:rPr>
                <w:rFonts w:ascii="仿宋" w:hAnsi="仿宋" w:eastAsia="仿宋" w:cs="仿宋"/>
                <w:bCs/>
                <w:color w:val="auto"/>
                <w:sz w:val="28"/>
                <w:highlight w:val="none"/>
              </w:rPr>
            </w:pPr>
          </w:p>
          <w:p>
            <w:pPr>
              <w:overflowPunct w:val="0"/>
              <w:autoSpaceDE w:val="0"/>
              <w:autoSpaceDN w:val="0"/>
              <w:adjustRightInd w:val="0"/>
              <w:spacing w:line="500" w:lineRule="atLeast"/>
              <w:rPr>
                <w:rFonts w:ascii="仿宋" w:hAnsi="仿宋" w:eastAsia="仿宋" w:cs="仿宋"/>
                <w:bCs/>
                <w:color w:val="auto"/>
                <w:sz w:val="28"/>
                <w:highlight w:val="none"/>
              </w:rPr>
            </w:pPr>
          </w:p>
          <w:p>
            <w:pPr>
              <w:overflowPunct w:val="0"/>
              <w:autoSpaceDE w:val="0"/>
              <w:autoSpaceDN w:val="0"/>
              <w:adjustRightInd w:val="0"/>
              <w:spacing w:line="500" w:lineRule="atLeast"/>
              <w:rPr>
                <w:rFonts w:ascii="仿宋" w:hAnsi="仿宋" w:eastAsia="仿宋" w:cs="仿宋"/>
                <w:bCs/>
                <w:color w:val="auto"/>
                <w:sz w:val="28"/>
                <w:highlight w:val="none"/>
              </w:rPr>
            </w:pPr>
          </w:p>
        </w:tc>
      </w:tr>
    </w:tbl>
    <w:p>
      <w:pPr>
        <w:overflowPunct w:val="0"/>
        <w:autoSpaceDE w:val="0"/>
        <w:autoSpaceDN w:val="0"/>
        <w:adjustRightIn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注：1、辅助说明资料主要包括管理班子机构设置、职责分工、有关复印证明资料以及投标人认为有必要提供的资料。辅助说明资料格式不做统一规定，由投标人自行设计。</w:t>
      </w:r>
    </w:p>
    <w:p>
      <w:pPr>
        <w:overflowPunct w:val="0"/>
        <w:autoSpaceDE w:val="0"/>
        <w:autoSpaceDN w:val="0"/>
        <w:adjustRightInd w:val="0"/>
        <w:spacing w:line="50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2、项目管理班子配备情况辅助说明资料另附(与本投标文件一起装订)。</w:t>
      </w:r>
    </w:p>
    <w:p>
      <w:pPr>
        <w:spacing w:before="340" w:after="330" w:line="500" w:lineRule="atLeast"/>
        <w:jc w:val="both"/>
        <w:rPr>
          <w:rFonts w:ascii="仿宋" w:hAnsi="仿宋" w:eastAsia="仿宋" w:cs="仿宋"/>
          <w:b/>
          <w:bCs/>
          <w:color w:val="auto"/>
          <w:sz w:val="44"/>
          <w:szCs w:val="44"/>
          <w:highlight w:val="none"/>
        </w:rPr>
      </w:pPr>
    </w:p>
    <w:p>
      <w:pPr>
        <w:pStyle w:val="61"/>
        <w:spacing w:line="500" w:lineRule="atLeast"/>
        <w:jc w:val="both"/>
        <w:rPr>
          <w:rFonts w:ascii="仿宋" w:hAnsi="仿宋" w:eastAsia="仿宋" w:cs="仿宋"/>
          <w:bCs/>
          <w:color w:val="auto"/>
          <w:spacing w:val="0"/>
          <w:sz w:val="24"/>
          <w:highlight w:val="none"/>
        </w:rPr>
      </w:pPr>
    </w:p>
    <w:p>
      <w:pPr>
        <w:pStyle w:val="2"/>
        <w:numPr>
          <w:ilvl w:val="0"/>
          <w:numId w:val="5"/>
        </w:numPr>
        <w:jc w:val="center"/>
        <w:rPr>
          <w:rFonts w:ascii="仿宋" w:hAnsi="仿宋" w:eastAsia="仿宋" w:cs="仿宋"/>
          <w:color w:val="auto"/>
          <w:highlight w:val="none"/>
        </w:rPr>
      </w:pPr>
      <w:r>
        <w:rPr>
          <w:rFonts w:hint="eastAsia" w:ascii="仿宋" w:hAnsi="仿宋" w:eastAsia="仿宋" w:cs="仿宋"/>
          <w:color w:val="auto"/>
          <w:highlight w:val="none"/>
        </w:rPr>
        <w:t xml:space="preserve"> </w:t>
      </w:r>
      <w:bookmarkStart w:id="333" w:name="_Toc10522"/>
      <w:r>
        <w:rPr>
          <w:rFonts w:hint="eastAsia" w:ascii="仿宋" w:hAnsi="仿宋" w:eastAsia="仿宋" w:cs="仿宋"/>
          <w:color w:val="auto"/>
          <w:highlight w:val="none"/>
        </w:rPr>
        <w:t>评分办法</w:t>
      </w:r>
      <w:bookmarkEnd w:id="314"/>
      <w:bookmarkEnd w:id="315"/>
      <w:bookmarkEnd w:id="316"/>
      <w:bookmarkEnd w:id="317"/>
      <w:bookmarkEnd w:id="318"/>
      <w:bookmarkEnd w:id="319"/>
      <w:bookmarkEnd w:id="320"/>
      <w:bookmarkEnd w:id="321"/>
      <w:bookmarkEnd w:id="322"/>
      <w:bookmarkEnd w:id="323"/>
      <w:bookmarkEnd w:id="324"/>
      <w:bookmarkEnd w:id="333"/>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本次评标采用百分制综合评分法，评标委员会成员根据招标文件中确定的评分办法综合评定各投标人提交的投标文件。</w:t>
      </w:r>
      <w:r>
        <w:rPr>
          <w:rFonts w:hint="eastAsia" w:ascii="仿宋" w:hAnsi="仿宋" w:eastAsia="仿宋" w:cs="仿宋"/>
          <w:color w:val="auto"/>
          <w:sz w:val="24"/>
          <w:highlight w:val="none"/>
        </w:rPr>
        <w:t>本项目分为商务标、技术标、社会信誉及业绩三部分进行评审。</w:t>
      </w:r>
    </w:p>
    <w:tbl>
      <w:tblPr>
        <w:tblStyle w:val="41"/>
        <w:tblW w:w="10040" w:type="dxa"/>
        <w:jc w:val="center"/>
        <w:tblInd w:w="-275" w:type="dxa"/>
        <w:tblLayout w:type="fixed"/>
        <w:tblCellMar>
          <w:top w:w="39" w:type="dxa"/>
          <w:left w:w="107" w:type="dxa"/>
          <w:bottom w:w="0" w:type="dxa"/>
          <w:right w:w="0" w:type="dxa"/>
        </w:tblCellMar>
      </w:tblPr>
      <w:tblGrid>
        <w:gridCol w:w="478"/>
        <w:gridCol w:w="1035"/>
        <w:gridCol w:w="720"/>
        <w:gridCol w:w="7807"/>
      </w:tblGrid>
      <w:tr>
        <w:tblPrEx>
          <w:tblLayout w:type="fixed"/>
          <w:tblCellMar>
            <w:top w:w="39" w:type="dxa"/>
            <w:left w:w="107" w:type="dxa"/>
            <w:bottom w:w="0" w:type="dxa"/>
            <w:right w:w="0" w:type="dxa"/>
          </w:tblCellMar>
        </w:tblPrEx>
        <w:trPr>
          <w:trHeight w:val="90" w:hRule="atLeas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60" w:lineRule="exact"/>
              <w:ind w:right="1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ind w:right="4"/>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7807" w:type="dxa"/>
            <w:tcBorders>
              <w:top w:val="single" w:color="000000" w:sz="4" w:space="0"/>
              <w:left w:val="single" w:color="000000" w:sz="4" w:space="0"/>
              <w:bottom w:val="single" w:color="000000" w:sz="4" w:space="0"/>
              <w:right w:val="single" w:color="000000" w:sz="4" w:space="0"/>
            </w:tcBorders>
            <w:vAlign w:val="center"/>
          </w:tcPr>
          <w:p>
            <w:pPr>
              <w:spacing w:line="460" w:lineRule="exact"/>
              <w:ind w:right="101" w:firstLine="48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Layout w:type="fixed"/>
          <w:tblCellMar>
            <w:top w:w="39" w:type="dxa"/>
            <w:left w:w="107" w:type="dxa"/>
            <w:bottom w:w="0" w:type="dxa"/>
            <w:right w:w="0" w:type="dxa"/>
          </w:tblCellMar>
        </w:tblPrEx>
        <w:trPr>
          <w:trHeight w:val="1317" w:hRule="atLeas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25分</w:t>
            </w:r>
          </w:p>
        </w:tc>
        <w:tc>
          <w:tcPr>
            <w:tcW w:w="7807"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价格部分采用低价优先法计算，即满足磋商文件要求且最后报价最低的供应商价格为磋商基准价，其价格分为满分，其他供应商的价格分按照下列公式计算：</w:t>
            </w:r>
          </w:p>
          <w:p>
            <w:pPr>
              <w:spacing w:line="46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磋商报价得分=（磋商基准价／最后磋商报价）×25×100%</w:t>
            </w:r>
          </w:p>
        </w:tc>
      </w:tr>
      <w:tr>
        <w:tblPrEx>
          <w:tblLayout w:type="fixed"/>
          <w:tblCellMar>
            <w:top w:w="39" w:type="dxa"/>
            <w:left w:w="107" w:type="dxa"/>
            <w:bottom w:w="0" w:type="dxa"/>
            <w:right w:w="0" w:type="dxa"/>
          </w:tblCellMar>
        </w:tblPrEx>
        <w:trPr>
          <w:trHeight w:val="1317" w:hRule="atLeas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组价合理性</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7807" w:type="dxa"/>
            <w:tcBorders>
              <w:top w:val="single" w:color="000000" w:sz="4" w:space="0"/>
              <w:left w:val="single" w:color="000000" w:sz="4" w:space="0"/>
              <w:bottom w:val="single" w:color="000000" w:sz="4" w:space="0"/>
              <w:right w:val="single" w:color="000000" w:sz="4" w:space="0"/>
            </w:tcBorders>
            <w:vAlign w:val="center"/>
          </w:tcPr>
          <w:p>
            <w:pPr>
              <w:tabs>
                <w:tab w:val="left" w:pos="2745"/>
              </w:tabs>
              <w:spacing w:line="44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经专家评审综合单价计算合理，得0-5分；发生超出常规不均衡报价（明显高或明显低于市场报价）或单项费用与总费用不相吻合的每处扣1分；</w:t>
            </w:r>
          </w:p>
        </w:tc>
      </w:tr>
      <w:tr>
        <w:tblPrEx>
          <w:tblLayout w:type="fixed"/>
          <w:tblCellMar>
            <w:top w:w="39" w:type="dxa"/>
            <w:left w:w="107" w:type="dxa"/>
            <w:bottom w:w="0" w:type="dxa"/>
            <w:right w:w="0" w:type="dxa"/>
          </w:tblCellMar>
        </w:tblPrEx>
        <w:trPr>
          <w:trHeight w:val="90" w:hRule="atLeas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60" w:lineRule="exact"/>
              <w:ind w:right="92"/>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施工组织设计</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45分</w:t>
            </w:r>
          </w:p>
        </w:tc>
        <w:tc>
          <w:tcPr>
            <w:tcW w:w="780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1、主要施工及技术措施，由评审专家在0～6分之间进行打分；</w:t>
            </w:r>
          </w:p>
          <w:p>
            <w:pPr>
              <w:spacing w:line="460"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2、机械设备选用，由评审专家在0～5分之间进行打分；</w:t>
            </w:r>
          </w:p>
          <w:p>
            <w:pPr>
              <w:spacing w:line="460"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施工总进度计划及保证措施（包括以横道图或标明关键线路的网络进度计划、保障进度计划需要的主要施工机械设备、劳动力需求计划及保证措施、材料设备进场计划及其他保证措施等），由评审专家在0～6分之间进行打分；</w:t>
            </w:r>
          </w:p>
          <w:p>
            <w:pPr>
              <w:spacing w:line="460"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4、主要施工管理措施，由评审专家在0～5分之间进行打分；</w:t>
            </w:r>
          </w:p>
          <w:p>
            <w:pPr>
              <w:spacing w:line="460"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5、安全文明施工措施，由评审专家在0～5分之间进行打分；</w:t>
            </w:r>
          </w:p>
          <w:p>
            <w:pPr>
              <w:spacing w:line="460"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6、季节施工措施，由评审专家在0～3分之间进行打分；</w:t>
            </w:r>
          </w:p>
          <w:p>
            <w:pPr>
              <w:spacing w:line="460"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7、成品保护和工程保修工作的管理措施和承诺，由评审专家在0～5分之间进行打分；</w:t>
            </w:r>
          </w:p>
          <w:p>
            <w:pPr>
              <w:spacing w:line="460"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8、任何可能的紧急情况的处理措施、预案以及抵抗风险（包括工程施工过程中可能遇到的各种风险）的措施，由评审专家在0～5分之间进行打分；</w:t>
            </w:r>
          </w:p>
          <w:p>
            <w:pPr>
              <w:spacing w:line="460"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9、项目负责人、主要技术负责人、工程技术人员等劳动力配备满足施工要求，工作量分配合理，由评审专家在0～5分之间进行打分。</w:t>
            </w:r>
          </w:p>
        </w:tc>
      </w:tr>
      <w:tr>
        <w:tblPrEx>
          <w:tblLayout w:type="fixed"/>
          <w:tblCellMar>
            <w:top w:w="39" w:type="dxa"/>
            <w:left w:w="107" w:type="dxa"/>
            <w:bottom w:w="0" w:type="dxa"/>
            <w:right w:w="0" w:type="dxa"/>
          </w:tblCellMar>
        </w:tblPrEx>
        <w:trPr>
          <w:trHeight w:val="1957" w:hRule="atLeas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工程质量及保证措施</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16分</w:t>
            </w:r>
          </w:p>
        </w:tc>
        <w:tc>
          <w:tcPr>
            <w:tcW w:w="7807" w:type="dxa"/>
            <w:tcBorders>
              <w:top w:val="single" w:color="000000" w:sz="4" w:space="0"/>
              <w:left w:val="single" w:color="000000" w:sz="4" w:space="0"/>
              <w:bottom w:val="single" w:color="000000" w:sz="4" w:space="0"/>
              <w:right w:val="single" w:color="000000" w:sz="4" w:space="0"/>
            </w:tcBorders>
          </w:tcPr>
          <w:p>
            <w:pPr>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1、施工质量保证措施，由评审专家在0～4分之间进行打分；</w:t>
            </w:r>
          </w:p>
          <w:p>
            <w:pPr>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2、材料的质量保证措施，由评审专家在0～4分之间进行打分；</w:t>
            </w:r>
          </w:p>
          <w:p>
            <w:pPr>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3、设备的质量保证措施，由评审专家在0～4分之间进行打分；</w:t>
            </w:r>
          </w:p>
          <w:p>
            <w:pPr>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4、质量通病的防治措施，由评审专家在0～4分之间进行打分。</w:t>
            </w:r>
          </w:p>
        </w:tc>
      </w:tr>
      <w:tr>
        <w:tblPrEx>
          <w:tblLayout w:type="fixed"/>
          <w:tblCellMar>
            <w:top w:w="39" w:type="dxa"/>
            <w:left w:w="107" w:type="dxa"/>
            <w:bottom w:w="0" w:type="dxa"/>
            <w:right w:w="0" w:type="dxa"/>
          </w:tblCellMar>
        </w:tblPrEx>
        <w:trPr>
          <w:trHeight w:val="548" w:hRule="atLeas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eastAsia="zh-CN"/>
              </w:rPr>
              <w:t>业绩及</w:t>
            </w:r>
            <w:r>
              <w:rPr>
                <w:rFonts w:hint="eastAsia" w:ascii="仿宋" w:hAnsi="仿宋" w:eastAsia="仿宋" w:cs="仿宋"/>
                <w:color w:val="auto"/>
                <w:sz w:val="24"/>
                <w:szCs w:val="24"/>
                <w:highlight w:val="none"/>
              </w:rPr>
              <w:t>项目经理业绩</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7807" w:type="dxa"/>
            <w:tcBorders>
              <w:top w:val="single" w:color="000000" w:sz="4" w:space="0"/>
              <w:left w:val="single" w:color="000000" w:sz="4" w:space="0"/>
              <w:bottom w:val="single" w:color="000000" w:sz="4" w:space="0"/>
              <w:right w:val="single" w:color="000000" w:sz="4" w:space="0"/>
            </w:tcBorders>
          </w:tcPr>
          <w:p>
            <w:pPr>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1、项目经理近三年（2015年1月1日至今）负责的类似工程和规模相当的工程项目的项目合同；每有一个加1分，最多得3分；</w:t>
            </w:r>
          </w:p>
          <w:p>
            <w:pPr>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（提供合同原件证明，不提供的视为无该业绩，合同验证时间以合同签订时间为准）</w:t>
            </w:r>
          </w:p>
          <w:p>
            <w:pPr>
              <w:spacing w:line="460" w:lineRule="exact"/>
              <w:rPr>
                <w:rFonts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color w:val="auto"/>
                <w:sz w:val="24"/>
                <w:szCs w:val="24"/>
                <w:highlight w:val="none"/>
              </w:rPr>
              <w:t>2015年1月1日至今投标人合同金额50万元及以下（含50万元）的类似项目业绩，每有一项得1分；合同金额50万元以上类似项目业绩，每有一项得2分，合计最多得4分。</w:t>
            </w:r>
            <w:r>
              <w:rPr>
                <w:rFonts w:hint="eastAsia" w:ascii="仿宋" w:hAnsi="仿宋" w:eastAsia="仿宋" w:cs="仿宋"/>
                <w:b/>
                <w:color w:val="auto"/>
                <w:sz w:val="24"/>
                <w:szCs w:val="24"/>
                <w:highlight w:val="none"/>
              </w:rPr>
              <w:t>（提供合同原件证明，不提供的视为无该业绩，合同验证时间以合同签订时间为准）</w:t>
            </w:r>
          </w:p>
        </w:tc>
      </w:tr>
      <w:tr>
        <w:tblPrEx>
          <w:tblLayout w:type="fixed"/>
          <w:tblCellMar>
            <w:top w:w="39" w:type="dxa"/>
            <w:left w:w="107" w:type="dxa"/>
            <w:bottom w:w="0" w:type="dxa"/>
            <w:right w:w="0" w:type="dxa"/>
          </w:tblCellMar>
        </w:tblPrEx>
        <w:trPr>
          <w:trHeight w:val="2093" w:hRule="atLeast"/>
          <w:jc w:val="center"/>
        </w:trPr>
        <w:tc>
          <w:tcPr>
            <w:tcW w:w="47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eastAsia="zh-CN"/>
              </w:rPr>
              <w:t>服务优惠及承诺</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p>
        </w:tc>
        <w:tc>
          <w:tcPr>
            <w:tcW w:w="780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全面满足竞争性磋商文件要求，有实质性优惠条件</w:t>
            </w:r>
            <w:r>
              <w:rPr>
                <w:rFonts w:hint="eastAsia" w:ascii="仿宋" w:hAnsi="仿宋" w:eastAsia="仿宋" w:cs="仿宋"/>
                <w:color w:val="auto"/>
                <w:sz w:val="24"/>
                <w:szCs w:val="24"/>
                <w:highlight w:val="none"/>
                <w:lang w:eastAsia="zh-CN"/>
              </w:rPr>
              <w:t>、服务承诺</w:t>
            </w:r>
            <w:r>
              <w:rPr>
                <w:rFonts w:hint="eastAsia" w:ascii="仿宋" w:hAnsi="仿宋" w:eastAsia="仿宋" w:cs="仿宋"/>
                <w:color w:val="auto"/>
                <w:sz w:val="24"/>
                <w:szCs w:val="24"/>
                <w:highlight w:val="none"/>
              </w:rPr>
              <w:t>和提出的合理化措施及建议，由评审专家在0～2分之间进行打分。</w:t>
            </w:r>
          </w:p>
        </w:tc>
      </w:tr>
    </w:tbl>
    <w:p>
      <w:pPr>
        <w:spacing w:line="500" w:lineRule="atLeas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注：1、以上合同业绩以原件为准。   </w:t>
      </w:r>
    </w:p>
    <w:p>
      <w:pPr>
        <w:spacing w:line="500" w:lineRule="atLeast"/>
        <w:ind w:firstLine="482" w:firstLineChars="200"/>
        <w:rPr>
          <w:rFonts w:ascii="仿宋" w:hAnsi="仿宋" w:eastAsia="仿宋" w:cs="仿宋"/>
          <w:b/>
          <w:bCs/>
          <w:color w:val="auto"/>
          <w:sz w:val="24"/>
          <w:szCs w:val="24"/>
          <w:highlight w:val="none"/>
        </w:rPr>
      </w:pPr>
    </w:p>
    <w:p>
      <w:pPr>
        <w:spacing w:line="500" w:lineRule="atLeast"/>
        <w:ind w:firstLine="482" w:firstLineChars="200"/>
        <w:rPr>
          <w:rFonts w:ascii="仿宋" w:hAnsi="仿宋" w:eastAsia="仿宋" w:cs="仿宋"/>
          <w:b/>
          <w:bCs/>
          <w:color w:val="auto"/>
          <w:sz w:val="24"/>
          <w:szCs w:val="24"/>
          <w:highlight w:val="none"/>
        </w:rPr>
      </w:pPr>
    </w:p>
    <w:p>
      <w:pPr>
        <w:spacing w:line="500" w:lineRule="atLeast"/>
        <w:ind w:firstLine="482" w:firstLineChars="200"/>
        <w:rPr>
          <w:rFonts w:ascii="仿宋" w:hAnsi="仿宋" w:eastAsia="仿宋" w:cs="仿宋"/>
          <w:b/>
          <w:bCs/>
          <w:color w:val="auto"/>
          <w:sz w:val="24"/>
          <w:szCs w:val="24"/>
          <w:highlight w:val="none"/>
        </w:rPr>
      </w:pPr>
    </w:p>
    <w:p>
      <w:pPr>
        <w:spacing w:line="500" w:lineRule="atLeast"/>
        <w:ind w:firstLine="482" w:firstLineChars="200"/>
        <w:rPr>
          <w:rFonts w:ascii="仿宋" w:hAnsi="仿宋" w:eastAsia="仿宋" w:cs="仿宋"/>
          <w:b/>
          <w:bCs/>
          <w:color w:val="auto"/>
          <w:sz w:val="24"/>
          <w:szCs w:val="24"/>
          <w:highlight w:val="none"/>
        </w:rPr>
      </w:pPr>
    </w:p>
    <w:p>
      <w:pPr>
        <w:spacing w:line="500" w:lineRule="atLeast"/>
        <w:ind w:firstLine="482" w:firstLineChars="200"/>
        <w:rPr>
          <w:rFonts w:ascii="仿宋" w:hAnsi="仿宋" w:eastAsia="仿宋" w:cs="仿宋"/>
          <w:b/>
          <w:bCs/>
          <w:color w:val="auto"/>
          <w:sz w:val="24"/>
          <w:szCs w:val="24"/>
          <w:highlight w:val="none"/>
        </w:rPr>
      </w:pPr>
    </w:p>
    <w:p>
      <w:pPr>
        <w:spacing w:line="500" w:lineRule="atLeast"/>
        <w:ind w:firstLine="482" w:firstLineChars="200"/>
        <w:rPr>
          <w:rFonts w:ascii="仿宋" w:hAnsi="仿宋" w:eastAsia="仿宋" w:cs="仿宋"/>
          <w:b/>
          <w:bCs/>
          <w:color w:val="auto"/>
          <w:sz w:val="24"/>
          <w:szCs w:val="24"/>
          <w:highlight w:val="none"/>
        </w:rPr>
      </w:pPr>
    </w:p>
    <w:p>
      <w:pPr>
        <w:spacing w:line="500" w:lineRule="atLeast"/>
        <w:ind w:firstLine="482" w:firstLineChars="200"/>
        <w:rPr>
          <w:rFonts w:ascii="仿宋" w:hAnsi="仿宋" w:eastAsia="仿宋" w:cs="仿宋"/>
          <w:b/>
          <w:bCs/>
          <w:color w:val="auto"/>
          <w:sz w:val="24"/>
          <w:szCs w:val="24"/>
          <w:highlight w:val="none"/>
        </w:rPr>
      </w:pPr>
    </w:p>
    <w:p>
      <w:pPr>
        <w:spacing w:line="500" w:lineRule="atLeast"/>
        <w:ind w:firstLine="482" w:firstLineChars="200"/>
        <w:rPr>
          <w:rFonts w:ascii="仿宋" w:hAnsi="仿宋" w:eastAsia="仿宋" w:cs="仿宋"/>
          <w:b/>
          <w:bCs/>
          <w:color w:val="auto"/>
          <w:sz w:val="24"/>
          <w:szCs w:val="24"/>
          <w:highlight w:val="none"/>
        </w:rPr>
      </w:pPr>
    </w:p>
    <w:p>
      <w:pPr>
        <w:spacing w:line="500" w:lineRule="atLeast"/>
        <w:ind w:firstLine="482" w:firstLineChars="200"/>
        <w:rPr>
          <w:rFonts w:ascii="仿宋" w:hAnsi="仿宋" w:eastAsia="仿宋" w:cs="仿宋"/>
          <w:b/>
          <w:bCs/>
          <w:color w:val="auto"/>
          <w:sz w:val="24"/>
          <w:szCs w:val="24"/>
          <w:highlight w:val="none"/>
        </w:rPr>
      </w:pPr>
    </w:p>
    <w:p>
      <w:pPr>
        <w:pStyle w:val="2"/>
        <w:numPr>
          <w:ilvl w:val="0"/>
          <w:numId w:val="5"/>
        </w:numPr>
        <w:jc w:val="center"/>
        <w:rPr>
          <w:rFonts w:ascii="仿宋" w:hAnsi="仿宋" w:eastAsia="仿宋" w:cs="仿宋"/>
          <w:color w:val="auto"/>
          <w:highlight w:val="none"/>
        </w:rPr>
      </w:pPr>
      <w:r>
        <w:rPr>
          <w:rFonts w:hint="eastAsia" w:ascii="仿宋" w:hAnsi="仿宋" w:eastAsia="仿宋" w:cs="仿宋"/>
          <w:color w:val="auto"/>
          <w:highlight w:val="none"/>
        </w:rPr>
        <w:t xml:space="preserve"> </w:t>
      </w:r>
      <w:bookmarkStart w:id="334" w:name="_Toc19046"/>
      <w:r>
        <w:rPr>
          <w:rFonts w:hint="eastAsia" w:ascii="仿宋" w:hAnsi="仿宋" w:eastAsia="仿宋" w:cs="仿宋"/>
          <w:color w:val="auto"/>
          <w:highlight w:val="none"/>
        </w:rPr>
        <w:t>工程量清单</w:t>
      </w:r>
      <w:bookmarkEnd w:id="334"/>
    </w:p>
    <w:p>
      <w:pPr>
        <w:rPr>
          <w:color w:val="auto"/>
          <w:sz w:val="24"/>
          <w:szCs w:val="24"/>
          <w:highlight w:val="none"/>
        </w:rPr>
      </w:pPr>
      <w:r>
        <w:rPr>
          <w:rFonts w:hint="eastAsia" w:ascii="仿宋" w:hAnsi="仿宋" w:eastAsia="仿宋" w:cs="仿宋"/>
          <w:color w:val="auto"/>
          <w:sz w:val="24"/>
          <w:szCs w:val="24"/>
          <w:highlight w:val="none"/>
        </w:rPr>
        <w:t>详见附件</w:t>
      </w:r>
    </w:p>
    <w:p>
      <w:pPr>
        <w:spacing w:line="500" w:lineRule="atLeast"/>
        <w:ind w:firstLine="482" w:firstLineChars="200"/>
        <w:rPr>
          <w:rFonts w:ascii="仿宋" w:hAnsi="仿宋" w:eastAsia="仿宋" w:cs="仿宋"/>
          <w:b/>
          <w:bCs/>
          <w:color w:val="auto"/>
          <w:sz w:val="24"/>
          <w:szCs w:val="24"/>
          <w:highlight w:val="none"/>
        </w:rPr>
      </w:pPr>
    </w:p>
    <w:sectPr>
      <w:footerReference r:id="rId5" w:type="default"/>
      <w:pgSz w:w="11907" w:h="16840"/>
      <w:pgMar w:top="1247" w:right="1304" w:bottom="567" w:left="1304" w:header="851" w:footer="720"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大标宋简体">
    <w:altName w:val="宋体"/>
    <w:panose1 w:val="00000000000000000000"/>
    <w:charset w:val="86"/>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left"/>
      <w:rPr>
        <w:rFonts w:ascii="仿宋_GB2312" w:eastAsia="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left"/>
      <w:rPr>
        <w:rFonts w:ascii="仿宋_GB2312" w:eastAsia="仿宋_GB2312"/>
        <w:sz w:val="21"/>
        <w:szCs w:val="21"/>
      </w:rPr>
    </w:pPr>
    <w:r>
      <w:rPr>
        <w:rFonts w:hint="eastAsia"/>
        <w:bCs/>
      </w:rPr>
      <w:t xml:space="preserve">  </w:t>
    </w:r>
    <w:r>
      <w:rPr>
        <w:rFonts w:hint="eastAsia"/>
      </w:rPr>
      <w:t xml:space="preserve">          </w:t>
    </w:r>
    <w:r>
      <w:rPr>
        <w:rFonts w:hint="eastAsia" w:ascii="仿宋_GB2312" w:eastAsia="仿宋_GB2312"/>
        <w:sz w:val="21"/>
        <w:szCs w:val="21"/>
      </w:rPr>
      <w:t xml:space="preserve">                           </w:t>
    </w:r>
    <w:r>
      <w:rPr>
        <w:rStyle w:val="37"/>
        <w:rFonts w:ascii="宋体" w:hAnsi="宋体" w:cs="Arial"/>
        <w:b/>
        <w:sz w:val="21"/>
        <w:szCs w:val="21"/>
      </w:rPr>
      <w:t xml:space="preserve">- </w:t>
    </w:r>
    <w:r>
      <w:rPr>
        <w:rFonts w:ascii="宋体" w:hAnsi="宋体" w:cs="Arial"/>
        <w:b/>
        <w:sz w:val="21"/>
        <w:szCs w:val="21"/>
      </w:rPr>
      <w:fldChar w:fldCharType="begin"/>
    </w:r>
    <w:r>
      <w:rPr>
        <w:rStyle w:val="37"/>
        <w:rFonts w:ascii="宋体" w:hAnsi="宋体" w:cs="Arial"/>
        <w:b/>
        <w:sz w:val="21"/>
        <w:szCs w:val="21"/>
      </w:rPr>
      <w:instrText xml:space="preserve"> PAGE </w:instrText>
    </w:r>
    <w:r>
      <w:rPr>
        <w:rFonts w:ascii="宋体" w:hAnsi="宋体" w:cs="Arial"/>
        <w:b/>
        <w:sz w:val="21"/>
        <w:szCs w:val="21"/>
      </w:rPr>
      <w:fldChar w:fldCharType="separate"/>
    </w:r>
    <w:r>
      <w:rPr>
        <w:rStyle w:val="37"/>
        <w:rFonts w:ascii="宋体" w:hAnsi="宋体" w:cs="Arial"/>
        <w:b/>
        <w:sz w:val="21"/>
        <w:szCs w:val="21"/>
      </w:rPr>
      <w:t>56</w:t>
    </w:r>
    <w:r>
      <w:rPr>
        <w:rFonts w:ascii="宋体" w:hAnsi="宋体" w:cs="Arial"/>
        <w:b/>
        <w:sz w:val="21"/>
        <w:szCs w:val="21"/>
      </w:rPr>
      <w:fldChar w:fldCharType="end"/>
    </w:r>
    <w:r>
      <w:rPr>
        <w:rStyle w:val="37"/>
        <w:rFonts w:ascii="宋体" w:hAnsi="宋体" w:cs="Arial"/>
        <w:b/>
        <w:sz w:val="21"/>
        <w:szCs w:val="21"/>
      </w:rPr>
      <w:t xml:space="preserve"> -</w:t>
    </w:r>
    <w:r>
      <w:rPr>
        <w:rFonts w:hint="eastAsia" w:ascii="仿宋_GB2312" w:eastAsia="仿宋_GB2312"/>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tabs>
        <w:tab w:val="left" w:pos="330"/>
        <w:tab w:val="center" w:pos="4865"/>
      </w:tabs>
      <w:jc w:val="left"/>
    </w:pPr>
    <w:r>
      <w:rPr>
        <w:rFonts w:hint="eastAsia"/>
      </w:rPr>
      <w:tab/>
    </w:r>
    <w:r>
      <w:rPr>
        <w:rFonts w:hint="eastAsia"/>
      </w:rPr>
      <w:tab/>
    </w:r>
    <w:r>
      <w:rPr>
        <w:rFonts w:hint="eastAsia"/>
      </w:rPr>
      <w:t xml:space="preserve"> </w:t>
    </w:r>
    <w:r>
      <w:rPr>
        <w:rFonts w:hint="eastAsia" w:ascii="仿宋" w:hAnsi="仿宋" w:eastAsia="仿宋" w:cs="仿宋"/>
        <w:b/>
        <w:sz w:val="32"/>
        <w:szCs w:val="32"/>
      </w:rPr>
      <w:drawing>
        <wp:inline distT="0" distB="0" distL="0" distR="0">
          <wp:extent cx="336550" cy="319405"/>
          <wp:effectExtent l="19050" t="0" r="0" b="0"/>
          <wp:docPr id="2" name="图片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LOGO"/>
                  <pic:cNvPicPr>
                    <a:picLocks noChangeAspect="1" noChangeArrowheads="1"/>
                  </pic:cNvPicPr>
                </pic:nvPicPr>
                <pic:blipFill>
                  <a:blip r:embed="rId1"/>
                  <a:srcRect/>
                  <a:stretch>
                    <a:fillRect/>
                  </a:stretch>
                </pic:blipFill>
                <pic:spPr>
                  <a:xfrm>
                    <a:off x="0" y="0"/>
                    <a:ext cx="336550" cy="319405"/>
                  </a:xfrm>
                  <a:prstGeom prst="rect">
                    <a:avLst/>
                  </a:prstGeom>
                  <a:noFill/>
                  <a:ln w="9525" cmpd="sng">
                    <a:noFill/>
                    <a:miter lim="800000"/>
                    <a:headEnd/>
                    <a:tailEnd/>
                  </a:ln>
                </pic:spPr>
              </pic:pic>
            </a:graphicData>
          </a:graphic>
        </wp:inline>
      </w:drawing>
    </w:r>
    <w:r>
      <w:rPr>
        <w:rFonts w:hint="eastAsia"/>
      </w:rPr>
      <w:t xml:space="preserve">     山东蓝盾招标代理有限公司      网址：http://www.sdldzb.com        联系方式：0531-88809762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47E9DC"/>
    <w:multiLevelType w:val="singleLevel"/>
    <w:tmpl w:val="A047E9DC"/>
    <w:lvl w:ilvl="0" w:tentative="0">
      <w:start w:val="1"/>
      <w:numFmt w:val="chineseCounting"/>
      <w:suff w:val="nothing"/>
      <w:lvlText w:val="%1、"/>
      <w:lvlJc w:val="left"/>
      <w:rPr>
        <w:rFonts w:hint="eastAsia"/>
      </w:rPr>
    </w:lvl>
  </w:abstractNum>
  <w:abstractNum w:abstractNumId="1">
    <w:nsid w:val="DDE01475"/>
    <w:multiLevelType w:val="singleLevel"/>
    <w:tmpl w:val="DDE01475"/>
    <w:lvl w:ilvl="0" w:tentative="0">
      <w:start w:val="8"/>
      <w:numFmt w:val="chineseCounting"/>
      <w:suff w:val="nothing"/>
      <w:lvlText w:val="%1、"/>
      <w:lvlJc w:val="left"/>
      <w:rPr>
        <w:rFonts w:hint="eastAsia"/>
      </w:rPr>
    </w:lvl>
  </w:abstractNum>
  <w:abstractNum w:abstractNumId="2">
    <w:nsid w:val="58B4F20D"/>
    <w:multiLevelType w:val="singleLevel"/>
    <w:tmpl w:val="58B4F20D"/>
    <w:lvl w:ilvl="0" w:tentative="0">
      <w:start w:val="9"/>
      <w:numFmt w:val="chineseCounting"/>
      <w:suff w:val="nothing"/>
      <w:lvlText w:val="%1、"/>
      <w:lvlJc w:val="left"/>
    </w:lvl>
  </w:abstractNum>
  <w:abstractNum w:abstractNumId="3">
    <w:nsid w:val="58C0A688"/>
    <w:multiLevelType w:val="singleLevel"/>
    <w:tmpl w:val="58C0A688"/>
    <w:lvl w:ilvl="0" w:tentative="0">
      <w:start w:val="2"/>
      <w:numFmt w:val="decimal"/>
      <w:suff w:val="nothing"/>
      <w:lvlText w:val="%1、"/>
      <w:lvlJc w:val="left"/>
    </w:lvl>
  </w:abstractNum>
  <w:abstractNum w:abstractNumId="4">
    <w:nsid w:val="69B58D9C"/>
    <w:multiLevelType w:val="singleLevel"/>
    <w:tmpl w:val="69B58D9C"/>
    <w:lvl w:ilvl="0" w:tentative="0">
      <w:start w:val="10"/>
      <w:numFmt w:val="chineseCounting"/>
      <w:suff w:val="space"/>
      <w:lvlText w:val="第%1部分"/>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0F"/>
    <w:rsid w:val="00000B32"/>
    <w:rsid w:val="00001FB7"/>
    <w:rsid w:val="0000589E"/>
    <w:rsid w:val="000058F6"/>
    <w:rsid w:val="00006670"/>
    <w:rsid w:val="00012253"/>
    <w:rsid w:val="00012729"/>
    <w:rsid w:val="0001406E"/>
    <w:rsid w:val="0001431C"/>
    <w:rsid w:val="00014F20"/>
    <w:rsid w:val="00016341"/>
    <w:rsid w:val="0001760C"/>
    <w:rsid w:val="00020B1C"/>
    <w:rsid w:val="00023F5F"/>
    <w:rsid w:val="00024278"/>
    <w:rsid w:val="000257AF"/>
    <w:rsid w:val="00027FD1"/>
    <w:rsid w:val="00031FD8"/>
    <w:rsid w:val="000326E2"/>
    <w:rsid w:val="0003349D"/>
    <w:rsid w:val="00034298"/>
    <w:rsid w:val="00036A31"/>
    <w:rsid w:val="00036C95"/>
    <w:rsid w:val="00036D0D"/>
    <w:rsid w:val="0003750F"/>
    <w:rsid w:val="00037D04"/>
    <w:rsid w:val="00040C1D"/>
    <w:rsid w:val="00041478"/>
    <w:rsid w:val="00041BC0"/>
    <w:rsid w:val="00041CCD"/>
    <w:rsid w:val="000431F7"/>
    <w:rsid w:val="0004333A"/>
    <w:rsid w:val="0004428D"/>
    <w:rsid w:val="00045721"/>
    <w:rsid w:val="00046F78"/>
    <w:rsid w:val="00047257"/>
    <w:rsid w:val="00050FD6"/>
    <w:rsid w:val="00051149"/>
    <w:rsid w:val="00051879"/>
    <w:rsid w:val="0005235E"/>
    <w:rsid w:val="000542F7"/>
    <w:rsid w:val="000542FF"/>
    <w:rsid w:val="00056812"/>
    <w:rsid w:val="000568DE"/>
    <w:rsid w:val="00057177"/>
    <w:rsid w:val="00057B71"/>
    <w:rsid w:val="00061120"/>
    <w:rsid w:val="00061943"/>
    <w:rsid w:val="00062F73"/>
    <w:rsid w:val="0006390F"/>
    <w:rsid w:val="00065F54"/>
    <w:rsid w:val="00066567"/>
    <w:rsid w:val="00067330"/>
    <w:rsid w:val="00072C01"/>
    <w:rsid w:val="00075319"/>
    <w:rsid w:val="00075ED0"/>
    <w:rsid w:val="0007606B"/>
    <w:rsid w:val="00077CAC"/>
    <w:rsid w:val="0008036E"/>
    <w:rsid w:val="00083F94"/>
    <w:rsid w:val="0008440F"/>
    <w:rsid w:val="000849A7"/>
    <w:rsid w:val="00085611"/>
    <w:rsid w:val="0008607E"/>
    <w:rsid w:val="00086129"/>
    <w:rsid w:val="00087053"/>
    <w:rsid w:val="00087BA4"/>
    <w:rsid w:val="00091523"/>
    <w:rsid w:val="000930BF"/>
    <w:rsid w:val="000941D3"/>
    <w:rsid w:val="00095A01"/>
    <w:rsid w:val="000A11E3"/>
    <w:rsid w:val="000A1625"/>
    <w:rsid w:val="000A2A5D"/>
    <w:rsid w:val="000A558A"/>
    <w:rsid w:val="000A7816"/>
    <w:rsid w:val="000B0565"/>
    <w:rsid w:val="000B3593"/>
    <w:rsid w:val="000B4D09"/>
    <w:rsid w:val="000B544A"/>
    <w:rsid w:val="000B57C8"/>
    <w:rsid w:val="000B6B87"/>
    <w:rsid w:val="000B75F2"/>
    <w:rsid w:val="000B7EBC"/>
    <w:rsid w:val="000C0A61"/>
    <w:rsid w:val="000C0CC7"/>
    <w:rsid w:val="000C143D"/>
    <w:rsid w:val="000C248E"/>
    <w:rsid w:val="000C269F"/>
    <w:rsid w:val="000C59C7"/>
    <w:rsid w:val="000C6B4A"/>
    <w:rsid w:val="000D0348"/>
    <w:rsid w:val="000D10B2"/>
    <w:rsid w:val="000D18EB"/>
    <w:rsid w:val="000D1D55"/>
    <w:rsid w:val="000D39A4"/>
    <w:rsid w:val="000D3A09"/>
    <w:rsid w:val="000D44C0"/>
    <w:rsid w:val="000D4CC6"/>
    <w:rsid w:val="000D552D"/>
    <w:rsid w:val="000D6CAB"/>
    <w:rsid w:val="000E2568"/>
    <w:rsid w:val="000E3937"/>
    <w:rsid w:val="000E43C8"/>
    <w:rsid w:val="000E70C3"/>
    <w:rsid w:val="000E7770"/>
    <w:rsid w:val="000E780A"/>
    <w:rsid w:val="000E7C9A"/>
    <w:rsid w:val="000F08A9"/>
    <w:rsid w:val="000F0A05"/>
    <w:rsid w:val="000F37E7"/>
    <w:rsid w:val="000F4393"/>
    <w:rsid w:val="000F4812"/>
    <w:rsid w:val="000F4F3C"/>
    <w:rsid w:val="000F626D"/>
    <w:rsid w:val="000F69DC"/>
    <w:rsid w:val="00100882"/>
    <w:rsid w:val="00100CF6"/>
    <w:rsid w:val="00101B8C"/>
    <w:rsid w:val="0010596B"/>
    <w:rsid w:val="00106732"/>
    <w:rsid w:val="00107E23"/>
    <w:rsid w:val="00110999"/>
    <w:rsid w:val="001113B8"/>
    <w:rsid w:val="00117C10"/>
    <w:rsid w:val="0012287A"/>
    <w:rsid w:val="00122CDC"/>
    <w:rsid w:val="00124445"/>
    <w:rsid w:val="00131F31"/>
    <w:rsid w:val="001325B1"/>
    <w:rsid w:val="001342F4"/>
    <w:rsid w:val="001344F5"/>
    <w:rsid w:val="00134531"/>
    <w:rsid w:val="0013579E"/>
    <w:rsid w:val="0013745C"/>
    <w:rsid w:val="00140830"/>
    <w:rsid w:val="00142A22"/>
    <w:rsid w:val="00145050"/>
    <w:rsid w:val="0015061A"/>
    <w:rsid w:val="001506A9"/>
    <w:rsid w:val="001518D7"/>
    <w:rsid w:val="0015213D"/>
    <w:rsid w:val="00152998"/>
    <w:rsid w:val="001546F5"/>
    <w:rsid w:val="001556F3"/>
    <w:rsid w:val="001557EC"/>
    <w:rsid w:val="00156576"/>
    <w:rsid w:val="00160C29"/>
    <w:rsid w:val="001610B3"/>
    <w:rsid w:val="001629DA"/>
    <w:rsid w:val="0016399D"/>
    <w:rsid w:val="00165AE7"/>
    <w:rsid w:val="0016655F"/>
    <w:rsid w:val="00166FB2"/>
    <w:rsid w:val="001711A6"/>
    <w:rsid w:val="0017120C"/>
    <w:rsid w:val="00171968"/>
    <w:rsid w:val="00171EE9"/>
    <w:rsid w:val="001726A8"/>
    <w:rsid w:val="001761DD"/>
    <w:rsid w:val="001769A2"/>
    <w:rsid w:val="00176C91"/>
    <w:rsid w:val="00181280"/>
    <w:rsid w:val="00181A7A"/>
    <w:rsid w:val="00183628"/>
    <w:rsid w:val="001841C3"/>
    <w:rsid w:val="00184E88"/>
    <w:rsid w:val="001853C6"/>
    <w:rsid w:val="001861AA"/>
    <w:rsid w:val="001861E4"/>
    <w:rsid w:val="001868C4"/>
    <w:rsid w:val="001870E3"/>
    <w:rsid w:val="00191B40"/>
    <w:rsid w:val="00192856"/>
    <w:rsid w:val="00192FAC"/>
    <w:rsid w:val="00193BDC"/>
    <w:rsid w:val="00193CE6"/>
    <w:rsid w:val="00193FFB"/>
    <w:rsid w:val="001942A9"/>
    <w:rsid w:val="00195837"/>
    <w:rsid w:val="00197B8E"/>
    <w:rsid w:val="001A0391"/>
    <w:rsid w:val="001A145C"/>
    <w:rsid w:val="001A1F2E"/>
    <w:rsid w:val="001A2704"/>
    <w:rsid w:val="001A2996"/>
    <w:rsid w:val="001A299E"/>
    <w:rsid w:val="001A2A36"/>
    <w:rsid w:val="001A3015"/>
    <w:rsid w:val="001A32E9"/>
    <w:rsid w:val="001A359C"/>
    <w:rsid w:val="001A5112"/>
    <w:rsid w:val="001A59DB"/>
    <w:rsid w:val="001A7729"/>
    <w:rsid w:val="001A7EFE"/>
    <w:rsid w:val="001B2287"/>
    <w:rsid w:val="001B24AC"/>
    <w:rsid w:val="001B275D"/>
    <w:rsid w:val="001B2CB3"/>
    <w:rsid w:val="001B405B"/>
    <w:rsid w:val="001B425D"/>
    <w:rsid w:val="001B4E47"/>
    <w:rsid w:val="001B73F8"/>
    <w:rsid w:val="001C0432"/>
    <w:rsid w:val="001C1EEC"/>
    <w:rsid w:val="001C560F"/>
    <w:rsid w:val="001C58CF"/>
    <w:rsid w:val="001C5C59"/>
    <w:rsid w:val="001D16AD"/>
    <w:rsid w:val="001D19F1"/>
    <w:rsid w:val="001D2880"/>
    <w:rsid w:val="001D30DB"/>
    <w:rsid w:val="001D32F4"/>
    <w:rsid w:val="001D332A"/>
    <w:rsid w:val="001D4447"/>
    <w:rsid w:val="001D44F5"/>
    <w:rsid w:val="001D54E2"/>
    <w:rsid w:val="001D5D27"/>
    <w:rsid w:val="001E054B"/>
    <w:rsid w:val="001E11B1"/>
    <w:rsid w:val="001E149A"/>
    <w:rsid w:val="001E2802"/>
    <w:rsid w:val="001E321F"/>
    <w:rsid w:val="001E492C"/>
    <w:rsid w:val="001E6A8C"/>
    <w:rsid w:val="001E6F12"/>
    <w:rsid w:val="001F1390"/>
    <w:rsid w:val="001F2F94"/>
    <w:rsid w:val="001F3753"/>
    <w:rsid w:val="001F4613"/>
    <w:rsid w:val="001F503A"/>
    <w:rsid w:val="001F63CE"/>
    <w:rsid w:val="001F7316"/>
    <w:rsid w:val="00200F97"/>
    <w:rsid w:val="002015BE"/>
    <w:rsid w:val="002017B3"/>
    <w:rsid w:val="00203B88"/>
    <w:rsid w:val="00204C87"/>
    <w:rsid w:val="0020565F"/>
    <w:rsid w:val="0021064D"/>
    <w:rsid w:val="00210B8D"/>
    <w:rsid w:val="002110ED"/>
    <w:rsid w:val="00211141"/>
    <w:rsid w:val="00211558"/>
    <w:rsid w:val="00212724"/>
    <w:rsid w:val="002128CF"/>
    <w:rsid w:val="00213804"/>
    <w:rsid w:val="00213CAC"/>
    <w:rsid w:val="002152E4"/>
    <w:rsid w:val="00217BB1"/>
    <w:rsid w:val="00220A1D"/>
    <w:rsid w:val="00222102"/>
    <w:rsid w:val="0022228F"/>
    <w:rsid w:val="00225686"/>
    <w:rsid w:val="00231177"/>
    <w:rsid w:val="0023397C"/>
    <w:rsid w:val="00234974"/>
    <w:rsid w:val="002357D9"/>
    <w:rsid w:val="00235B37"/>
    <w:rsid w:val="00236B84"/>
    <w:rsid w:val="0023712C"/>
    <w:rsid w:val="00237197"/>
    <w:rsid w:val="00240BCB"/>
    <w:rsid w:val="00240C31"/>
    <w:rsid w:val="00244053"/>
    <w:rsid w:val="00244303"/>
    <w:rsid w:val="00246F73"/>
    <w:rsid w:val="00247F24"/>
    <w:rsid w:val="0025090E"/>
    <w:rsid w:val="00250C4C"/>
    <w:rsid w:val="00250C73"/>
    <w:rsid w:val="0025429C"/>
    <w:rsid w:val="00254627"/>
    <w:rsid w:val="00255359"/>
    <w:rsid w:val="00255C43"/>
    <w:rsid w:val="00256449"/>
    <w:rsid w:val="002564FF"/>
    <w:rsid w:val="00256D37"/>
    <w:rsid w:val="00256F73"/>
    <w:rsid w:val="002602C0"/>
    <w:rsid w:val="002620B8"/>
    <w:rsid w:val="00263201"/>
    <w:rsid w:val="002637DF"/>
    <w:rsid w:val="002639EA"/>
    <w:rsid w:val="00266260"/>
    <w:rsid w:val="00266ABE"/>
    <w:rsid w:val="00267753"/>
    <w:rsid w:val="00270629"/>
    <w:rsid w:val="00272093"/>
    <w:rsid w:val="002726E9"/>
    <w:rsid w:val="00272918"/>
    <w:rsid w:val="002734B8"/>
    <w:rsid w:val="00273769"/>
    <w:rsid w:val="00274430"/>
    <w:rsid w:val="00274FCE"/>
    <w:rsid w:val="0027678C"/>
    <w:rsid w:val="002771D4"/>
    <w:rsid w:val="00280BA1"/>
    <w:rsid w:val="00280F5E"/>
    <w:rsid w:val="002815EE"/>
    <w:rsid w:val="00282BB0"/>
    <w:rsid w:val="00283832"/>
    <w:rsid w:val="002878D4"/>
    <w:rsid w:val="002900D5"/>
    <w:rsid w:val="0029053B"/>
    <w:rsid w:val="00291B60"/>
    <w:rsid w:val="00293FF1"/>
    <w:rsid w:val="00294707"/>
    <w:rsid w:val="00295A88"/>
    <w:rsid w:val="00295C8C"/>
    <w:rsid w:val="00297F22"/>
    <w:rsid w:val="002A28DF"/>
    <w:rsid w:val="002A3122"/>
    <w:rsid w:val="002A4408"/>
    <w:rsid w:val="002A66AF"/>
    <w:rsid w:val="002B0C95"/>
    <w:rsid w:val="002B0F3D"/>
    <w:rsid w:val="002B0F4D"/>
    <w:rsid w:val="002B14B1"/>
    <w:rsid w:val="002B1807"/>
    <w:rsid w:val="002B21A5"/>
    <w:rsid w:val="002B238A"/>
    <w:rsid w:val="002B2558"/>
    <w:rsid w:val="002B45AB"/>
    <w:rsid w:val="002B4B0A"/>
    <w:rsid w:val="002B62BD"/>
    <w:rsid w:val="002B6F62"/>
    <w:rsid w:val="002C0931"/>
    <w:rsid w:val="002C0BE4"/>
    <w:rsid w:val="002C360F"/>
    <w:rsid w:val="002C45B4"/>
    <w:rsid w:val="002C470C"/>
    <w:rsid w:val="002C5553"/>
    <w:rsid w:val="002C5E27"/>
    <w:rsid w:val="002C5EEA"/>
    <w:rsid w:val="002C7D25"/>
    <w:rsid w:val="002D0DD2"/>
    <w:rsid w:val="002D191B"/>
    <w:rsid w:val="002D1F28"/>
    <w:rsid w:val="002D21A0"/>
    <w:rsid w:val="002D22FC"/>
    <w:rsid w:val="002D46DA"/>
    <w:rsid w:val="002D5F65"/>
    <w:rsid w:val="002E1338"/>
    <w:rsid w:val="002E17C0"/>
    <w:rsid w:val="002E55F1"/>
    <w:rsid w:val="002F1080"/>
    <w:rsid w:val="002F2998"/>
    <w:rsid w:val="002F396F"/>
    <w:rsid w:val="002F472F"/>
    <w:rsid w:val="002F4C9E"/>
    <w:rsid w:val="002F4DDC"/>
    <w:rsid w:val="002F6305"/>
    <w:rsid w:val="003011B3"/>
    <w:rsid w:val="00301F6F"/>
    <w:rsid w:val="0030299F"/>
    <w:rsid w:val="0030392F"/>
    <w:rsid w:val="00303AD1"/>
    <w:rsid w:val="003049F5"/>
    <w:rsid w:val="00306637"/>
    <w:rsid w:val="00307BD7"/>
    <w:rsid w:val="00307CCC"/>
    <w:rsid w:val="00312A13"/>
    <w:rsid w:val="00312E5E"/>
    <w:rsid w:val="00313F44"/>
    <w:rsid w:val="0031535E"/>
    <w:rsid w:val="0031600D"/>
    <w:rsid w:val="00322FD2"/>
    <w:rsid w:val="003230E6"/>
    <w:rsid w:val="00324527"/>
    <w:rsid w:val="00324BEF"/>
    <w:rsid w:val="00324DAF"/>
    <w:rsid w:val="00325E44"/>
    <w:rsid w:val="003274E6"/>
    <w:rsid w:val="003322CE"/>
    <w:rsid w:val="00334F8D"/>
    <w:rsid w:val="00335FEB"/>
    <w:rsid w:val="00336665"/>
    <w:rsid w:val="0033692B"/>
    <w:rsid w:val="0033765E"/>
    <w:rsid w:val="00340C28"/>
    <w:rsid w:val="003418CA"/>
    <w:rsid w:val="00342884"/>
    <w:rsid w:val="0034380B"/>
    <w:rsid w:val="003438E6"/>
    <w:rsid w:val="00345A7E"/>
    <w:rsid w:val="00345FD8"/>
    <w:rsid w:val="00346A49"/>
    <w:rsid w:val="0034768A"/>
    <w:rsid w:val="00351142"/>
    <w:rsid w:val="00351394"/>
    <w:rsid w:val="003527B5"/>
    <w:rsid w:val="00352EF6"/>
    <w:rsid w:val="00353133"/>
    <w:rsid w:val="003531F9"/>
    <w:rsid w:val="00353410"/>
    <w:rsid w:val="0035341F"/>
    <w:rsid w:val="00353CBB"/>
    <w:rsid w:val="00355860"/>
    <w:rsid w:val="00355B26"/>
    <w:rsid w:val="00356331"/>
    <w:rsid w:val="00360834"/>
    <w:rsid w:val="00360B50"/>
    <w:rsid w:val="00360E84"/>
    <w:rsid w:val="003612CA"/>
    <w:rsid w:val="0036140E"/>
    <w:rsid w:val="00361DBF"/>
    <w:rsid w:val="00362BC6"/>
    <w:rsid w:val="003634A7"/>
    <w:rsid w:val="00365354"/>
    <w:rsid w:val="003660AC"/>
    <w:rsid w:val="00366128"/>
    <w:rsid w:val="00370570"/>
    <w:rsid w:val="003705F5"/>
    <w:rsid w:val="00372899"/>
    <w:rsid w:val="003730EC"/>
    <w:rsid w:val="003757B9"/>
    <w:rsid w:val="00375AC2"/>
    <w:rsid w:val="00376519"/>
    <w:rsid w:val="00377C1A"/>
    <w:rsid w:val="00377E47"/>
    <w:rsid w:val="00381B7D"/>
    <w:rsid w:val="00382ACA"/>
    <w:rsid w:val="00383C15"/>
    <w:rsid w:val="003841DB"/>
    <w:rsid w:val="00384636"/>
    <w:rsid w:val="003862B7"/>
    <w:rsid w:val="003874CC"/>
    <w:rsid w:val="003876E9"/>
    <w:rsid w:val="00390912"/>
    <w:rsid w:val="00390C6F"/>
    <w:rsid w:val="0039146B"/>
    <w:rsid w:val="00391ACA"/>
    <w:rsid w:val="00392A83"/>
    <w:rsid w:val="00392EBF"/>
    <w:rsid w:val="00393040"/>
    <w:rsid w:val="00393138"/>
    <w:rsid w:val="003952DC"/>
    <w:rsid w:val="00395C00"/>
    <w:rsid w:val="00395D4B"/>
    <w:rsid w:val="003970FE"/>
    <w:rsid w:val="00397220"/>
    <w:rsid w:val="00397942"/>
    <w:rsid w:val="003A21FE"/>
    <w:rsid w:val="003A2C40"/>
    <w:rsid w:val="003A5FDD"/>
    <w:rsid w:val="003A7322"/>
    <w:rsid w:val="003B0255"/>
    <w:rsid w:val="003B290F"/>
    <w:rsid w:val="003B3A88"/>
    <w:rsid w:val="003B506B"/>
    <w:rsid w:val="003B5950"/>
    <w:rsid w:val="003B7CC1"/>
    <w:rsid w:val="003B7F73"/>
    <w:rsid w:val="003C251D"/>
    <w:rsid w:val="003C2B2E"/>
    <w:rsid w:val="003C33A6"/>
    <w:rsid w:val="003C35E3"/>
    <w:rsid w:val="003C514D"/>
    <w:rsid w:val="003C706D"/>
    <w:rsid w:val="003D05A2"/>
    <w:rsid w:val="003D1706"/>
    <w:rsid w:val="003D24C3"/>
    <w:rsid w:val="003D4633"/>
    <w:rsid w:val="003D75BF"/>
    <w:rsid w:val="003E03C9"/>
    <w:rsid w:val="003E1B52"/>
    <w:rsid w:val="003E201B"/>
    <w:rsid w:val="003E2996"/>
    <w:rsid w:val="003E2A10"/>
    <w:rsid w:val="003E3917"/>
    <w:rsid w:val="003F345A"/>
    <w:rsid w:val="003F6BCB"/>
    <w:rsid w:val="003F6E47"/>
    <w:rsid w:val="003F7851"/>
    <w:rsid w:val="004000A1"/>
    <w:rsid w:val="00400EF3"/>
    <w:rsid w:val="00402ED1"/>
    <w:rsid w:val="00403F5C"/>
    <w:rsid w:val="004043F9"/>
    <w:rsid w:val="00404D05"/>
    <w:rsid w:val="00405710"/>
    <w:rsid w:val="0040652C"/>
    <w:rsid w:val="00410D2C"/>
    <w:rsid w:val="00410E41"/>
    <w:rsid w:val="00411300"/>
    <w:rsid w:val="00411764"/>
    <w:rsid w:val="004124CE"/>
    <w:rsid w:val="0041326A"/>
    <w:rsid w:val="00414161"/>
    <w:rsid w:val="004141FA"/>
    <w:rsid w:val="00414500"/>
    <w:rsid w:val="00415660"/>
    <w:rsid w:val="004156C9"/>
    <w:rsid w:val="004174B7"/>
    <w:rsid w:val="004174E3"/>
    <w:rsid w:val="00417A95"/>
    <w:rsid w:val="004202C0"/>
    <w:rsid w:val="00420725"/>
    <w:rsid w:val="00422605"/>
    <w:rsid w:val="0042311D"/>
    <w:rsid w:val="004240E6"/>
    <w:rsid w:val="004243D6"/>
    <w:rsid w:val="004276A5"/>
    <w:rsid w:val="00430258"/>
    <w:rsid w:val="0043104C"/>
    <w:rsid w:val="004310A3"/>
    <w:rsid w:val="00431D41"/>
    <w:rsid w:val="0043439C"/>
    <w:rsid w:val="00434530"/>
    <w:rsid w:val="00435465"/>
    <w:rsid w:val="00435BC9"/>
    <w:rsid w:val="00441990"/>
    <w:rsid w:val="00442CA8"/>
    <w:rsid w:val="00442CDB"/>
    <w:rsid w:val="004508F5"/>
    <w:rsid w:val="00450F18"/>
    <w:rsid w:val="004517B6"/>
    <w:rsid w:val="00452D6B"/>
    <w:rsid w:val="00453DD3"/>
    <w:rsid w:val="004566FE"/>
    <w:rsid w:val="00460986"/>
    <w:rsid w:val="00462401"/>
    <w:rsid w:val="004628F5"/>
    <w:rsid w:val="00463F25"/>
    <w:rsid w:val="00464A58"/>
    <w:rsid w:val="0046553F"/>
    <w:rsid w:val="00465989"/>
    <w:rsid w:val="00466D36"/>
    <w:rsid w:val="00467356"/>
    <w:rsid w:val="00470827"/>
    <w:rsid w:val="00470F76"/>
    <w:rsid w:val="004729F2"/>
    <w:rsid w:val="00472F5B"/>
    <w:rsid w:val="004749C1"/>
    <w:rsid w:val="00474EA6"/>
    <w:rsid w:val="0047561F"/>
    <w:rsid w:val="00475F97"/>
    <w:rsid w:val="00475FB6"/>
    <w:rsid w:val="0048089B"/>
    <w:rsid w:val="00480A85"/>
    <w:rsid w:val="004827FA"/>
    <w:rsid w:val="00483433"/>
    <w:rsid w:val="00483E45"/>
    <w:rsid w:val="00485746"/>
    <w:rsid w:val="004861E1"/>
    <w:rsid w:val="00486A16"/>
    <w:rsid w:val="00486F70"/>
    <w:rsid w:val="00487656"/>
    <w:rsid w:val="004902ED"/>
    <w:rsid w:val="004907B7"/>
    <w:rsid w:val="0049126F"/>
    <w:rsid w:val="00491FD4"/>
    <w:rsid w:val="00492C5F"/>
    <w:rsid w:val="00495644"/>
    <w:rsid w:val="004972A1"/>
    <w:rsid w:val="004977CD"/>
    <w:rsid w:val="004A0B85"/>
    <w:rsid w:val="004A12CE"/>
    <w:rsid w:val="004A13F0"/>
    <w:rsid w:val="004A188C"/>
    <w:rsid w:val="004A1AB5"/>
    <w:rsid w:val="004A4B6D"/>
    <w:rsid w:val="004A566C"/>
    <w:rsid w:val="004A6D60"/>
    <w:rsid w:val="004A6E2F"/>
    <w:rsid w:val="004A71E6"/>
    <w:rsid w:val="004A727D"/>
    <w:rsid w:val="004A740A"/>
    <w:rsid w:val="004A7C84"/>
    <w:rsid w:val="004B0FE6"/>
    <w:rsid w:val="004B1DDA"/>
    <w:rsid w:val="004B36BA"/>
    <w:rsid w:val="004B3755"/>
    <w:rsid w:val="004B3CCA"/>
    <w:rsid w:val="004B5050"/>
    <w:rsid w:val="004B580A"/>
    <w:rsid w:val="004B7806"/>
    <w:rsid w:val="004C0AA4"/>
    <w:rsid w:val="004C128B"/>
    <w:rsid w:val="004C1FCF"/>
    <w:rsid w:val="004C446C"/>
    <w:rsid w:val="004C5184"/>
    <w:rsid w:val="004C55C2"/>
    <w:rsid w:val="004C5BE5"/>
    <w:rsid w:val="004D0549"/>
    <w:rsid w:val="004D08C1"/>
    <w:rsid w:val="004D163E"/>
    <w:rsid w:val="004D458E"/>
    <w:rsid w:val="004D4667"/>
    <w:rsid w:val="004D5398"/>
    <w:rsid w:val="004D5EB3"/>
    <w:rsid w:val="004D6473"/>
    <w:rsid w:val="004D7FE3"/>
    <w:rsid w:val="004E28F2"/>
    <w:rsid w:val="004E2D04"/>
    <w:rsid w:val="004E333B"/>
    <w:rsid w:val="004E4023"/>
    <w:rsid w:val="004E5018"/>
    <w:rsid w:val="004E6B70"/>
    <w:rsid w:val="004F0400"/>
    <w:rsid w:val="004F1475"/>
    <w:rsid w:val="004F1F7F"/>
    <w:rsid w:val="004F21C6"/>
    <w:rsid w:val="004F344C"/>
    <w:rsid w:val="004F36E3"/>
    <w:rsid w:val="004F76D8"/>
    <w:rsid w:val="00500F25"/>
    <w:rsid w:val="00501851"/>
    <w:rsid w:val="00503F32"/>
    <w:rsid w:val="00503F37"/>
    <w:rsid w:val="005044B0"/>
    <w:rsid w:val="005056C1"/>
    <w:rsid w:val="005057D0"/>
    <w:rsid w:val="00506941"/>
    <w:rsid w:val="005074AA"/>
    <w:rsid w:val="00507CC3"/>
    <w:rsid w:val="00507F7C"/>
    <w:rsid w:val="00510710"/>
    <w:rsid w:val="00512922"/>
    <w:rsid w:val="00512E59"/>
    <w:rsid w:val="005136A7"/>
    <w:rsid w:val="005155B4"/>
    <w:rsid w:val="00516AF3"/>
    <w:rsid w:val="005174E5"/>
    <w:rsid w:val="00517BA6"/>
    <w:rsid w:val="0052070D"/>
    <w:rsid w:val="00521299"/>
    <w:rsid w:val="00522CC8"/>
    <w:rsid w:val="00524CB6"/>
    <w:rsid w:val="00526F48"/>
    <w:rsid w:val="00530874"/>
    <w:rsid w:val="00530AED"/>
    <w:rsid w:val="00531603"/>
    <w:rsid w:val="00532359"/>
    <w:rsid w:val="0053245D"/>
    <w:rsid w:val="00532C8E"/>
    <w:rsid w:val="00533E49"/>
    <w:rsid w:val="0053473E"/>
    <w:rsid w:val="00535044"/>
    <w:rsid w:val="00535369"/>
    <w:rsid w:val="00535562"/>
    <w:rsid w:val="00535B74"/>
    <w:rsid w:val="00535C4A"/>
    <w:rsid w:val="00536C8A"/>
    <w:rsid w:val="0053747A"/>
    <w:rsid w:val="00537582"/>
    <w:rsid w:val="0054091D"/>
    <w:rsid w:val="005426D8"/>
    <w:rsid w:val="005431F6"/>
    <w:rsid w:val="0054410C"/>
    <w:rsid w:val="00546262"/>
    <w:rsid w:val="0055010B"/>
    <w:rsid w:val="00550CAF"/>
    <w:rsid w:val="005510C6"/>
    <w:rsid w:val="00551861"/>
    <w:rsid w:val="005528AE"/>
    <w:rsid w:val="00552FCA"/>
    <w:rsid w:val="00554170"/>
    <w:rsid w:val="005550A1"/>
    <w:rsid w:val="00555440"/>
    <w:rsid w:val="005554FD"/>
    <w:rsid w:val="00555F4B"/>
    <w:rsid w:val="00555F64"/>
    <w:rsid w:val="0055707A"/>
    <w:rsid w:val="005602F8"/>
    <w:rsid w:val="00561339"/>
    <w:rsid w:val="0056299F"/>
    <w:rsid w:val="00563559"/>
    <w:rsid w:val="005636F1"/>
    <w:rsid w:val="00563B2D"/>
    <w:rsid w:val="00564495"/>
    <w:rsid w:val="00566C12"/>
    <w:rsid w:val="00570490"/>
    <w:rsid w:val="005704C0"/>
    <w:rsid w:val="00573DF8"/>
    <w:rsid w:val="005749F1"/>
    <w:rsid w:val="00575B04"/>
    <w:rsid w:val="005766A5"/>
    <w:rsid w:val="0058046E"/>
    <w:rsid w:val="00580F99"/>
    <w:rsid w:val="005810F7"/>
    <w:rsid w:val="00581BD3"/>
    <w:rsid w:val="00582757"/>
    <w:rsid w:val="005828C6"/>
    <w:rsid w:val="005828DD"/>
    <w:rsid w:val="00584ABC"/>
    <w:rsid w:val="0058604C"/>
    <w:rsid w:val="00592FFE"/>
    <w:rsid w:val="00595B33"/>
    <w:rsid w:val="005971E5"/>
    <w:rsid w:val="0059779B"/>
    <w:rsid w:val="00597951"/>
    <w:rsid w:val="005A1377"/>
    <w:rsid w:val="005A1F39"/>
    <w:rsid w:val="005A23DC"/>
    <w:rsid w:val="005A58A6"/>
    <w:rsid w:val="005A71A7"/>
    <w:rsid w:val="005B09F8"/>
    <w:rsid w:val="005B0B15"/>
    <w:rsid w:val="005B227D"/>
    <w:rsid w:val="005B2EC3"/>
    <w:rsid w:val="005B3B17"/>
    <w:rsid w:val="005B73B2"/>
    <w:rsid w:val="005B7C1D"/>
    <w:rsid w:val="005C2A50"/>
    <w:rsid w:val="005C3890"/>
    <w:rsid w:val="005C3E93"/>
    <w:rsid w:val="005C48A1"/>
    <w:rsid w:val="005C57AD"/>
    <w:rsid w:val="005C6A46"/>
    <w:rsid w:val="005C70A9"/>
    <w:rsid w:val="005D05E4"/>
    <w:rsid w:val="005D099E"/>
    <w:rsid w:val="005D0C61"/>
    <w:rsid w:val="005D7E2A"/>
    <w:rsid w:val="005E0C0B"/>
    <w:rsid w:val="005E1E40"/>
    <w:rsid w:val="005E3082"/>
    <w:rsid w:val="005E69C6"/>
    <w:rsid w:val="005F0902"/>
    <w:rsid w:val="005F1947"/>
    <w:rsid w:val="005F2FAE"/>
    <w:rsid w:val="005F3286"/>
    <w:rsid w:val="005F4CDA"/>
    <w:rsid w:val="005F5273"/>
    <w:rsid w:val="005F70D3"/>
    <w:rsid w:val="005F7296"/>
    <w:rsid w:val="006004E2"/>
    <w:rsid w:val="00600913"/>
    <w:rsid w:val="00600B8E"/>
    <w:rsid w:val="006016C6"/>
    <w:rsid w:val="00601C01"/>
    <w:rsid w:val="00603106"/>
    <w:rsid w:val="00604097"/>
    <w:rsid w:val="006041C0"/>
    <w:rsid w:val="0060525D"/>
    <w:rsid w:val="00607042"/>
    <w:rsid w:val="006107A1"/>
    <w:rsid w:val="00612CB2"/>
    <w:rsid w:val="00613B0E"/>
    <w:rsid w:val="00615A66"/>
    <w:rsid w:val="006165A5"/>
    <w:rsid w:val="006174E9"/>
    <w:rsid w:val="006218BD"/>
    <w:rsid w:val="006219DF"/>
    <w:rsid w:val="00622310"/>
    <w:rsid w:val="006228F6"/>
    <w:rsid w:val="0062380D"/>
    <w:rsid w:val="006249EB"/>
    <w:rsid w:val="00624ADA"/>
    <w:rsid w:val="00624DB0"/>
    <w:rsid w:val="00625268"/>
    <w:rsid w:val="00625BBF"/>
    <w:rsid w:val="00626EF3"/>
    <w:rsid w:val="00627C11"/>
    <w:rsid w:val="006302CE"/>
    <w:rsid w:val="00631729"/>
    <w:rsid w:val="00633259"/>
    <w:rsid w:val="00633C83"/>
    <w:rsid w:val="00634BC0"/>
    <w:rsid w:val="00635188"/>
    <w:rsid w:val="00635544"/>
    <w:rsid w:val="0063559C"/>
    <w:rsid w:val="00637493"/>
    <w:rsid w:val="00637E5B"/>
    <w:rsid w:val="00644DE6"/>
    <w:rsid w:val="00645395"/>
    <w:rsid w:val="00647539"/>
    <w:rsid w:val="00652533"/>
    <w:rsid w:val="00652A30"/>
    <w:rsid w:val="0065391F"/>
    <w:rsid w:val="00653FA3"/>
    <w:rsid w:val="006548AF"/>
    <w:rsid w:val="00655372"/>
    <w:rsid w:val="00655C46"/>
    <w:rsid w:val="00656A9F"/>
    <w:rsid w:val="00656EC0"/>
    <w:rsid w:val="006573CE"/>
    <w:rsid w:val="0066099A"/>
    <w:rsid w:val="0066238A"/>
    <w:rsid w:val="00663728"/>
    <w:rsid w:val="00665D14"/>
    <w:rsid w:val="00665F44"/>
    <w:rsid w:val="0066625B"/>
    <w:rsid w:val="00666836"/>
    <w:rsid w:val="0067153F"/>
    <w:rsid w:val="006717B7"/>
    <w:rsid w:val="0067301B"/>
    <w:rsid w:val="0067522D"/>
    <w:rsid w:val="006758FC"/>
    <w:rsid w:val="0067626E"/>
    <w:rsid w:val="0068085B"/>
    <w:rsid w:val="00680A14"/>
    <w:rsid w:val="00680AC9"/>
    <w:rsid w:val="0068199E"/>
    <w:rsid w:val="00681E22"/>
    <w:rsid w:val="00682450"/>
    <w:rsid w:val="00683877"/>
    <w:rsid w:val="00685558"/>
    <w:rsid w:val="00685671"/>
    <w:rsid w:val="00686945"/>
    <w:rsid w:val="00691D74"/>
    <w:rsid w:val="006923B3"/>
    <w:rsid w:val="00692A21"/>
    <w:rsid w:val="00692B28"/>
    <w:rsid w:val="0069307A"/>
    <w:rsid w:val="006939D1"/>
    <w:rsid w:val="00694D0B"/>
    <w:rsid w:val="00696078"/>
    <w:rsid w:val="006A06D7"/>
    <w:rsid w:val="006A0951"/>
    <w:rsid w:val="006A0D02"/>
    <w:rsid w:val="006A1E12"/>
    <w:rsid w:val="006A20B9"/>
    <w:rsid w:val="006A2496"/>
    <w:rsid w:val="006A47D1"/>
    <w:rsid w:val="006A4A58"/>
    <w:rsid w:val="006A4B30"/>
    <w:rsid w:val="006A5706"/>
    <w:rsid w:val="006A5FA2"/>
    <w:rsid w:val="006A7BEC"/>
    <w:rsid w:val="006B1EDB"/>
    <w:rsid w:val="006B25B1"/>
    <w:rsid w:val="006B3760"/>
    <w:rsid w:val="006B3868"/>
    <w:rsid w:val="006B3F2E"/>
    <w:rsid w:val="006B4801"/>
    <w:rsid w:val="006B4DF0"/>
    <w:rsid w:val="006B4E89"/>
    <w:rsid w:val="006B55B6"/>
    <w:rsid w:val="006B6D6B"/>
    <w:rsid w:val="006C05F5"/>
    <w:rsid w:val="006C0F2E"/>
    <w:rsid w:val="006C1EFA"/>
    <w:rsid w:val="006C3002"/>
    <w:rsid w:val="006C31D1"/>
    <w:rsid w:val="006C495C"/>
    <w:rsid w:val="006C6F7B"/>
    <w:rsid w:val="006D07C4"/>
    <w:rsid w:val="006D0BF1"/>
    <w:rsid w:val="006D2DC0"/>
    <w:rsid w:val="006D4074"/>
    <w:rsid w:val="006D47BD"/>
    <w:rsid w:val="006D4EE1"/>
    <w:rsid w:val="006D5E9B"/>
    <w:rsid w:val="006D5F41"/>
    <w:rsid w:val="006E1A22"/>
    <w:rsid w:val="006E26D2"/>
    <w:rsid w:val="006E3EC5"/>
    <w:rsid w:val="006E4583"/>
    <w:rsid w:val="006E4F11"/>
    <w:rsid w:val="006E68A8"/>
    <w:rsid w:val="006F0389"/>
    <w:rsid w:val="006F275A"/>
    <w:rsid w:val="006F3063"/>
    <w:rsid w:val="006F666F"/>
    <w:rsid w:val="006F72D9"/>
    <w:rsid w:val="0070175D"/>
    <w:rsid w:val="00701A6D"/>
    <w:rsid w:val="00702655"/>
    <w:rsid w:val="00703168"/>
    <w:rsid w:val="00704D8E"/>
    <w:rsid w:val="00706B82"/>
    <w:rsid w:val="00707060"/>
    <w:rsid w:val="00707E57"/>
    <w:rsid w:val="007107B7"/>
    <w:rsid w:val="00710889"/>
    <w:rsid w:val="007114C7"/>
    <w:rsid w:val="0071160A"/>
    <w:rsid w:val="0071229C"/>
    <w:rsid w:val="00715DE7"/>
    <w:rsid w:val="00716E4F"/>
    <w:rsid w:val="007203CC"/>
    <w:rsid w:val="00721172"/>
    <w:rsid w:val="0072306A"/>
    <w:rsid w:val="00724E86"/>
    <w:rsid w:val="007263BE"/>
    <w:rsid w:val="00726BC6"/>
    <w:rsid w:val="00727D43"/>
    <w:rsid w:val="00731EE6"/>
    <w:rsid w:val="0073263F"/>
    <w:rsid w:val="00732AE1"/>
    <w:rsid w:val="0073349E"/>
    <w:rsid w:val="00733574"/>
    <w:rsid w:val="007335C2"/>
    <w:rsid w:val="00734E32"/>
    <w:rsid w:val="0073518B"/>
    <w:rsid w:val="00736634"/>
    <w:rsid w:val="00736D69"/>
    <w:rsid w:val="007370F4"/>
    <w:rsid w:val="0073761B"/>
    <w:rsid w:val="0074000E"/>
    <w:rsid w:val="007414FD"/>
    <w:rsid w:val="0074158E"/>
    <w:rsid w:val="00741CF6"/>
    <w:rsid w:val="00742DEC"/>
    <w:rsid w:val="00744FA3"/>
    <w:rsid w:val="0074544B"/>
    <w:rsid w:val="007460EF"/>
    <w:rsid w:val="0074689A"/>
    <w:rsid w:val="00747937"/>
    <w:rsid w:val="00747D23"/>
    <w:rsid w:val="0075090D"/>
    <w:rsid w:val="00750D63"/>
    <w:rsid w:val="007528E1"/>
    <w:rsid w:val="00753025"/>
    <w:rsid w:val="00755237"/>
    <w:rsid w:val="00755E50"/>
    <w:rsid w:val="0075702D"/>
    <w:rsid w:val="007571D4"/>
    <w:rsid w:val="00757DDD"/>
    <w:rsid w:val="00763219"/>
    <w:rsid w:val="00764BAB"/>
    <w:rsid w:val="00764DEB"/>
    <w:rsid w:val="00766D40"/>
    <w:rsid w:val="007670E1"/>
    <w:rsid w:val="007673EA"/>
    <w:rsid w:val="00767AFC"/>
    <w:rsid w:val="0077047C"/>
    <w:rsid w:val="00770C0E"/>
    <w:rsid w:val="00771A0E"/>
    <w:rsid w:val="00773CF3"/>
    <w:rsid w:val="00774506"/>
    <w:rsid w:val="007746AF"/>
    <w:rsid w:val="00774B77"/>
    <w:rsid w:val="00774C0B"/>
    <w:rsid w:val="00775AA6"/>
    <w:rsid w:val="00775F5B"/>
    <w:rsid w:val="00777111"/>
    <w:rsid w:val="007772D8"/>
    <w:rsid w:val="00780C9D"/>
    <w:rsid w:val="00780D10"/>
    <w:rsid w:val="007819A7"/>
    <w:rsid w:val="00782ED5"/>
    <w:rsid w:val="00784A6D"/>
    <w:rsid w:val="00785AE8"/>
    <w:rsid w:val="007867F1"/>
    <w:rsid w:val="00787473"/>
    <w:rsid w:val="00790428"/>
    <w:rsid w:val="00790AB6"/>
    <w:rsid w:val="00791D2D"/>
    <w:rsid w:val="007A0D54"/>
    <w:rsid w:val="007A389B"/>
    <w:rsid w:val="007A39BF"/>
    <w:rsid w:val="007A5699"/>
    <w:rsid w:val="007A586D"/>
    <w:rsid w:val="007A5A80"/>
    <w:rsid w:val="007B0361"/>
    <w:rsid w:val="007B4698"/>
    <w:rsid w:val="007B4F32"/>
    <w:rsid w:val="007B5C7F"/>
    <w:rsid w:val="007B6A51"/>
    <w:rsid w:val="007B77E9"/>
    <w:rsid w:val="007C0347"/>
    <w:rsid w:val="007C13AA"/>
    <w:rsid w:val="007C194A"/>
    <w:rsid w:val="007C1B67"/>
    <w:rsid w:val="007C29FC"/>
    <w:rsid w:val="007C2D5F"/>
    <w:rsid w:val="007C4117"/>
    <w:rsid w:val="007C4650"/>
    <w:rsid w:val="007C4736"/>
    <w:rsid w:val="007C5682"/>
    <w:rsid w:val="007C61B8"/>
    <w:rsid w:val="007C7056"/>
    <w:rsid w:val="007D08C4"/>
    <w:rsid w:val="007D096E"/>
    <w:rsid w:val="007D1910"/>
    <w:rsid w:val="007D32A9"/>
    <w:rsid w:val="007D331D"/>
    <w:rsid w:val="007D4983"/>
    <w:rsid w:val="007D546A"/>
    <w:rsid w:val="007D64E6"/>
    <w:rsid w:val="007E2055"/>
    <w:rsid w:val="007E5815"/>
    <w:rsid w:val="007F0B7D"/>
    <w:rsid w:val="007F3F8A"/>
    <w:rsid w:val="007F4715"/>
    <w:rsid w:val="007F47AB"/>
    <w:rsid w:val="007F49DB"/>
    <w:rsid w:val="007F4DD0"/>
    <w:rsid w:val="007F5014"/>
    <w:rsid w:val="007F5366"/>
    <w:rsid w:val="007F59C0"/>
    <w:rsid w:val="007F67CB"/>
    <w:rsid w:val="007F72D8"/>
    <w:rsid w:val="007F783E"/>
    <w:rsid w:val="008056B0"/>
    <w:rsid w:val="008058E6"/>
    <w:rsid w:val="00807677"/>
    <w:rsid w:val="008079D2"/>
    <w:rsid w:val="00810D22"/>
    <w:rsid w:val="008119F4"/>
    <w:rsid w:val="008124BA"/>
    <w:rsid w:val="00812A5D"/>
    <w:rsid w:val="008146AF"/>
    <w:rsid w:val="00816D83"/>
    <w:rsid w:val="008202D5"/>
    <w:rsid w:val="00821CEB"/>
    <w:rsid w:val="00823A9E"/>
    <w:rsid w:val="008243BB"/>
    <w:rsid w:val="00824B40"/>
    <w:rsid w:val="00825BD7"/>
    <w:rsid w:val="00830139"/>
    <w:rsid w:val="00830D8E"/>
    <w:rsid w:val="0083100A"/>
    <w:rsid w:val="00831D6C"/>
    <w:rsid w:val="00831F68"/>
    <w:rsid w:val="00831F7D"/>
    <w:rsid w:val="008325F9"/>
    <w:rsid w:val="008329C6"/>
    <w:rsid w:val="00835058"/>
    <w:rsid w:val="008350FC"/>
    <w:rsid w:val="00836447"/>
    <w:rsid w:val="008365B6"/>
    <w:rsid w:val="00844C26"/>
    <w:rsid w:val="008460BA"/>
    <w:rsid w:val="00851208"/>
    <w:rsid w:val="00851607"/>
    <w:rsid w:val="00852657"/>
    <w:rsid w:val="008528D8"/>
    <w:rsid w:val="00853440"/>
    <w:rsid w:val="008536E0"/>
    <w:rsid w:val="00853CB5"/>
    <w:rsid w:val="0085555D"/>
    <w:rsid w:val="00856B1B"/>
    <w:rsid w:val="00857C30"/>
    <w:rsid w:val="00860349"/>
    <w:rsid w:val="0086097C"/>
    <w:rsid w:val="00861C3D"/>
    <w:rsid w:val="00861D1F"/>
    <w:rsid w:val="00862EA0"/>
    <w:rsid w:val="0086571C"/>
    <w:rsid w:val="00866CA5"/>
    <w:rsid w:val="00867A13"/>
    <w:rsid w:val="00870D4C"/>
    <w:rsid w:val="00870FA0"/>
    <w:rsid w:val="00871D0C"/>
    <w:rsid w:val="00873087"/>
    <w:rsid w:val="008734B7"/>
    <w:rsid w:val="00875627"/>
    <w:rsid w:val="00876DDE"/>
    <w:rsid w:val="00880C2F"/>
    <w:rsid w:val="00882C78"/>
    <w:rsid w:val="008837CB"/>
    <w:rsid w:val="00885196"/>
    <w:rsid w:val="00885336"/>
    <w:rsid w:val="008864C4"/>
    <w:rsid w:val="00886810"/>
    <w:rsid w:val="008873DA"/>
    <w:rsid w:val="00890252"/>
    <w:rsid w:val="00892DE0"/>
    <w:rsid w:val="00894B61"/>
    <w:rsid w:val="00894E58"/>
    <w:rsid w:val="00895140"/>
    <w:rsid w:val="0089537D"/>
    <w:rsid w:val="008955C2"/>
    <w:rsid w:val="008A1238"/>
    <w:rsid w:val="008A263A"/>
    <w:rsid w:val="008A301C"/>
    <w:rsid w:val="008A37CC"/>
    <w:rsid w:val="008A405C"/>
    <w:rsid w:val="008A464F"/>
    <w:rsid w:val="008A47C3"/>
    <w:rsid w:val="008A6D6D"/>
    <w:rsid w:val="008A7435"/>
    <w:rsid w:val="008B221F"/>
    <w:rsid w:val="008B4405"/>
    <w:rsid w:val="008B46DC"/>
    <w:rsid w:val="008B60E4"/>
    <w:rsid w:val="008B6359"/>
    <w:rsid w:val="008B643A"/>
    <w:rsid w:val="008B782F"/>
    <w:rsid w:val="008B7F3E"/>
    <w:rsid w:val="008C0148"/>
    <w:rsid w:val="008C0D18"/>
    <w:rsid w:val="008C0F32"/>
    <w:rsid w:val="008C137E"/>
    <w:rsid w:val="008C1529"/>
    <w:rsid w:val="008C166F"/>
    <w:rsid w:val="008C2532"/>
    <w:rsid w:val="008C327D"/>
    <w:rsid w:val="008C3846"/>
    <w:rsid w:val="008C3C98"/>
    <w:rsid w:val="008C41FE"/>
    <w:rsid w:val="008C43ED"/>
    <w:rsid w:val="008D07C5"/>
    <w:rsid w:val="008D1C72"/>
    <w:rsid w:val="008D2F51"/>
    <w:rsid w:val="008D37F2"/>
    <w:rsid w:val="008D4A51"/>
    <w:rsid w:val="008D4CE8"/>
    <w:rsid w:val="008D5CC9"/>
    <w:rsid w:val="008E03D4"/>
    <w:rsid w:val="008E06F3"/>
    <w:rsid w:val="008E0B41"/>
    <w:rsid w:val="008E0B6D"/>
    <w:rsid w:val="008E200B"/>
    <w:rsid w:val="008E241D"/>
    <w:rsid w:val="008E34C7"/>
    <w:rsid w:val="008E4A17"/>
    <w:rsid w:val="008E75E6"/>
    <w:rsid w:val="008F0129"/>
    <w:rsid w:val="008F09E3"/>
    <w:rsid w:val="008F0C0E"/>
    <w:rsid w:val="008F1A09"/>
    <w:rsid w:val="008F1E67"/>
    <w:rsid w:val="008F1FDB"/>
    <w:rsid w:val="008F2466"/>
    <w:rsid w:val="008F38E6"/>
    <w:rsid w:val="008F4DFE"/>
    <w:rsid w:val="008F5125"/>
    <w:rsid w:val="008F56F8"/>
    <w:rsid w:val="008F5F3D"/>
    <w:rsid w:val="008F67BA"/>
    <w:rsid w:val="008F72B2"/>
    <w:rsid w:val="0090093B"/>
    <w:rsid w:val="00900C5E"/>
    <w:rsid w:val="0090273B"/>
    <w:rsid w:val="0090348E"/>
    <w:rsid w:val="00903F69"/>
    <w:rsid w:val="00904AE2"/>
    <w:rsid w:val="009073EA"/>
    <w:rsid w:val="00907F82"/>
    <w:rsid w:val="00911D2C"/>
    <w:rsid w:val="0091281F"/>
    <w:rsid w:val="00913D99"/>
    <w:rsid w:val="00913D9F"/>
    <w:rsid w:val="0091486B"/>
    <w:rsid w:val="00915460"/>
    <w:rsid w:val="00915E7C"/>
    <w:rsid w:val="009171EF"/>
    <w:rsid w:val="00917491"/>
    <w:rsid w:val="00920A82"/>
    <w:rsid w:val="00920F32"/>
    <w:rsid w:val="00921866"/>
    <w:rsid w:val="009224FC"/>
    <w:rsid w:val="00922857"/>
    <w:rsid w:val="00925483"/>
    <w:rsid w:val="009269C8"/>
    <w:rsid w:val="009301B9"/>
    <w:rsid w:val="00930FAB"/>
    <w:rsid w:val="00932AC8"/>
    <w:rsid w:val="00932EA4"/>
    <w:rsid w:val="00933832"/>
    <w:rsid w:val="00934A5F"/>
    <w:rsid w:val="00937A80"/>
    <w:rsid w:val="009419A2"/>
    <w:rsid w:val="00941E7C"/>
    <w:rsid w:val="00942C92"/>
    <w:rsid w:val="009454AC"/>
    <w:rsid w:val="0094665A"/>
    <w:rsid w:val="00946AAA"/>
    <w:rsid w:val="0095044C"/>
    <w:rsid w:val="00950838"/>
    <w:rsid w:val="009527A0"/>
    <w:rsid w:val="00954CB7"/>
    <w:rsid w:val="009557BE"/>
    <w:rsid w:val="009566EF"/>
    <w:rsid w:val="00956B34"/>
    <w:rsid w:val="0095706D"/>
    <w:rsid w:val="00957B76"/>
    <w:rsid w:val="00960C91"/>
    <w:rsid w:val="00962A1A"/>
    <w:rsid w:val="009645FC"/>
    <w:rsid w:val="00964ABA"/>
    <w:rsid w:val="00964E37"/>
    <w:rsid w:val="009652B1"/>
    <w:rsid w:val="00966473"/>
    <w:rsid w:val="0097008C"/>
    <w:rsid w:val="00971B41"/>
    <w:rsid w:val="0097312F"/>
    <w:rsid w:val="009733B8"/>
    <w:rsid w:val="00973722"/>
    <w:rsid w:val="00974581"/>
    <w:rsid w:val="009762A0"/>
    <w:rsid w:val="00976FFE"/>
    <w:rsid w:val="009818F4"/>
    <w:rsid w:val="00981903"/>
    <w:rsid w:val="0098342A"/>
    <w:rsid w:val="00985775"/>
    <w:rsid w:val="009864B5"/>
    <w:rsid w:val="00986AD0"/>
    <w:rsid w:val="0098713E"/>
    <w:rsid w:val="00991767"/>
    <w:rsid w:val="00993696"/>
    <w:rsid w:val="00996AB1"/>
    <w:rsid w:val="00997F3A"/>
    <w:rsid w:val="009A097D"/>
    <w:rsid w:val="009A113C"/>
    <w:rsid w:val="009A1459"/>
    <w:rsid w:val="009A2259"/>
    <w:rsid w:val="009A2697"/>
    <w:rsid w:val="009A2906"/>
    <w:rsid w:val="009A2DCA"/>
    <w:rsid w:val="009A4C51"/>
    <w:rsid w:val="009A56E8"/>
    <w:rsid w:val="009A5B57"/>
    <w:rsid w:val="009A650B"/>
    <w:rsid w:val="009A6B7F"/>
    <w:rsid w:val="009A6B9C"/>
    <w:rsid w:val="009B068B"/>
    <w:rsid w:val="009B1D8B"/>
    <w:rsid w:val="009B219A"/>
    <w:rsid w:val="009B3026"/>
    <w:rsid w:val="009B304D"/>
    <w:rsid w:val="009B41AB"/>
    <w:rsid w:val="009B43E1"/>
    <w:rsid w:val="009B565D"/>
    <w:rsid w:val="009B60EE"/>
    <w:rsid w:val="009B7548"/>
    <w:rsid w:val="009C0443"/>
    <w:rsid w:val="009C126A"/>
    <w:rsid w:val="009C188D"/>
    <w:rsid w:val="009C2937"/>
    <w:rsid w:val="009C2AA5"/>
    <w:rsid w:val="009C3155"/>
    <w:rsid w:val="009C4BA5"/>
    <w:rsid w:val="009C4E90"/>
    <w:rsid w:val="009C5836"/>
    <w:rsid w:val="009C74E1"/>
    <w:rsid w:val="009C7CDE"/>
    <w:rsid w:val="009D23D5"/>
    <w:rsid w:val="009D45DF"/>
    <w:rsid w:val="009D461B"/>
    <w:rsid w:val="009D468E"/>
    <w:rsid w:val="009D5302"/>
    <w:rsid w:val="009D607B"/>
    <w:rsid w:val="009D762F"/>
    <w:rsid w:val="009D7862"/>
    <w:rsid w:val="009E0785"/>
    <w:rsid w:val="009E151F"/>
    <w:rsid w:val="009E26E3"/>
    <w:rsid w:val="009E2DE0"/>
    <w:rsid w:val="009E38C7"/>
    <w:rsid w:val="009E410B"/>
    <w:rsid w:val="009E6F5C"/>
    <w:rsid w:val="009F04FE"/>
    <w:rsid w:val="009F0FA6"/>
    <w:rsid w:val="009F22DF"/>
    <w:rsid w:val="009F2E55"/>
    <w:rsid w:val="009F4C34"/>
    <w:rsid w:val="009F684D"/>
    <w:rsid w:val="009F7703"/>
    <w:rsid w:val="00A00B1A"/>
    <w:rsid w:val="00A01211"/>
    <w:rsid w:val="00A021F7"/>
    <w:rsid w:val="00A022AA"/>
    <w:rsid w:val="00A03A88"/>
    <w:rsid w:val="00A0409C"/>
    <w:rsid w:val="00A06E3C"/>
    <w:rsid w:val="00A06F6F"/>
    <w:rsid w:val="00A0798F"/>
    <w:rsid w:val="00A10830"/>
    <w:rsid w:val="00A13E10"/>
    <w:rsid w:val="00A14630"/>
    <w:rsid w:val="00A154DE"/>
    <w:rsid w:val="00A17120"/>
    <w:rsid w:val="00A17F89"/>
    <w:rsid w:val="00A23411"/>
    <w:rsid w:val="00A23A5F"/>
    <w:rsid w:val="00A23BB9"/>
    <w:rsid w:val="00A2421A"/>
    <w:rsid w:val="00A24C1B"/>
    <w:rsid w:val="00A25850"/>
    <w:rsid w:val="00A31005"/>
    <w:rsid w:val="00A31D0D"/>
    <w:rsid w:val="00A34011"/>
    <w:rsid w:val="00A36B47"/>
    <w:rsid w:val="00A36FAA"/>
    <w:rsid w:val="00A37367"/>
    <w:rsid w:val="00A3764C"/>
    <w:rsid w:val="00A415DA"/>
    <w:rsid w:val="00A44217"/>
    <w:rsid w:val="00A442BE"/>
    <w:rsid w:val="00A475EF"/>
    <w:rsid w:val="00A5078F"/>
    <w:rsid w:val="00A5086F"/>
    <w:rsid w:val="00A53C76"/>
    <w:rsid w:val="00A55D9A"/>
    <w:rsid w:val="00A5654B"/>
    <w:rsid w:val="00A5744A"/>
    <w:rsid w:val="00A60567"/>
    <w:rsid w:val="00A60AC8"/>
    <w:rsid w:val="00A6114A"/>
    <w:rsid w:val="00A6579F"/>
    <w:rsid w:val="00A664DF"/>
    <w:rsid w:val="00A75E1F"/>
    <w:rsid w:val="00A76153"/>
    <w:rsid w:val="00A76B51"/>
    <w:rsid w:val="00A77ECF"/>
    <w:rsid w:val="00A801A3"/>
    <w:rsid w:val="00A811F5"/>
    <w:rsid w:val="00A823B7"/>
    <w:rsid w:val="00A83302"/>
    <w:rsid w:val="00A83E54"/>
    <w:rsid w:val="00A8418F"/>
    <w:rsid w:val="00A87150"/>
    <w:rsid w:val="00A877CA"/>
    <w:rsid w:val="00A9000B"/>
    <w:rsid w:val="00A90EFD"/>
    <w:rsid w:val="00A91EFC"/>
    <w:rsid w:val="00A92B8D"/>
    <w:rsid w:val="00A938C7"/>
    <w:rsid w:val="00A94885"/>
    <w:rsid w:val="00AA1E6B"/>
    <w:rsid w:val="00AA2A30"/>
    <w:rsid w:val="00AA2E7E"/>
    <w:rsid w:val="00AA5996"/>
    <w:rsid w:val="00AA5D95"/>
    <w:rsid w:val="00AA6C99"/>
    <w:rsid w:val="00AB03F5"/>
    <w:rsid w:val="00AB06BD"/>
    <w:rsid w:val="00AB3504"/>
    <w:rsid w:val="00AB4B01"/>
    <w:rsid w:val="00AB6ACE"/>
    <w:rsid w:val="00AB6CED"/>
    <w:rsid w:val="00AB7EBB"/>
    <w:rsid w:val="00AC05BE"/>
    <w:rsid w:val="00AC2908"/>
    <w:rsid w:val="00AC2A76"/>
    <w:rsid w:val="00AC2B0E"/>
    <w:rsid w:val="00AC38BD"/>
    <w:rsid w:val="00AC3B17"/>
    <w:rsid w:val="00AC3F2A"/>
    <w:rsid w:val="00AC524B"/>
    <w:rsid w:val="00AC742F"/>
    <w:rsid w:val="00AC7D1C"/>
    <w:rsid w:val="00AD0D49"/>
    <w:rsid w:val="00AD12AF"/>
    <w:rsid w:val="00AD1BEA"/>
    <w:rsid w:val="00AD24AF"/>
    <w:rsid w:val="00AD2869"/>
    <w:rsid w:val="00AD69B8"/>
    <w:rsid w:val="00AE21A4"/>
    <w:rsid w:val="00AE24DC"/>
    <w:rsid w:val="00AE2FB7"/>
    <w:rsid w:val="00AE73CA"/>
    <w:rsid w:val="00AE76E2"/>
    <w:rsid w:val="00AE7BC7"/>
    <w:rsid w:val="00AF2B25"/>
    <w:rsid w:val="00AF2E31"/>
    <w:rsid w:val="00AF3CC1"/>
    <w:rsid w:val="00AF4F9C"/>
    <w:rsid w:val="00AF56B1"/>
    <w:rsid w:val="00B00414"/>
    <w:rsid w:val="00B01B11"/>
    <w:rsid w:val="00B038E7"/>
    <w:rsid w:val="00B03C04"/>
    <w:rsid w:val="00B03C97"/>
    <w:rsid w:val="00B046DE"/>
    <w:rsid w:val="00B0574B"/>
    <w:rsid w:val="00B115A0"/>
    <w:rsid w:val="00B1403D"/>
    <w:rsid w:val="00B1758F"/>
    <w:rsid w:val="00B20AD8"/>
    <w:rsid w:val="00B236DA"/>
    <w:rsid w:val="00B23770"/>
    <w:rsid w:val="00B24D55"/>
    <w:rsid w:val="00B25B0A"/>
    <w:rsid w:val="00B26D71"/>
    <w:rsid w:val="00B277AC"/>
    <w:rsid w:val="00B3041E"/>
    <w:rsid w:val="00B3066E"/>
    <w:rsid w:val="00B3088A"/>
    <w:rsid w:val="00B31AA2"/>
    <w:rsid w:val="00B31EC4"/>
    <w:rsid w:val="00B31FB2"/>
    <w:rsid w:val="00B32FC9"/>
    <w:rsid w:val="00B33BB8"/>
    <w:rsid w:val="00B4288B"/>
    <w:rsid w:val="00B42F35"/>
    <w:rsid w:val="00B44A61"/>
    <w:rsid w:val="00B44ADD"/>
    <w:rsid w:val="00B4604D"/>
    <w:rsid w:val="00B46064"/>
    <w:rsid w:val="00B50964"/>
    <w:rsid w:val="00B524B8"/>
    <w:rsid w:val="00B5278E"/>
    <w:rsid w:val="00B52EC3"/>
    <w:rsid w:val="00B53129"/>
    <w:rsid w:val="00B53C92"/>
    <w:rsid w:val="00B53FE4"/>
    <w:rsid w:val="00B55AB3"/>
    <w:rsid w:val="00B56203"/>
    <w:rsid w:val="00B565EE"/>
    <w:rsid w:val="00B56915"/>
    <w:rsid w:val="00B56FA6"/>
    <w:rsid w:val="00B62E7E"/>
    <w:rsid w:val="00B658B9"/>
    <w:rsid w:val="00B658DB"/>
    <w:rsid w:val="00B70FFF"/>
    <w:rsid w:val="00B72A93"/>
    <w:rsid w:val="00B7420D"/>
    <w:rsid w:val="00B74783"/>
    <w:rsid w:val="00B765A3"/>
    <w:rsid w:val="00B76834"/>
    <w:rsid w:val="00B76FC8"/>
    <w:rsid w:val="00B8529F"/>
    <w:rsid w:val="00B8538D"/>
    <w:rsid w:val="00B85866"/>
    <w:rsid w:val="00B85E6C"/>
    <w:rsid w:val="00B86AFC"/>
    <w:rsid w:val="00B86F52"/>
    <w:rsid w:val="00B901B3"/>
    <w:rsid w:val="00B92120"/>
    <w:rsid w:val="00B92AE2"/>
    <w:rsid w:val="00B92E61"/>
    <w:rsid w:val="00B92EAC"/>
    <w:rsid w:val="00B945AD"/>
    <w:rsid w:val="00B94682"/>
    <w:rsid w:val="00B952BA"/>
    <w:rsid w:val="00B97746"/>
    <w:rsid w:val="00BA0174"/>
    <w:rsid w:val="00BA0541"/>
    <w:rsid w:val="00BA0708"/>
    <w:rsid w:val="00BA0C69"/>
    <w:rsid w:val="00BA0FDC"/>
    <w:rsid w:val="00BA249D"/>
    <w:rsid w:val="00BA296E"/>
    <w:rsid w:val="00BA30C5"/>
    <w:rsid w:val="00BA5263"/>
    <w:rsid w:val="00BA6488"/>
    <w:rsid w:val="00BA66F9"/>
    <w:rsid w:val="00BA707B"/>
    <w:rsid w:val="00BA7E9B"/>
    <w:rsid w:val="00BB02A8"/>
    <w:rsid w:val="00BB0F62"/>
    <w:rsid w:val="00BB1372"/>
    <w:rsid w:val="00BB24CB"/>
    <w:rsid w:val="00BB4276"/>
    <w:rsid w:val="00BC1187"/>
    <w:rsid w:val="00BC164E"/>
    <w:rsid w:val="00BC3549"/>
    <w:rsid w:val="00BC3746"/>
    <w:rsid w:val="00BC4B10"/>
    <w:rsid w:val="00BC50E6"/>
    <w:rsid w:val="00BD1D5F"/>
    <w:rsid w:val="00BD268F"/>
    <w:rsid w:val="00BD5211"/>
    <w:rsid w:val="00BD6240"/>
    <w:rsid w:val="00BD7A5A"/>
    <w:rsid w:val="00BE014A"/>
    <w:rsid w:val="00BE116C"/>
    <w:rsid w:val="00BE33D0"/>
    <w:rsid w:val="00BE38C1"/>
    <w:rsid w:val="00BE3B81"/>
    <w:rsid w:val="00BE4FC3"/>
    <w:rsid w:val="00BE5F60"/>
    <w:rsid w:val="00BE601B"/>
    <w:rsid w:val="00BE7441"/>
    <w:rsid w:val="00BF1C5F"/>
    <w:rsid w:val="00BF1FC8"/>
    <w:rsid w:val="00BF24D2"/>
    <w:rsid w:val="00BF32FE"/>
    <w:rsid w:val="00BF75B2"/>
    <w:rsid w:val="00C01109"/>
    <w:rsid w:val="00C0263F"/>
    <w:rsid w:val="00C0275C"/>
    <w:rsid w:val="00C02A31"/>
    <w:rsid w:val="00C02AEA"/>
    <w:rsid w:val="00C034A3"/>
    <w:rsid w:val="00C0433A"/>
    <w:rsid w:val="00C056DD"/>
    <w:rsid w:val="00C10132"/>
    <w:rsid w:val="00C10A95"/>
    <w:rsid w:val="00C10F26"/>
    <w:rsid w:val="00C12274"/>
    <w:rsid w:val="00C13B76"/>
    <w:rsid w:val="00C143AC"/>
    <w:rsid w:val="00C167D3"/>
    <w:rsid w:val="00C1712F"/>
    <w:rsid w:val="00C1753B"/>
    <w:rsid w:val="00C20680"/>
    <w:rsid w:val="00C224C7"/>
    <w:rsid w:val="00C23490"/>
    <w:rsid w:val="00C2534D"/>
    <w:rsid w:val="00C25AC1"/>
    <w:rsid w:val="00C25CEA"/>
    <w:rsid w:val="00C3022B"/>
    <w:rsid w:val="00C30D62"/>
    <w:rsid w:val="00C33E89"/>
    <w:rsid w:val="00C34A37"/>
    <w:rsid w:val="00C416DF"/>
    <w:rsid w:val="00C4216D"/>
    <w:rsid w:val="00C42D96"/>
    <w:rsid w:val="00C42ED4"/>
    <w:rsid w:val="00C43997"/>
    <w:rsid w:val="00C43B06"/>
    <w:rsid w:val="00C44958"/>
    <w:rsid w:val="00C4744D"/>
    <w:rsid w:val="00C50DC5"/>
    <w:rsid w:val="00C5386C"/>
    <w:rsid w:val="00C5468F"/>
    <w:rsid w:val="00C566CD"/>
    <w:rsid w:val="00C57E81"/>
    <w:rsid w:val="00C6012B"/>
    <w:rsid w:val="00C60658"/>
    <w:rsid w:val="00C62DDC"/>
    <w:rsid w:val="00C633FF"/>
    <w:rsid w:val="00C63D74"/>
    <w:rsid w:val="00C659BE"/>
    <w:rsid w:val="00C70C7C"/>
    <w:rsid w:val="00C716C8"/>
    <w:rsid w:val="00C71CC8"/>
    <w:rsid w:val="00C7289F"/>
    <w:rsid w:val="00C738F1"/>
    <w:rsid w:val="00C7714B"/>
    <w:rsid w:val="00C77992"/>
    <w:rsid w:val="00C80763"/>
    <w:rsid w:val="00C8165A"/>
    <w:rsid w:val="00C81888"/>
    <w:rsid w:val="00C81EBA"/>
    <w:rsid w:val="00C842B2"/>
    <w:rsid w:val="00C84CC3"/>
    <w:rsid w:val="00C84D5B"/>
    <w:rsid w:val="00C85B50"/>
    <w:rsid w:val="00C85D27"/>
    <w:rsid w:val="00C86005"/>
    <w:rsid w:val="00C876DC"/>
    <w:rsid w:val="00C9062F"/>
    <w:rsid w:val="00C90654"/>
    <w:rsid w:val="00C91C14"/>
    <w:rsid w:val="00C926FB"/>
    <w:rsid w:val="00C92D07"/>
    <w:rsid w:val="00C933B3"/>
    <w:rsid w:val="00C95437"/>
    <w:rsid w:val="00C954CF"/>
    <w:rsid w:val="00C95F9C"/>
    <w:rsid w:val="00C978FE"/>
    <w:rsid w:val="00CA0D8D"/>
    <w:rsid w:val="00CA2741"/>
    <w:rsid w:val="00CA3804"/>
    <w:rsid w:val="00CA4698"/>
    <w:rsid w:val="00CA5FA8"/>
    <w:rsid w:val="00CA65C9"/>
    <w:rsid w:val="00CA6D73"/>
    <w:rsid w:val="00CB0B0E"/>
    <w:rsid w:val="00CB1CA8"/>
    <w:rsid w:val="00CB1DFC"/>
    <w:rsid w:val="00CB2180"/>
    <w:rsid w:val="00CB2956"/>
    <w:rsid w:val="00CB3922"/>
    <w:rsid w:val="00CC0363"/>
    <w:rsid w:val="00CC1BC8"/>
    <w:rsid w:val="00CC1C8B"/>
    <w:rsid w:val="00CC1E43"/>
    <w:rsid w:val="00CC3BA4"/>
    <w:rsid w:val="00CC4555"/>
    <w:rsid w:val="00CC45AE"/>
    <w:rsid w:val="00CC46F4"/>
    <w:rsid w:val="00CC4C71"/>
    <w:rsid w:val="00CC543B"/>
    <w:rsid w:val="00CC73BB"/>
    <w:rsid w:val="00CD03AE"/>
    <w:rsid w:val="00CD100D"/>
    <w:rsid w:val="00CD2489"/>
    <w:rsid w:val="00CD28B9"/>
    <w:rsid w:val="00CD4925"/>
    <w:rsid w:val="00CD632B"/>
    <w:rsid w:val="00CD7929"/>
    <w:rsid w:val="00CE120E"/>
    <w:rsid w:val="00CE5B5D"/>
    <w:rsid w:val="00CE666D"/>
    <w:rsid w:val="00CE6BBD"/>
    <w:rsid w:val="00CE761A"/>
    <w:rsid w:val="00CF21E4"/>
    <w:rsid w:val="00CF2395"/>
    <w:rsid w:val="00CF32A6"/>
    <w:rsid w:val="00CF49A5"/>
    <w:rsid w:val="00CF56B7"/>
    <w:rsid w:val="00CF6D59"/>
    <w:rsid w:val="00D0001F"/>
    <w:rsid w:val="00D020D2"/>
    <w:rsid w:val="00D024E9"/>
    <w:rsid w:val="00D031E9"/>
    <w:rsid w:val="00D0367E"/>
    <w:rsid w:val="00D044D4"/>
    <w:rsid w:val="00D052E9"/>
    <w:rsid w:val="00D05DA1"/>
    <w:rsid w:val="00D07FB4"/>
    <w:rsid w:val="00D10220"/>
    <w:rsid w:val="00D10761"/>
    <w:rsid w:val="00D142CE"/>
    <w:rsid w:val="00D151C1"/>
    <w:rsid w:val="00D151DF"/>
    <w:rsid w:val="00D177FC"/>
    <w:rsid w:val="00D20130"/>
    <w:rsid w:val="00D2526A"/>
    <w:rsid w:val="00D257E5"/>
    <w:rsid w:val="00D2596A"/>
    <w:rsid w:val="00D25A88"/>
    <w:rsid w:val="00D2601F"/>
    <w:rsid w:val="00D26E29"/>
    <w:rsid w:val="00D271AE"/>
    <w:rsid w:val="00D3140B"/>
    <w:rsid w:val="00D32CF1"/>
    <w:rsid w:val="00D33203"/>
    <w:rsid w:val="00D33CAC"/>
    <w:rsid w:val="00D33D64"/>
    <w:rsid w:val="00D3404A"/>
    <w:rsid w:val="00D349BF"/>
    <w:rsid w:val="00D3564D"/>
    <w:rsid w:val="00D36377"/>
    <w:rsid w:val="00D36DC3"/>
    <w:rsid w:val="00D3715E"/>
    <w:rsid w:val="00D40416"/>
    <w:rsid w:val="00D41B10"/>
    <w:rsid w:val="00D427E2"/>
    <w:rsid w:val="00D44B54"/>
    <w:rsid w:val="00D45057"/>
    <w:rsid w:val="00D45069"/>
    <w:rsid w:val="00D450A5"/>
    <w:rsid w:val="00D46166"/>
    <w:rsid w:val="00D478EE"/>
    <w:rsid w:val="00D47D0D"/>
    <w:rsid w:val="00D50BC0"/>
    <w:rsid w:val="00D5314B"/>
    <w:rsid w:val="00D531DC"/>
    <w:rsid w:val="00D53A72"/>
    <w:rsid w:val="00D54B7F"/>
    <w:rsid w:val="00D568C3"/>
    <w:rsid w:val="00D57F04"/>
    <w:rsid w:val="00D60707"/>
    <w:rsid w:val="00D62BED"/>
    <w:rsid w:val="00D64A66"/>
    <w:rsid w:val="00D66064"/>
    <w:rsid w:val="00D66849"/>
    <w:rsid w:val="00D70DBF"/>
    <w:rsid w:val="00D72540"/>
    <w:rsid w:val="00D72A69"/>
    <w:rsid w:val="00D72B85"/>
    <w:rsid w:val="00D734C9"/>
    <w:rsid w:val="00D736DB"/>
    <w:rsid w:val="00D74B6C"/>
    <w:rsid w:val="00D76AB6"/>
    <w:rsid w:val="00D771CA"/>
    <w:rsid w:val="00D8264A"/>
    <w:rsid w:val="00D834D1"/>
    <w:rsid w:val="00D83A51"/>
    <w:rsid w:val="00D83BAF"/>
    <w:rsid w:val="00D84972"/>
    <w:rsid w:val="00D85AE8"/>
    <w:rsid w:val="00D86171"/>
    <w:rsid w:val="00D870CE"/>
    <w:rsid w:val="00D8757F"/>
    <w:rsid w:val="00D87C38"/>
    <w:rsid w:val="00D926AD"/>
    <w:rsid w:val="00D93656"/>
    <w:rsid w:val="00D94A8E"/>
    <w:rsid w:val="00D953B1"/>
    <w:rsid w:val="00D96EE0"/>
    <w:rsid w:val="00DA2346"/>
    <w:rsid w:val="00DA326E"/>
    <w:rsid w:val="00DA5E57"/>
    <w:rsid w:val="00DA61AA"/>
    <w:rsid w:val="00DA69AC"/>
    <w:rsid w:val="00DA77FD"/>
    <w:rsid w:val="00DA7C98"/>
    <w:rsid w:val="00DB098F"/>
    <w:rsid w:val="00DB1D8E"/>
    <w:rsid w:val="00DB46DE"/>
    <w:rsid w:val="00DB540F"/>
    <w:rsid w:val="00DB5C3D"/>
    <w:rsid w:val="00DB660E"/>
    <w:rsid w:val="00DB7AD1"/>
    <w:rsid w:val="00DC1662"/>
    <w:rsid w:val="00DC318D"/>
    <w:rsid w:val="00DC57D9"/>
    <w:rsid w:val="00DC60FE"/>
    <w:rsid w:val="00DC6C36"/>
    <w:rsid w:val="00DC722B"/>
    <w:rsid w:val="00DD0F65"/>
    <w:rsid w:val="00DD1383"/>
    <w:rsid w:val="00DD346A"/>
    <w:rsid w:val="00DD5042"/>
    <w:rsid w:val="00DD5C13"/>
    <w:rsid w:val="00DD5D40"/>
    <w:rsid w:val="00DD64E4"/>
    <w:rsid w:val="00DD67EC"/>
    <w:rsid w:val="00DE0C81"/>
    <w:rsid w:val="00DE3DBB"/>
    <w:rsid w:val="00DE4753"/>
    <w:rsid w:val="00DE4B5E"/>
    <w:rsid w:val="00DE4E18"/>
    <w:rsid w:val="00DE56E4"/>
    <w:rsid w:val="00DF4274"/>
    <w:rsid w:val="00DF52F3"/>
    <w:rsid w:val="00DF5BE1"/>
    <w:rsid w:val="00DF61C6"/>
    <w:rsid w:val="00DF78B7"/>
    <w:rsid w:val="00DF7BF0"/>
    <w:rsid w:val="00E03108"/>
    <w:rsid w:val="00E03E0B"/>
    <w:rsid w:val="00E0485B"/>
    <w:rsid w:val="00E053D7"/>
    <w:rsid w:val="00E06CA4"/>
    <w:rsid w:val="00E06D7B"/>
    <w:rsid w:val="00E10044"/>
    <w:rsid w:val="00E105E5"/>
    <w:rsid w:val="00E109AB"/>
    <w:rsid w:val="00E10ACF"/>
    <w:rsid w:val="00E1222D"/>
    <w:rsid w:val="00E12A8E"/>
    <w:rsid w:val="00E13846"/>
    <w:rsid w:val="00E174B9"/>
    <w:rsid w:val="00E20433"/>
    <w:rsid w:val="00E20A30"/>
    <w:rsid w:val="00E22192"/>
    <w:rsid w:val="00E24D29"/>
    <w:rsid w:val="00E25397"/>
    <w:rsid w:val="00E25CEC"/>
    <w:rsid w:val="00E277E4"/>
    <w:rsid w:val="00E27BDE"/>
    <w:rsid w:val="00E27BF1"/>
    <w:rsid w:val="00E27C04"/>
    <w:rsid w:val="00E30966"/>
    <w:rsid w:val="00E30F2B"/>
    <w:rsid w:val="00E31EBB"/>
    <w:rsid w:val="00E320AA"/>
    <w:rsid w:val="00E35837"/>
    <w:rsid w:val="00E3677C"/>
    <w:rsid w:val="00E37120"/>
    <w:rsid w:val="00E40125"/>
    <w:rsid w:val="00E403A3"/>
    <w:rsid w:val="00E43175"/>
    <w:rsid w:val="00E431F4"/>
    <w:rsid w:val="00E43FFA"/>
    <w:rsid w:val="00E44545"/>
    <w:rsid w:val="00E449BD"/>
    <w:rsid w:val="00E457CA"/>
    <w:rsid w:val="00E47CDB"/>
    <w:rsid w:val="00E51C3B"/>
    <w:rsid w:val="00E55AF3"/>
    <w:rsid w:val="00E56C87"/>
    <w:rsid w:val="00E607EA"/>
    <w:rsid w:val="00E60C62"/>
    <w:rsid w:val="00E6105C"/>
    <w:rsid w:val="00E628FB"/>
    <w:rsid w:val="00E6480F"/>
    <w:rsid w:val="00E64D58"/>
    <w:rsid w:val="00E666AC"/>
    <w:rsid w:val="00E6711B"/>
    <w:rsid w:val="00E6758A"/>
    <w:rsid w:val="00E70549"/>
    <w:rsid w:val="00E71E8E"/>
    <w:rsid w:val="00E7200A"/>
    <w:rsid w:val="00E73FBE"/>
    <w:rsid w:val="00E743DD"/>
    <w:rsid w:val="00E76653"/>
    <w:rsid w:val="00E80DE9"/>
    <w:rsid w:val="00E8496A"/>
    <w:rsid w:val="00E84C09"/>
    <w:rsid w:val="00E84E9E"/>
    <w:rsid w:val="00E86952"/>
    <w:rsid w:val="00E92B52"/>
    <w:rsid w:val="00E93AD4"/>
    <w:rsid w:val="00E95275"/>
    <w:rsid w:val="00E95701"/>
    <w:rsid w:val="00E9592C"/>
    <w:rsid w:val="00E96376"/>
    <w:rsid w:val="00E965CE"/>
    <w:rsid w:val="00E97F3A"/>
    <w:rsid w:val="00EA03DB"/>
    <w:rsid w:val="00EA32E0"/>
    <w:rsid w:val="00EA52B5"/>
    <w:rsid w:val="00EA53B8"/>
    <w:rsid w:val="00EA69CA"/>
    <w:rsid w:val="00EA73D4"/>
    <w:rsid w:val="00EB0708"/>
    <w:rsid w:val="00EB17A7"/>
    <w:rsid w:val="00EB382A"/>
    <w:rsid w:val="00EB425E"/>
    <w:rsid w:val="00EB4A63"/>
    <w:rsid w:val="00EB4C30"/>
    <w:rsid w:val="00EC162D"/>
    <w:rsid w:val="00EC1FF7"/>
    <w:rsid w:val="00EC35EB"/>
    <w:rsid w:val="00EC41EA"/>
    <w:rsid w:val="00EC53A7"/>
    <w:rsid w:val="00EC593C"/>
    <w:rsid w:val="00EC6669"/>
    <w:rsid w:val="00ED044A"/>
    <w:rsid w:val="00ED068A"/>
    <w:rsid w:val="00ED2018"/>
    <w:rsid w:val="00ED304F"/>
    <w:rsid w:val="00ED371C"/>
    <w:rsid w:val="00ED3FB5"/>
    <w:rsid w:val="00ED5915"/>
    <w:rsid w:val="00ED6A57"/>
    <w:rsid w:val="00ED6C39"/>
    <w:rsid w:val="00ED6FE9"/>
    <w:rsid w:val="00ED707A"/>
    <w:rsid w:val="00ED759E"/>
    <w:rsid w:val="00EE0910"/>
    <w:rsid w:val="00EE0E38"/>
    <w:rsid w:val="00EE305B"/>
    <w:rsid w:val="00EE3C1A"/>
    <w:rsid w:val="00EE4B5C"/>
    <w:rsid w:val="00EE5C51"/>
    <w:rsid w:val="00EE7687"/>
    <w:rsid w:val="00EF14BA"/>
    <w:rsid w:val="00EF1BB4"/>
    <w:rsid w:val="00EF1FBE"/>
    <w:rsid w:val="00EF3B9A"/>
    <w:rsid w:val="00EF4194"/>
    <w:rsid w:val="00EF49EA"/>
    <w:rsid w:val="00EF4AC6"/>
    <w:rsid w:val="00EF6C72"/>
    <w:rsid w:val="00EF7616"/>
    <w:rsid w:val="00F03D2B"/>
    <w:rsid w:val="00F0414B"/>
    <w:rsid w:val="00F06ACF"/>
    <w:rsid w:val="00F07912"/>
    <w:rsid w:val="00F07EE8"/>
    <w:rsid w:val="00F10ABB"/>
    <w:rsid w:val="00F1398A"/>
    <w:rsid w:val="00F14340"/>
    <w:rsid w:val="00F16B1A"/>
    <w:rsid w:val="00F172BD"/>
    <w:rsid w:val="00F21DBA"/>
    <w:rsid w:val="00F232F8"/>
    <w:rsid w:val="00F24ABD"/>
    <w:rsid w:val="00F26481"/>
    <w:rsid w:val="00F272AE"/>
    <w:rsid w:val="00F27494"/>
    <w:rsid w:val="00F30460"/>
    <w:rsid w:val="00F3067A"/>
    <w:rsid w:val="00F3111C"/>
    <w:rsid w:val="00F31C00"/>
    <w:rsid w:val="00F34549"/>
    <w:rsid w:val="00F352DF"/>
    <w:rsid w:val="00F35F30"/>
    <w:rsid w:val="00F36AC5"/>
    <w:rsid w:val="00F37524"/>
    <w:rsid w:val="00F37FEE"/>
    <w:rsid w:val="00F41786"/>
    <w:rsid w:val="00F417EF"/>
    <w:rsid w:val="00F41C72"/>
    <w:rsid w:val="00F41D50"/>
    <w:rsid w:val="00F455D9"/>
    <w:rsid w:val="00F472A4"/>
    <w:rsid w:val="00F51CA6"/>
    <w:rsid w:val="00F53538"/>
    <w:rsid w:val="00F536A7"/>
    <w:rsid w:val="00F53C18"/>
    <w:rsid w:val="00F53E0D"/>
    <w:rsid w:val="00F541A3"/>
    <w:rsid w:val="00F552E9"/>
    <w:rsid w:val="00F55947"/>
    <w:rsid w:val="00F567ED"/>
    <w:rsid w:val="00F57978"/>
    <w:rsid w:val="00F603BF"/>
    <w:rsid w:val="00F637B1"/>
    <w:rsid w:val="00F65AF7"/>
    <w:rsid w:val="00F65D56"/>
    <w:rsid w:val="00F66B06"/>
    <w:rsid w:val="00F6702C"/>
    <w:rsid w:val="00F679BC"/>
    <w:rsid w:val="00F704F2"/>
    <w:rsid w:val="00F73052"/>
    <w:rsid w:val="00F732DC"/>
    <w:rsid w:val="00F74924"/>
    <w:rsid w:val="00F75C1F"/>
    <w:rsid w:val="00F75DEC"/>
    <w:rsid w:val="00F81116"/>
    <w:rsid w:val="00F813B8"/>
    <w:rsid w:val="00F8454C"/>
    <w:rsid w:val="00F84974"/>
    <w:rsid w:val="00F859DB"/>
    <w:rsid w:val="00F8722B"/>
    <w:rsid w:val="00F873F1"/>
    <w:rsid w:val="00F87433"/>
    <w:rsid w:val="00F8770A"/>
    <w:rsid w:val="00F87EC2"/>
    <w:rsid w:val="00F900CE"/>
    <w:rsid w:val="00F91DA3"/>
    <w:rsid w:val="00F91DDB"/>
    <w:rsid w:val="00F92708"/>
    <w:rsid w:val="00F93920"/>
    <w:rsid w:val="00F962DF"/>
    <w:rsid w:val="00F96517"/>
    <w:rsid w:val="00F9744B"/>
    <w:rsid w:val="00F97666"/>
    <w:rsid w:val="00FA084B"/>
    <w:rsid w:val="00FA15D0"/>
    <w:rsid w:val="00FA242F"/>
    <w:rsid w:val="00FA3535"/>
    <w:rsid w:val="00FA4C41"/>
    <w:rsid w:val="00FA4CFE"/>
    <w:rsid w:val="00FA50EA"/>
    <w:rsid w:val="00FA5934"/>
    <w:rsid w:val="00FA6065"/>
    <w:rsid w:val="00FB2638"/>
    <w:rsid w:val="00FB3285"/>
    <w:rsid w:val="00FB3B62"/>
    <w:rsid w:val="00FB3D97"/>
    <w:rsid w:val="00FB4051"/>
    <w:rsid w:val="00FB54A3"/>
    <w:rsid w:val="00FB5A7F"/>
    <w:rsid w:val="00FB6457"/>
    <w:rsid w:val="00FB6EF1"/>
    <w:rsid w:val="00FC060A"/>
    <w:rsid w:val="00FC1878"/>
    <w:rsid w:val="00FC2082"/>
    <w:rsid w:val="00FC3F2C"/>
    <w:rsid w:val="00FC46B2"/>
    <w:rsid w:val="00FD0C60"/>
    <w:rsid w:val="00FD0FB4"/>
    <w:rsid w:val="00FD118C"/>
    <w:rsid w:val="00FD1FC7"/>
    <w:rsid w:val="00FD3261"/>
    <w:rsid w:val="00FD3430"/>
    <w:rsid w:val="00FD47E6"/>
    <w:rsid w:val="00FD5187"/>
    <w:rsid w:val="00FD5CAB"/>
    <w:rsid w:val="00FD6075"/>
    <w:rsid w:val="00FD6565"/>
    <w:rsid w:val="00FE09C4"/>
    <w:rsid w:val="00FE2018"/>
    <w:rsid w:val="00FE298C"/>
    <w:rsid w:val="00FE3C75"/>
    <w:rsid w:val="00FE3E8D"/>
    <w:rsid w:val="00FE4328"/>
    <w:rsid w:val="00FE5895"/>
    <w:rsid w:val="00FE5BDE"/>
    <w:rsid w:val="00FE5ED8"/>
    <w:rsid w:val="00FE6717"/>
    <w:rsid w:val="00FE6E00"/>
    <w:rsid w:val="00FE7B1C"/>
    <w:rsid w:val="00FE7D29"/>
    <w:rsid w:val="00FF131C"/>
    <w:rsid w:val="00FF29DD"/>
    <w:rsid w:val="00FF3E5B"/>
    <w:rsid w:val="00FF4EFC"/>
    <w:rsid w:val="00FF566B"/>
    <w:rsid w:val="00FF598E"/>
    <w:rsid w:val="010975C0"/>
    <w:rsid w:val="010F065E"/>
    <w:rsid w:val="012B5576"/>
    <w:rsid w:val="0144210B"/>
    <w:rsid w:val="01461CFF"/>
    <w:rsid w:val="014D6DB0"/>
    <w:rsid w:val="01541FBE"/>
    <w:rsid w:val="015B3DB8"/>
    <w:rsid w:val="015F2232"/>
    <w:rsid w:val="01AA4669"/>
    <w:rsid w:val="01B42D58"/>
    <w:rsid w:val="01B74707"/>
    <w:rsid w:val="01C55775"/>
    <w:rsid w:val="01CF1907"/>
    <w:rsid w:val="01EF43BB"/>
    <w:rsid w:val="01F0095E"/>
    <w:rsid w:val="01F65F6F"/>
    <w:rsid w:val="02271F96"/>
    <w:rsid w:val="02517FC5"/>
    <w:rsid w:val="02791344"/>
    <w:rsid w:val="027D4F23"/>
    <w:rsid w:val="028D4B54"/>
    <w:rsid w:val="02A9158A"/>
    <w:rsid w:val="02B07904"/>
    <w:rsid w:val="02E610CF"/>
    <w:rsid w:val="02E86F82"/>
    <w:rsid w:val="031A3D06"/>
    <w:rsid w:val="032B053F"/>
    <w:rsid w:val="032D1975"/>
    <w:rsid w:val="03786440"/>
    <w:rsid w:val="03871779"/>
    <w:rsid w:val="03B10E0B"/>
    <w:rsid w:val="03BD5122"/>
    <w:rsid w:val="03F602E1"/>
    <w:rsid w:val="03F9457F"/>
    <w:rsid w:val="041901C7"/>
    <w:rsid w:val="04202C76"/>
    <w:rsid w:val="04246559"/>
    <w:rsid w:val="04492F15"/>
    <w:rsid w:val="04545B11"/>
    <w:rsid w:val="0462590B"/>
    <w:rsid w:val="0480107C"/>
    <w:rsid w:val="048A7137"/>
    <w:rsid w:val="04965593"/>
    <w:rsid w:val="04D00789"/>
    <w:rsid w:val="04F53DF2"/>
    <w:rsid w:val="05145E61"/>
    <w:rsid w:val="05165021"/>
    <w:rsid w:val="051B67DC"/>
    <w:rsid w:val="052F2B3B"/>
    <w:rsid w:val="055F62E0"/>
    <w:rsid w:val="058159C1"/>
    <w:rsid w:val="05EA5110"/>
    <w:rsid w:val="062A342B"/>
    <w:rsid w:val="063F7615"/>
    <w:rsid w:val="065A3F7A"/>
    <w:rsid w:val="06BE67C8"/>
    <w:rsid w:val="071D753B"/>
    <w:rsid w:val="071F0D1E"/>
    <w:rsid w:val="074E358D"/>
    <w:rsid w:val="075A33B6"/>
    <w:rsid w:val="07690A7C"/>
    <w:rsid w:val="076D4D3B"/>
    <w:rsid w:val="077211C3"/>
    <w:rsid w:val="07730858"/>
    <w:rsid w:val="077E65D3"/>
    <w:rsid w:val="079D330C"/>
    <w:rsid w:val="07AB2622"/>
    <w:rsid w:val="07BC69EF"/>
    <w:rsid w:val="07D62EE2"/>
    <w:rsid w:val="07E64A7E"/>
    <w:rsid w:val="07F93EB5"/>
    <w:rsid w:val="08253634"/>
    <w:rsid w:val="08267B1B"/>
    <w:rsid w:val="085C2446"/>
    <w:rsid w:val="0861280D"/>
    <w:rsid w:val="08E80577"/>
    <w:rsid w:val="08EE77B6"/>
    <w:rsid w:val="09565EE1"/>
    <w:rsid w:val="09752680"/>
    <w:rsid w:val="09817806"/>
    <w:rsid w:val="099F25EC"/>
    <w:rsid w:val="09BB7D09"/>
    <w:rsid w:val="09C375AB"/>
    <w:rsid w:val="09C45CB0"/>
    <w:rsid w:val="09D30D2D"/>
    <w:rsid w:val="0A201848"/>
    <w:rsid w:val="0A276D6A"/>
    <w:rsid w:val="0A6067EB"/>
    <w:rsid w:val="0A8A75EA"/>
    <w:rsid w:val="0A9C6C9F"/>
    <w:rsid w:val="0AA16DFC"/>
    <w:rsid w:val="0AAC0A11"/>
    <w:rsid w:val="0AF7560D"/>
    <w:rsid w:val="0AFC0430"/>
    <w:rsid w:val="0B0E5232"/>
    <w:rsid w:val="0B2E5767"/>
    <w:rsid w:val="0B4C3B0C"/>
    <w:rsid w:val="0B537F25"/>
    <w:rsid w:val="0B5F794B"/>
    <w:rsid w:val="0BA322EF"/>
    <w:rsid w:val="0BAA50B0"/>
    <w:rsid w:val="0BCF61D2"/>
    <w:rsid w:val="0BD26275"/>
    <w:rsid w:val="0BF13AE8"/>
    <w:rsid w:val="0C18220C"/>
    <w:rsid w:val="0C99163D"/>
    <w:rsid w:val="0C9F2A56"/>
    <w:rsid w:val="0CCE30DF"/>
    <w:rsid w:val="0CD01CD6"/>
    <w:rsid w:val="0CEA2FBA"/>
    <w:rsid w:val="0CEC47C3"/>
    <w:rsid w:val="0CF03380"/>
    <w:rsid w:val="0D612203"/>
    <w:rsid w:val="0D6E32D3"/>
    <w:rsid w:val="0D845B76"/>
    <w:rsid w:val="0D9C27D2"/>
    <w:rsid w:val="0DBF46CD"/>
    <w:rsid w:val="0DD04A36"/>
    <w:rsid w:val="0DEA0E63"/>
    <w:rsid w:val="0DF37D24"/>
    <w:rsid w:val="0E272EC6"/>
    <w:rsid w:val="0E321DFF"/>
    <w:rsid w:val="0E66622E"/>
    <w:rsid w:val="0E737AC2"/>
    <w:rsid w:val="0E7F4BD9"/>
    <w:rsid w:val="0E922575"/>
    <w:rsid w:val="0EB87857"/>
    <w:rsid w:val="0EBE46BE"/>
    <w:rsid w:val="0EC07BC1"/>
    <w:rsid w:val="0EE95C7A"/>
    <w:rsid w:val="0FD30983"/>
    <w:rsid w:val="100D6B64"/>
    <w:rsid w:val="103D2996"/>
    <w:rsid w:val="10694963"/>
    <w:rsid w:val="106D0B81"/>
    <w:rsid w:val="106D46EB"/>
    <w:rsid w:val="107D279A"/>
    <w:rsid w:val="10AC7A1C"/>
    <w:rsid w:val="10EF5C6D"/>
    <w:rsid w:val="112C7E60"/>
    <w:rsid w:val="112D573C"/>
    <w:rsid w:val="113C7F55"/>
    <w:rsid w:val="116F10E9"/>
    <w:rsid w:val="11BA42EA"/>
    <w:rsid w:val="11BB431F"/>
    <w:rsid w:val="11CE0D8A"/>
    <w:rsid w:val="11E60CBB"/>
    <w:rsid w:val="12180BBD"/>
    <w:rsid w:val="122C565F"/>
    <w:rsid w:val="124901E5"/>
    <w:rsid w:val="126B507C"/>
    <w:rsid w:val="12B90746"/>
    <w:rsid w:val="12C61FDA"/>
    <w:rsid w:val="12FA11B0"/>
    <w:rsid w:val="131555DD"/>
    <w:rsid w:val="13172CDE"/>
    <w:rsid w:val="13240A9A"/>
    <w:rsid w:val="13445282"/>
    <w:rsid w:val="13B34CDE"/>
    <w:rsid w:val="13C50412"/>
    <w:rsid w:val="13D973B8"/>
    <w:rsid w:val="13DD17A2"/>
    <w:rsid w:val="14186C14"/>
    <w:rsid w:val="14673812"/>
    <w:rsid w:val="14AE3393"/>
    <w:rsid w:val="14C01E04"/>
    <w:rsid w:val="14CE7D9B"/>
    <w:rsid w:val="14E55858"/>
    <w:rsid w:val="14ED4E02"/>
    <w:rsid w:val="1507380E"/>
    <w:rsid w:val="150C7238"/>
    <w:rsid w:val="1517049A"/>
    <w:rsid w:val="151A11AA"/>
    <w:rsid w:val="15402CD0"/>
    <w:rsid w:val="1555138F"/>
    <w:rsid w:val="159C7914"/>
    <w:rsid w:val="159E25EC"/>
    <w:rsid w:val="15B06226"/>
    <w:rsid w:val="15E10335"/>
    <w:rsid w:val="15E24476"/>
    <w:rsid w:val="15EE1801"/>
    <w:rsid w:val="15EF20BC"/>
    <w:rsid w:val="160547D8"/>
    <w:rsid w:val="166459C4"/>
    <w:rsid w:val="16D41672"/>
    <w:rsid w:val="16E43FA6"/>
    <w:rsid w:val="177E044F"/>
    <w:rsid w:val="179E1A67"/>
    <w:rsid w:val="179E44F7"/>
    <w:rsid w:val="17CA3453"/>
    <w:rsid w:val="17D66B04"/>
    <w:rsid w:val="17F52BDC"/>
    <w:rsid w:val="1804620B"/>
    <w:rsid w:val="180F5691"/>
    <w:rsid w:val="182A6406"/>
    <w:rsid w:val="182C4A09"/>
    <w:rsid w:val="18321A27"/>
    <w:rsid w:val="18496DE3"/>
    <w:rsid w:val="189A0F28"/>
    <w:rsid w:val="18B429A4"/>
    <w:rsid w:val="18BC1320"/>
    <w:rsid w:val="18C035AA"/>
    <w:rsid w:val="191E6743"/>
    <w:rsid w:val="196562B6"/>
    <w:rsid w:val="19BE01C6"/>
    <w:rsid w:val="19C84512"/>
    <w:rsid w:val="19CB78A5"/>
    <w:rsid w:val="19EB179F"/>
    <w:rsid w:val="1A391B12"/>
    <w:rsid w:val="1A75035E"/>
    <w:rsid w:val="1A7646D5"/>
    <w:rsid w:val="1A961EAB"/>
    <w:rsid w:val="1AB31559"/>
    <w:rsid w:val="1AC645D7"/>
    <w:rsid w:val="1ACE322A"/>
    <w:rsid w:val="1ADF53FE"/>
    <w:rsid w:val="1AF26D42"/>
    <w:rsid w:val="1B0537E4"/>
    <w:rsid w:val="1B1A2203"/>
    <w:rsid w:val="1B5B3701"/>
    <w:rsid w:val="1B7A37A3"/>
    <w:rsid w:val="1B861B9F"/>
    <w:rsid w:val="1B962037"/>
    <w:rsid w:val="1BC4709A"/>
    <w:rsid w:val="1BC761E4"/>
    <w:rsid w:val="1C814FCD"/>
    <w:rsid w:val="1C9B12FC"/>
    <w:rsid w:val="1CAF5072"/>
    <w:rsid w:val="1CC012A2"/>
    <w:rsid w:val="1CE32D75"/>
    <w:rsid w:val="1CED5883"/>
    <w:rsid w:val="1D02423B"/>
    <w:rsid w:val="1D0425AD"/>
    <w:rsid w:val="1D10167D"/>
    <w:rsid w:val="1D133F20"/>
    <w:rsid w:val="1D2F1B6F"/>
    <w:rsid w:val="1D41273D"/>
    <w:rsid w:val="1D74390B"/>
    <w:rsid w:val="1D923E12"/>
    <w:rsid w:val="1DBB260D"/>
    <w:rsid w:val="1DF71892"/>
    <w:rsid w:val="1E1851E2"/>
    <w:rsid w:val="1E1F222A"/>
    <w:rsid w:val="1E206EF9"/>
    <w:rsid w:val="1E3B2383"/>
    <w:rsid w:val="1E9623BB"/>
    <w:rsid w:val="1EAE4199"/>
    <w:rsid w:val="1ECD27CD"/>
    <w:rsid w:val="1EDC2072"/>
    <w:rsid w:val="1EE324BA"/>
    <w:rsid w:val="1F2B6646"/>
    <w:rsid w:val="1F6848CD"/>
    <w:rsid w:val="1F7652AC"/>
    <w:rsid w:val="1F7F2339"/>
    <w:rsid w:val="1F880A4A"/>
    <w:rsid w:val="207F677A"/>
    <w:rsid w:val="20851657"/>
    <w:rsid w:val="208A21A7"/>
    <w:rsid w:val="20A830A0"/>
    <w:rsid w:val="20DE7195"/>
    <w:rsid w:val="20E25C0B"/>
    <w:rsid w:val="20F10C6C"/>
    <w:rsid w:val="20FA7627"/>
    <w:rsid w:val="21893A13"/>
    <w:rsid w:val="21950E51"/>
    <w:rsid w:val="21BC42C0"/>
    <w:rsid w:val="21CC2404"/>
    <w:rsid w:val="21EC1A48"/>
    <w:rsid w:val="2231107D"/>
    <w:rsid w:val="2243256F"/>
    <w:rsid w:val="22530F91"/>
    <w:rsid w:val="2253695F"/>
    <w:rsid w:val="22566AC2"/>
    <w:rsid w:val="22630C3D"/>
    <w:rsid w:val="228A685E"/>
    <w:rsid w:val="230B4F2D"/>
    <w:rsid w:val="23331FB3"/>
    <w:rsid w:val="23415D20"/>
    <w:rsid w:val="234B6844"/>
    <w:rsid w:val="23816B89"/>
    <w:rsid w:val="23B1689B"/>
    <w:rsid w:val="23D20FD2"/>
    <w:rsid w:val="2409112F"/>
    <w:rsid w:val="2438296E"/>
    <w:rsid w:val="243F0C4C"/>
    <w:rsid w:val="24B751AF"/>
    <w:rsid w:val="24BD3555"/>
    <w:rsid w:val="24CA4DE9"/>
    <w:rsid w:val="24EA3120"/>
    <w:rsid w:val="252D4A2D"/>
    <w:rsid w:val="25533A48"/>
    <w:rsid w:val="25586EC2"/>
    <w:rsid w:val="257D4D79"/>
    <w:rsid w:val="258E1F6F"/>
    <w:rsid w:val="2599753F"/>
    <w:rsid w:val="259C5142"/>
    <w:rsid w:val="25A30350"/>
    <w:rsid w:val="25BB2173"/>
    <w:rsid w:val="25CD5911"/>
    <w:rsid w:val="25D2569F"/>
    <w:rsid w:val="25D71AA3"/>
    <w:rsid w:val="25E813AD"/>
    <w:rsid w:val="2624631F"/>
    <w:rsid w:val="263C21C5"/>
    <w:rsid w:val="2665260C"/>
    <w:rsid w:val="26725A01"/>
    <w:rsid w:val="267B6875"/>
    <w:rsid w:val="269456DA"/>
    <w:rsid w:val="269B1961"/>
    <w:rsid w:val="26AA55BA"/>
    <w:rsid w:val="26DF6B54"/>
    <w:rsid w:val="26E543C0"/>
    <w:rsid w:val="271D4636"/>
    <w:rsid w:val="272737A1"/>
    <w:rsid w:val="275E45D7"/>
    <w:rsid w:val="278C7A09"/>
    <w:rsid w:val="27BD3EC2"/>
    <w:rsid w:val="27CF3DDC"/>
    <w:rsid w:val="28227594"/>
    <w:rsid w:val="284F6A4B"/>
    <w:rsid w:val="2863398B"/>
    <w:rsid w:val="28906E4D"/>
    <w:rsid w:val="28991793"/>
    <w:rsid w:val="28C46086"/>
    <w:rsid w:val="28DC58A3"/>
    <w:rsid w:val="28E8463F"/>
    <w:rsid w:val="29315FA2"/>
    <w:rsid w:val="29485105"/>
    <w:rsid w:val="294D63C2"/>
    <w:rsid w:val="296942C4"/>
    <w:rsid w:val="298F14ED"/>
    <w:rsid w:val="29A36254"/>
    <w:rsid w:val="29AE6BF1"/>
    <w:rsid w:val="29C42F93"/>
    <w:rsid w:val="29C55C6E"/>
    <w:rsid w:val="29ED264E"/>
    <w:rsid w:val="2A036897"/>
    <w:rsid w:val="2A27245E"/>
    <w:rsid w:val="2A2804CC"/>
    <w:rsid w:val="2A2C74BF"/>
    <w:rsid w:val="2A3111DB"/>
    <w:rsid w:val="2A4C072D"/>
    <w:rsid w:val="2A6B02A8"/>
    <w:rsid w:val="2A7A1EB8"/>
    <w:rsid w:val="2AAF23C1"/>
    <w:rsid w:val="2AB84B24"/>
    <w:rsid w:val="2ACF2C9E"/>
    <w:rsid w:val="2B340852"/>
    <w:rsid w:val="2B521ED4"/>
    <w:rsid w:val="2B5327A4"/>
    <w:rsid w:val="2B816381"/>
    <w:rsid w:val="2B95320E"/>
    <w:rsid w:val="2BA30AA8"/>
    <w:rsid w:val="2BAB3153"/>
    <w:rsid w:val="2BB91C85"/>
    <w:rsid w:val="2BC5719F"/>
    <w:rsid w:val="2BD20EA0"/>
    <w:rsid w:val="2BD43FF7"/>
    <w:rsid w:val="2C09199A"/>
    <w:rsid w:val="2C12605B"/>
    <w:rsid w:val="2C3D0264"/>
    <w:rsid w:val="2C4B5AD3"/>
    <w:rsid w:val="2C4E361C"/>
    <w:rsid w:val="2C801F12"/>
    <w:rsid w:val="2CAC20FF"/>
    <w:rsid w:val="2CC54350"/>
    <w:rsid w:val="2CD30AEF"/>
    <w:rsid w:val="2D0F2E16"/>
    <w:rsid w:val="2D2C55B9"/>
    <w:rsid w:val="2D401327"/>
    <w:rsid w:val="2D596B22"/>
    <w:rsid w:val="2D946557"/>
    <w:rsid w:val="2DC3793C"/>
    <w:rsid w:val="2DD64A42"/>
    <w:rsid w:val="2E315792"/>
    <w:rsid w:val="2E3565B9"/>
    <w:rsid w:val="2E3E316C"/>
    <w:rsid w:val="2E4E4C86"/>
    <w:rsid w:val="2E5B73FA"/>
    <w:rsid w:val="2E5E5C8D"/>
    <w:rsid w:val="2E616BA4"/>
    <w:rsid w:val="2E7128A8"/>
    <w:rsid w:val="2EA62477"/>
    <w:rsid w:val="2EB2312B"/>
    <w:rsid w:val="2EF75CEC"/>
    <w:rsid w:val="2F0860B8"/>
    <w:rsid w:val="2F1808D1"/>
    <w:rsid w:val="2F22772C"/>
    <w:rsid w:val="2F6C2F2A"/>
    <w:rsid w:val="2F6F48BF"/>
    <w:rsid w:val="2FA417BA"/>
    <w:rsid w:val="2FAE4D2E"/>
    <w:rsid w:val="2FC70089"/>
    <w:rsid w:val="2FD46A86"/>
    <w:rsid w:val="2FEF2B33"/>
    <w:rsid w:val="3040066B"/>
    <w:rsid w:val="304A0163"/>
    <w:rsid w:val="30661878"/>
    <w:rsid w:val="307661A9"/>
    <w:rsid w:val="307B5F9A"/>
    <w:rsid w:val="308D5EB4"/>
    <w:rsid w:val="30BD2B49"/>
    <w:rsid w:val="30C92203"/>
    <w:rsid w:val="30CC15D2"/>
    <w:rsid w:val="30DD12C5"/>
    <w:rsid w:val="312B4A06"/>
    <w:rsid w:val="31393DEA"/>
    <w:rsid w:val="314F2DE4"/>
    <w:rsid w:val="31583505"/>
    <w:rsid w:val="316019EB"/>
    <w:rsid w:val="31AE489E"/>
    <w:rsid w:val="31B0721A"/>
    <w:rsid w:val="31CE7B45"/>
    <w:rsid w:val="31F476C7"/>
    <w:rsid w:val="323B033A"/>
    <w:rsid w:val="32412AF8"/>
    <w:rsid w:val="32770E90"/>
    <w:rsid w:val="32785E1E"/>
    <w:rsid w:val="32AE4256"/>
    <w:rsid w:val="32B716C4"/>
    <w:rsid w:val="32D64AF4"/>
    <w:rsid w:val="32F25099"/>
    <w:rsid w:val="3331391E"/>
    <w:rsid w:val="3340063C"/>
    <w:rsid w:val="336C243E"/>
    <w:rsid w:val="33B37F5E"/>
    <w:rsid w:val="33B4057B"/>
    <w:rsid w:val="33B75467"/>
    <w:rsid w:val="33C2127A"/>
    <w:rsid w:val="33C40EFA"/>
    <w:rsid w:val="33D0278E"/>
    <w:rsid w:val="33DA5611"/>
    <w:rsid w:val="344E1C6F"/>
    <w:rsid w:val="346D5E8F"/>
    <w:rsid w:val="348813DB"/>
    <w:rsid w:val="34B0567F"/>
    <w:rsid w:val="34ED54E4"/>
    <w:rsid w:val="34FD41FB"/>
    <w:rsid w:val="353E78F7"/>
    <w:rsid w:val="3541716C"/>
    <w:rsid w:val="35545C28"/>
    <w:rsid w:val="355E24B6"/>
    <w:rsid w:val="359901F3"/>
    <w:rsid w:val="35C12F3E"/>
    <w:rsid w:val="35C81C87"/>
    <w:rsid w:val="35C90378"/>
    <w:rsid w:val="35D15757"/>
    <w:rsid w:val="35F90E99"/>
    <w:rsid w:val="360176FC"/>
    <w:rsid w:val="362D5E70"/>
    <w:rsid w:val="3655598B"/>
    <w:rsid w:val="36612E47"/>
    <w:rsid w:val="367F23F7"/>
    <w:rsid w:val="36BC19F9"/>
    <w:rsid w:val="36C30370"/>
    <w:rsid w:val="36E10D03"/>
    <w:rsid w:val="36EB0A48"/>
    <w:rsid w:val="3730221B"/>
    <w:rsid w:val="373E2316"/>
    <w:rsid w:val="379D4DCD"/>
    <w:rsid w:val="37DA492C"/>
    <w:rsid w:val="381C311D"/>
    <w:rsid w:val="384F14DA"/>
    <w:rsid w:val="38697999"/>
    <w:rsid w:val="386F006C"/>
    <w:rsid w:val="387E40BB"/>
    <w:rsid w:val="38C757B4"/>
    <w:rsid w:val="38CB53E0"/>
    <w:rsid w:val="38D724D2"/>
    <w:rsid w:val="39022116"/>
    <w:rsid w:val="390C4350"/>
    <w:rsid w:val="392A7ABF"/>
    <w:rsid w:val="39446ED7"/>
    <w:rsid w:val="397336CF"/>
    <w:rsid w:val="39B25D9A"/>
    <w:rsid w:val="39B52179"/>
    <w:rsid w:val="39BC7C93"/>
    <w:rsid w:val="3A296DD0"/>
    <w:rsid w:val="3A577E3C"/>
    <w:rsid w:val="3A756774"/>
    <w:rsid w:val="3AC11826"/>
    <w:rsid w:val="3ACD357A"/>
    <w:rsid w:val="3AE138A5"/>
    <w:rsid w:val="3AF171C5"/>
    <w:rsid w:val="3AF81F10"/>
    <w:rsid w:val="3B111E76"/>
    <w:rsid w:val="3B1D05A2"/>
    <w:rsid w:val="3B6E3B56"/>
    <w:rsid w:val="3B8A04BB"/>
    <w:rsid w:val="3BA57F6A"/>
    <w:rsid w:val="3BA932EE"/>
    <w:rsid w:val="3C003173"/>
    <w:rsid w:val="3C087025"/>
    <w:rsid w:val="3C1546D6"/>
    <w:rsid w:val="3C1A0F3A"/>
    <w:rsid w:val="3C1B4033"/>
    <w:rsid w:val="3C8D24F7"/>
    <w:rsid w:val="3CB4304F"/>
    <w:rsid w:val="3D037E66"/>
    <w:rsid w:val="3D114E3F"/>
    <w:rsid w:val="3D276DB6"/>
    <w:rsid w:val="3D4C2750"/>
    <w:rsid w:val="3D5F4F3E"/>
    <w:rsid w:val="3D6A5187"/>
    <w:rsid w:val="3DAE44B7"/>
    <w:rsid w:val="3E0953D7"/>
    <w:rsid w:val="3E3D30AC"/>
    <w:rsid w:val="3E8E5630"/>
    <w:rsid w:val="3EB01BC5"/>
    <w:rsid w:val="3EB30649"/>
    <w:rsid w:val="3EBE33A9"/>
    <w:rsid w:val="3EC5358C"/>
    <w:rsid w:val="3EC57D08"/>
    <w:rsid w:val="3EFC23E1"/>
    <w:rsid w:val="3F114042"/>
    <w:rsid w:val="3F710D82"/>
    <w:rsid w:val="3F7E1D11"/>
    <w:rsid w:val="3FD26C72"/>
    <w:rsid w:val="4001103D"/>
    <w:rsid w:val="40197335"/>
    <w:rsid w:val="401E4633"/>
    <w:rsid w:val="40505291"/>
    <w:rsid w:val="406707B8"/>
    <w:rsid w:val="40C27B4E"/>
    <w:rsid w:val="40CA1FA4"/>
    <w:rsid w:val="40F2743C"/>
    <w:rsid w:val="41510BF7"/>
    <w:rsid w:val="41585AC3"/>
    <w:rsid w:val="417942FA"/>
    <w:rsid w:val="4199652C"/>
    <w:rsid w:val="41B8522F"/>
    <w:rsid w:val="41C0099D"/>
    <w:rsid w:val="41D75D6D"/>
    <w:rsid w:val="41D83540"/>
    <w:rsid w:val="41F54312"/>
    <w:rsid w:val="421B4028"/>
    <w:rsid w:val="42332EA8"/>
    <w:rsid w:val="423441AD"/>
    <w:rsid w:val="424D59EF"/>
    <w:rsid w:val="42585666"/>
    <w:rsid w:val="4259696B"/>
    <w:rsid w:val="427B5EEE"/>
    <w:rsid w:val="42A82305"/>
    <w:rsid w:val="42AF6DC9"/>
    <w:rsid w:val="42F332E6"/>
    <w:rsid w:val="43267BF2"/>
    <w:rsid w:val="43284445"/>
    <w:rsid w:val="436832A5"/>
    <w:rsid w:val="43690D26"/>
    <w:rsid w:val="436B35E9"/>
    <w:rsid w:val="43775ABD"/>
    <w:rsid w:val="43971EFE"/>
    <w:rsid w:val="43AA19CB"/>
    <w:rsid w:val="43C232B2"/>
    <w:rsid w:val="43EB6AAF"/>
    <w:rsid w:val="43EC5A7C"/>
    <w:rsid w:val="43F20B28"/>
    <w:rsid w:val="441321C3"/>
    <w:rsid w:val="44501024"/>
    <w:rsid w:val="445F2119"/>
    <w:rsid w:val="44810F88"/>
    <w:rsid w:val="449C7E1E"/>
    <w:rsid w:val="44D57D67"/>
    <w:rsid w:val="44E8074A"/>
    <w:rsid w:val="44EF1DBD"/>
    <w:rsid w:val="453C66A3"/>
    <w:rsid w:val="455240CA"/>
    <w:rsid w:val="45530905"/>
    <w:rsid w:val="45913FC1"/>
    <w:rsid w:val="45924248"/>
    <w:rsid w:val="459427D2"/>
    <w:rsid w:val="45EB21DA"/>
    <w:rsid w:val="45F91A65"/>
    <w:rsid w:val="46521A6E"/>
    <w:rsid w:val="46627EC0"/>
    <w:rsid w:val="4666070F"/>
    <w:rsid w:val="468F4CB5"/>
    <w:rsid w:val="46905CD0"/>
    <w:rsid w:val="469C2DE7"/>
    <w:rsid w:val="46CD35B6"/>
    <w:rsid w:val="46D42F41"/>
    <w:rsid w:val="46DA5215"/>
    <w:rsid w:val="46F15F47"/>
    <w:rsid w:val="4700508A"/>
    <w:rsid w:val="47017A9E"/>
    <w:rsid w:val="473345DF"/>
    <w:rsid w:val="47852732"/>
    <w:rsid w:val="47A64207"/>
    <w:rsid w:val="47BB5932"/>
    <w:rsid w:val="47BE6742"/>
    <w:rsid w:val="47D01EDF"/>
    <w:rsid w:val="48015F32"/>
    <w:rsid w:val="4823002C"/>
    <w:rsid w:val="48242D2A"/>
    <w:rsid w:val="48273A70"/>
    <w:rsid w:val="48405A16"/>
    <w:rsid w:val="485324B9"/>
    <w:rsid w:val="4858436A"/>
    <w:rsid w:val="4888388C"/>
    <w:rsid w:val="489562D5"/>
    <w:rsid w:val="48A765F7"/>
    <w:rsid w:val="48B27625"/>
    <w:rsid w:val="48C92533"/>
    <w:rsid w:val="48FE5476"/>
    <w:rsid w:val="490544DA"/>
    <w:rsid w:val="4947500C"/>
    <w:rsid w:val="496941FF"/>
    <w:rsid w:val="49795606"/>
    <w:rsid w:val="49930346"/>
    <w:rsid w:val="49CF0D65"/>
    <w:rsid w:val="49ED225A"/>
    <w:rsid w:val="4A014D0E"/>
    <w:rsid w:val="4A18309E"/>
    <w:rsid w:val="4A1E25C8"/>
    <w:rsid w:val="4A284FC9"/>
    <w:rsid w:val="4A5F5A11"/>
    <w:rsid w:val="4A64791A"/>
    <w:rsid w:val="4A6A1D03"/>
    <w:rsid w:val="4A8401CF"/>
    <w:rsid w:val="4A86317F"/>
    <w:rsid w:val="4A914CD6"/>
    <w:rsid w:val="4AE75202"/>
    <w:rsid w:val="4AFC321E"/>
    <w:rsid w:val="4B031788"/>
    <w:rsid w:val="4B275459"/>
    <w:rsid w:val="4B2A746F"/>
    <w:rsid w:val="4B39475F"/>
    <w:rsid w:val="4B5301AA"/>
    <w:rsid w:val="4B5E39A1"/>
    <w:rsid w:val="4B6B4C49"/>
    <w:rsid w:val="4B7A4B1E"/>
    <w:rsid w:val="4BD2780B"/>
    <w:rsid w:val="4BD53617"/>
    <w:rsid w:val="4C051368"/>
    <w:rsid w:val="4C59356E"/>
    <w:rsid w:val="4C703EE7"/>
    <w:rsid w:val="4C7230CC"/>
    <w:rsid w:val="4C7E5A0B"/>
    <w:rsid w:val="4CFA19D5"/>
    <w:rsid w:val="4D102D7B"/>
    <w:rsid w:val="4D2E7DAD"/>
    <w:rsid w:val="4D3D19FE"/>
    <w:rsid w:val="4D4A2EBC"/>
    <w:rsid w:val="4DB748FC"/>
    <w:rsid w:val="4DBD0916"/>
    <w:rsid w:val="4DFE2A04"/>
    <w:rsid w:val="4E04490D"/>
    <w:rsid w:val="4E202BB9"/>
    <w:rsid w:val="4E5E5191"/>
    <w:rsid w:val="4E6B396A"/>
    <w:rsid w:val="4E776E4B"/>
    <w:rsid w:val="4F285331"/>
    <w:rsid w:val="4F5145AF"/>
    <w:rsid w:val="4FA01DB0"/>
    <w:rsid w:val="4FB5716D"/>
    <w:rsid w:val="4FD07E49"/>
    <w:rsid w:val="4FDE35F2"/>
    <w:rsid w:val="4FE647A7"/>
    <w:rsid w:val="4FF80240"/>
    <w:rsid w:val="50112961"/>
    <w:rsid w:val="50244588"/>
    <w:rsid w:val="50322C82"/>
    <w:rsid w:val="504B0C47"/>
    <w:rsid w:val="5092043F"/>
    <w:rsid w:val="50A430ED"/>
    <w:rsid w:val="50BF6362"/>
    <w:rsid w:val="50EB37AB"/>
    <w:rsid w:val="50EF3715"/>
    <w:rsid w:val="50F25EDA"/>
    <w:rsid w:val="51290F5F"/>
    <w:rsid w:val="51AA3B42"/>
    <w:rsid w:val="51DE6BE8"/>
    <w:rsid w:val="51E85A58"/>
    <w:rsid w:val="51EB04F5"/>
    <w:rsid w:val="51F91CC0"/>
    <w:rsid w:val="520B5CA2"/>
    <w:rsid w:val="520D447F"/>
    <w:rsid w:val="52214827"/>
    <w:rsid w:val="5249428D"/>
    <w:rsid w:val="527D59E1"/>
    <w:rsid w:val="529358E1"/>
    <w:rsid w:val="529F793B"/>
    <w:rsid w:val="52A45FAE"/>
    <w:rsid w:val="52BF0235"/>
    <w:rsid w:val="52D64DA4"/>
    <w:rsid w:val="53003D4E"/>
    <w:rsid w:val="536F5D28"/>
    <w:rsid w:val="5382528E"/>
    <w:rsid w:val="53B119FC"/>
    <w:rsid w:val="53DB4A23"/>
    <w:rsid w:val="53E0692D"/>
    <w:rsid w:val="540B54F6"/>
    <w:rsid w:val="54124B55"/>
    <w:rsid w:val="54365695"/>
    <w:rsid w:val="5443534C"/>
    <w:rsid w:val="54482184"/>
    <w:rsid w:val="54754E08"/>
    <w:rsid w:val="548A689C"/>
    <w:rsid w:val="549A521A"/>
    <w:rsid w:val="54A65E4D"/>
    <w:rsid w:val="54B074EF"/>
    <w:rsid w:val="54C66D80"/>
    <w:rsid w:val="54D21917"/>
    <w:rsid w:val="54D53F5C"/>
    <w:rsid w:val="54F93B76"/>
    <w:rsid w:val="55002BC8"/>
    <w:rsid w:val="55094D31"/>
    <w:rsid w:val="553F3085"/>
    <w:rsid w:val="557C634E"/>
    <w:rsid w:val="55807DDA"/>
    <w:rsid w:val="55B31C34"/>
    <w:rsid w:val="55BF1B95"/>
    <w:rsid w:val="55E05AFD"/>
    <w:rsid w:val="55F11B90"/>
    <w:rsid w:val="560562B5"/>
    <w:rsid w:val="56215BE8"/>
    <w:rsid w:val="562E4795"/>
    <w:rsid w:val="56617795"/>
    <w:rsid w:val="56972170"/>
    <w:rsid w:val="56B068A7"/>
    <w:rsid w:val="56D424BF"/>
    <w:rsid w:val="56D50FF7"/>
    <w:rsid w:val="56D8660A"/>
    <w:rsid w:val="56EC5132"/>
    <w:rsid w:val="572C33B6"/>
    <w:rsid w:val="5739301F"/>
    <w:rsid w:val="575E42E5"/>
    <w:rsid w:val="57975717"/>
    <w:rsid w:val="57E72358"/>
    <w:rsid w:val="580637F9"/>
    <w:rsid w:val="580A08A2"/>
    <w:rsid w:val="58343AE4"/>
    <w:rsid w:val="583C157B"/>
    <w:rsid w:val="583F70B2"/>
    <w:rsid w:val="587363AB"/>
    <w:rsid w:val="588D34E2"/>
    <w:rsid w:val="58E83DEC"/>
    <w:rsid w:val="58EC4414"/>
    <w:rsid w:val="5905591A"/>
    <w:rsid w:val="59070E1D"/>
    <w:rsid w:val="590D4712"/>
    <w:rsid w:val="59342A86"/>
    <w:rsid w:val="595A6E88"/>
    <w:rsid w:val="59B24171"/>
    <w:rsid w:val="59F0343E"/>
    <w:rsid w:val="59F418F9"/>
    <w:rsid w:val="59FC3063"/>
    <w:rsid w:val="5A165757"/>
    <w:rsid w:val="5A3C3419"/>
    <w:rsid w:val="5A4155DA"/>
    <w:rsid w:val="5A4A5FB2"/>
    <w:rsid w:val="5A6A3028"/>
    <w:rsid w:val="5AA52CCE"/>
    <w:rsid w:val="5B122177"/>
    <w:rsid w:val="5B14567A"/>
    <w:rsid w:val="5B445446"/>
    <w:rsid w:val="5B482651"/>
    <w:rsid w:val="5B4A3C62"/>
    <w:rsid w:val="5B5F0C55"/>
    <w:rsid w:val="5B895BE1"/>
    <w:rsid w:val="5BA60FB9"/>
    <w:rsid w:val="5BDD0946"/>
    <w:rsid w:val="5C467B7E"/>
    <w:rsid w:val="5C556196"/>
    <w:rsid w:val="5C80167E"/>
    <w:rsid w:val="5CA1158E"/>
    <w:rsid w:val="5CC17987"/>
    <w:rsid w:val="5CF6738A"/>
    <w:rsid w:val="5D024EA6"/>
    <w:rsid w:val="5D21407E"/>
    <w:rsid w:val="5D406F09"/>
    <w:rsid w:val="5D8E01B8"/>
    <w:rsid w:val="5D9E05A7"/>
    <w:rsid w:val="5DC51912"/>
    <w:rsid w:val="5DE91CF1"/>
    <w:rsid w:val="5E032372"/>
    <w:rsid w:val="5E1D4DC1"/>
    <w:rsid w:val="5E3C43B8"/>
    <w:rsid w:val="5E3C5447"/>
    <w:rsid w:val="5E413634"/>
    <w:rsid w:val="5E5B1606"/>
    <w:rsid w:val="5E784023"/>
    <w:rsid w:val="5E7E61C6"/>
    <w:rsid w:val="5E880EDD"/>
    <w:rsid w:val="5E8E7EB0"/>
    <w:rsid w:val="5EAD0764"/>
    <w:rsid w:val="5ECF00BA"/>
    <w:rsid w:val="5ED2189E"/>
    <w:rsid w:val="5F224990"/>
    <w:rsid w:val="5F2500C9"/>
    <w:rsid w:val="5F3054BA"/>
    <w:rsid w:val="5F451BDC"/>
    <w:rsid w:val="5F5B5A9D"/>
    <w:rsid w:val="5F6F0EEB"/>
    <w:rsid w:val="600E3824"/>
    <w:rsid w:val="601B7A89"/>
    <w:rsid w:val="602437C9"/>
    <w:rsid w:val="60335FE2"/>
    <w:rsid w:val="606742A0"/>
    <w:rsid w:val="60923DFD"/>
    <w:rsid w:val="60942206"/>
    <w:rsid w:val="60991209"/>
    <w:rsid w:val="615A36FE"/>
    <w:rsid w:val="615C471A"/>
    <w:rsid w:val="6160688D"/>
    <w:rsid w:val="619F2CB5"/>
    <w:rsid w:val="61D9461A"/>
    <w:rsid w:val="61DC624D"/>
    <w:rsid w:val="62015AB9"/>
    <w:rsid w:val="62A0195F"/>
    <w:rsid w:val="62B91A60"/>
    <w:rsid w:val="62BF5C26"/>
    <w:rsid w:val="62C55F96"/>
    <w:rsid w:val="62EA3309"/>
    <w:rsid w:val="62F435E7"/>
    <w:rsid w:val="630F1599"/>
    <w:rsid w:val="6332564A"/>
    <w:rsid w:val="63375202"/>
    <w:rsid w:val="636D0983"/>
    <w:rsid w:val="63967040"/>
    <w:rsid w:val="639828BD"/>
    <w:rsid w:val="63DA6DF5"/>
    <w:rsid w:val="64520E19"/>
    <w:rsid w:val="648727D1"/>
    <w:rsid w:val="64D50279"/>
    <w:rsid w:val="650C472A"/>
    <w:rsid w:val="654F59C5"/>
    <w:rsid w:val="655C4B1D"/>
    <w:rsid w:val="657B428A"/>
    <w:rsid w:val="65F51A12"/>
    <w:rsid w:val="66AD0853"/>
    <w:rsid w:val="66D953FE"/>
    <w:rsid w:val="66EE416C"/>
    <w:rsid w:val="670120E1"/>
    <w:rsid w:val="67147CAA"/>
    <w:rsid w:val="673F74EC"/>
    <w:rsid w:val="67B63BB5"/>
    <w:rsid w:val="67BF40C1"/>
    <w:rsid w:val="67E433FF"/>
    <w:rsid w:val="67FA55A3"/>
    <w:rsid w:val="67FC734A"/>
    <w:rsid w:val="68202807"/>
    <w:rsid w:val="68290671"/>
    <w:rsid w:val="683753DD"/>
    <w:rsid w:val="68503DB3"/>
    <w:rsid w:val="686D2BCC"/>
    <w:rsid w:val="68723A04"/>
    <w:rsid w:val="68966FD2"/>
    <w:rsid w:val="68A4383E"/>
    <w:rsid w:val="68C12CEA"/>
    <w:rsid w:val="68DF6B1A"/>
    <w:rsid w:val="690B3F4D"/>
    <w:rsid w:val="690C5F7E"/>
    <w:rsid w:val="691977DC"/>
    <w:rsid w:val="69231F5F"/>
    <w:rsid w:val="693F115B"/>
    <w:rsid w:val="69405ACF"/>
    <w:rsid w:val="694B6E24"/>
    <w:rsid w:val="69863E30"/>
    <w:rsid w:val="69981B4C"/>
    <w:rsid w:val="699A504F"/>
    <w:rsid w:val="69B3510A"/>
    <w:rsid w:val="69B61112"/>
    <w:rsid w:val="69B75EB1"/>
    <w:rsid w:val="6A151116"/>
    <w:rsid w:val="6A2D2FC4"/>
    <w:rsid w:val="6A47646D"/>
    <w:rsid w:val="6A4D1E0E"/>
    <w:rsid w:val="6A5E32D4"/>
    <w:rsid w:val="6A7E0B45"/>
    <w:rsid w:val="6A847402"/>
    <w:rsid w:val="6A9B2674"/>
    <w:rsid w:val="6AAB447F"/>
    <w:rsid w:val="6AD12B4E"/>
    <w:rsid w:val="6AD22B90"/>
    <w:rsid w:val="6ADD4223"/>
    <w:rsid w:val="6AE629AE"/>
    <w:rsid w:val="6AF9097B"/>
    <w:rsid w:val="6B081C9C"/>
    <w:rsid w:val="6B697849"/>
    <w:rsid w:val="6B6B2D4C"/>
    <w:rsid w:val="6B6E044D"/>
    <w:rsid w:val="6B7556AA"/>
    <w:rsid w:val="6B7A5565"/>
    <w:rsid w:val="6B805220"/>
    <w:rsid w:val="6BB379BF"/>
    <w:rsid w:val="6BB41306"/>
    <w:rsid w:val="6BEE1633"/>
    <w:rsid w:val="6BFE5E3C"/>
    <w:rsid w:val="6C0F21D5"/>
    <w:rsid w:val="6C1156D8"/>
    <w:rsid w:val="6C177D6F"/>
    <w:rsid w:val="6C2E2A8A"/>
    <w:rsid w:val="6C390E1B"/>
    <w:rsid w:val="6C571B2E"/>
    <w:rsid w:val="6C8C0F81"/>
    <w:rsid w:val="6CA01E9F"/>
    <w:rsid w:val="6CCB2AC6"/>
    <w:rsid w:val="6CDB6426"/>
    <w:rsid w:val="6D136580"/>
    <w:rsid w:val="6D1B4947"/>
    <w:rsid w:val="6D257BC3"/>
    <w:rsid w:val="6D3867BF"/>
    <w:rsid w:val="6D4312CD"/>
    <w:rsid w:val="6D5D2F22"/>
    <w:rsid w:val="6D6331E3"/>
    <w:rsid w:val="6D913CE4"/>
    <w:rsid w:val="6DB77B40"/>
    <w:rsid w:val="6DD91AF0"/>
    <w:rsid w:val="6E0F5221"/>
    <w:rsid w:val="6EDD3D30"/>
    <w:rsid w:val="6EEA35F2"/>
    <w:rsid w:val="6EF46C87"/>
    <w:rsid w:val="6EFA4222"/>
    <w:rsid w:val="6F134DCC"/>
    <w:rsid w:val="6F252AE8"/>
    <w:rsid w:val="6F896F89"/>
    <w:rsid w:val="6F975C22"/>
    <w:rsid w:val="6FA651CB"/>
    <w:rsid w:val="6FCE7DD5"/>
    <w:rsid w:val="6FDC7CA3"/>
    <w:rsid w:val="6FDF5799"/>
    <w:rsid w:val="6FFF244B"/>
    <w:rsid w:val="70185F2A"/>
    <w:rsid w:val="703919C0"/>
    <w:rsid w:val="704C034C"/>
    <w:rsid w:val="705E49F2"/>
    <w:rsid w:val="705F3769"/>
    <w:rsid w:val="7073655A"/>
    <w:rsid w:val="70780A88"/>
    <w:rsid w:val="70C21F79"/>
    <w:rsid w:val="71254D49"/>
    <w:rsid w:val="71450563"/>
    <w:rsid w:val="715C7866"/>
    <w:rsid w:val="716D72C9"/>
    <w:rsid w:val="718A2929"/>
    <w:rsid w:val="71BD1825"/>
    <w:rsid w:val="71D50025"/>
    <w:rsid w:val="71F95A89"/>
    <w:rsid w:val="72053A88"/>
    <w:rsid w:val="72154457"/>
    <w:rsid w:val="72395D09"/>
    <w:rsid w:val="725A4828"/>
    <w:rsid w:val="72667679"/>
    <w:rsid w:val="727453D2"/>
    <w:rsid w:val="727C6062"/>
    <w:rsid w:val="72970F7C"/>
    <w:rsid w:val="72E04F19"/>
    <w:rsid w:val="72E21289"/>
    <w:rsid w:val="72E47E29"/>
    <w:rsid w:val="73750753"/>
    <w:rsid w:val="7383742A"/>
    <w:rsid w:val="73950D2D"/>
    <w:rsid w:val="73A02941"/>
    <w:rsid w:val="73A20681"/>
    <w:rsid w:val="73C059F5"/>
    <w:rsid w:val="73C90F70"/>
    <w:rsid w:val="73CC4A8A"/>
    <w:rsid w:val="73CF2112"/>
    <w:rsid w:val="73FC4C0D"/>
    <w:rsid w:val="74031361"/>
    <w:rsid w:val="740E2F75"/>
    <w:rsid w:val="74156F70"/>
    <w:rsid w:val="744B361C"/>
    <w:rsid w:val="74F41F6E"/>
    <w:rsid w:val="751402A4"/>
    <w:rsid w:val="752353CA"/>
    <w:rsid w:val="753A7F99"/>
    <w:rsid w:val="75423881"/>
    <w:rsid w:val="75473CE8"/>
    <w:rsid w:val="75750F8F"/>
    <w:rsid w:val="75895884"/>
    <w:rsid w:val="758D3B87"/>
    <w:rsid w:val="758D6157"/>
    <w:rsid w:val="75A17B08"/>
    <w:rsid w:val="75BE1487"/>
    <w:rsid w:val="75D85A64"/>
    <w:rsid w:val="75DB55D4"/>
    <w:rsid w:val="75E52B7B"/>
    <w:rsid w:val="75E726F4"/>
    <w:rsid w:val="75F651A7"/>
    <w:rsid w:val="76121EC3"/>
    <w:rsid w:val="761C0D47"/>
    <w:rsid w:val="763929FF"/>
    <w:rsid w:val="76441E23"/>
    <w:rsid w:val="7647739D"/>
    <w:rsid w:val="76514429"/>
    <w:rsid w:val="7652121C"/>
    <w:rsid w:val="767E71CE"/>
    <w:rsid w:val="76882384"/>
    <w:rsid w:val="7696494E"/>
    <w:rsid w:val="76CA7BAA"/>
    <w:rsid w:val="771B70DF"/>
    <w:rsid w:val="77401B33"/>
    <w:rsid w:val="775200D6"/>
    <w:rsid w:val="777F291C"/>
    <w:rsid w:val="777F2C4F"/>
    <w:rsid w:val="77B176EA"/>
    <w:rsid w:val="77E242E4"/>
    <w:rsid w:val="77E500C2"/>
    <w:rsid w:val="77FC7CE8"/>
    <w:rsid w:val="7828402F"/>
    <w:rsid w:val="782F7DBE"/>
    <w:rsid w:val="787466AD"/>
    <w:rsid w:val="78B33C13"/>
    <w:rsid w:val="78B64B97"/>
    <w:rsid w:val="78C209AA"/>
    <w:rsid w:val="78E643BC"/>
    <w:rsid w:val="79343267"/>
    <w:rsid w:val="793741EC"/>
    <w:rsid w:val="79653A37"/>
    <w:rsid w:val="797A3AF5"/>
    <w:rsid w:val="79940D02"/>
    <w:rsid w:val="79DF7980"/>
    <w:rsid w:val="79F410BD"/>
    <w:rsid w:val="7A0567B7"/>
    <w:rsid w:val="7A2F4AD1"/>
    <w:rsid w:val="7A851910"/>
    <w:rsid w:val="7A8E1A35"/>
    <w:rsid w:val="7AAF2814"/>
    <w:rsid w:val="7AB2518E"/>
    <w:rsid w:val="7AB54F94"/>
    <w:rsid w:val="7AB855E2"/>
    <w:rsid w:val="7ACD1873"/>
    <w:rsid w:val="7AEC25B9"/>
    <w:rsid w:val="7AFA3C20"/>
    <w:rsid w:val="7B0434E3"/>
    <w:rsid w:val="7B361733"/>
    <w:rsid w:val="7B5A6470"/>
    <w:rsid w:val="7B682228"/>
    <w:rsid w:val="7B885CE6"/>
    <w:rsid w:val="7BC457EB"/>
    <w:rsid w:val="7BD44AB5"/>
    <w:rsid w:val="7BE81701"/>
    <w:rsid w:val="7BFA75E1"/>
    <w:rsid w:val="7C121E50"/>
    <w:rsid w:val="7C2C3997"/>
    <w:rsid w:val="7C376D58"/>
    <w:rsid w:val="7C5870DB"/>
    <w:rsid w:val="7C694FA8"/>
    <w:rsid w:val="7C6F7D4B"/>
    <w:rsid w:val="7C88585D"/>
    <w:rsid w:val="7CAE5A9D"/>
    <w:rsid w:val="7CC97FE2"/>
    <w:rsid w:val="7CF85A11"/>
    <w:rsid w:val="7D0F47E5"/>
    <w:rsid w:val="7D133243"/>
    <w:rsid w:val="7D204AD7"/>
    <w:rsid w:val="7D2C2AE8"/>
    <w:rsid w:val="7D3A3102"/>
    <w:rsid w:val="7DB54FCA"/>
    <w:rsid w:val="7DBB5120"/>
    <w:rsid w:val="7DCE6121"/>
    <w:rsid w:val="7DD563C2"/>
    <w:rsid w:val="7E1A5807"/>
    <w:rsid w:val="7E676FEC"/>
    <w:rsid w:val="7EBF26AD"/>
    <w:rsid w:val="7F174905"/>
    <w:rsid w:val="7F315094"/>
    <w:rsid w:val="7F335379"/>
    <w:rsid w:val="7F4A4AFB"/>
    <w:rsid w:val="7F620AD8"/>
    <w:rsid w:val="7F926ADA"/>
    <w:rsid w:val="7FB8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lang w:val="en-US" w:eastAsia="zh-CN" w:bidi="ar-SA"/>
    </w:rPr>
  </w:style>
  <w:style w:type="paragraph" w:styleId="2">
    <w:name w:val="heading 1"/>
    <w:basedOn w:val="1"/>
    <w:next w:val="1"/>
    <w:link w:val="44"/>
    <w:qFormat/>
    <w:uiPriority w:val="0"/>
    <w:pPr>
      <w:keepNext/>
      <w:keepLines/>
      <w:spacing w:before="340" w:after="330" w:line="360" w:lineRule="auto"/>
      <w:outlineLvl w:val="0"/>
    </w:pPr>
    <w:rPr>
      <w:rFonts w:ascii="Times New Roman" w:hAnsi="Times New Roman"/>
      <w:b/>
      <w:kern w:val="44"/>
      <w:sz w:val="44"/>
    </w:rPr>
  </w:style>
  <w:style w:type="paragraph" w:styleId="3">
    <w:name w:val="heading 2"/>
    <w:basedOn w:val="1"/>
    <w:next w:val="1"/>
    <w:qFormat/>
    <w:uiPriority w:val="0"/>
    <w:pPr>
      <w:keepNext/>
      <w:keepLines/>
      <w:widowControl w:val="0"/>
      <w:spacing w:before="260" w:after="260" w:line="416" w:lineRule="auto"/>
      <w:jc w:val="both"/>
      <w:outlineLvl w:val="1"/>
    </w:pPr>
    <w:rPr>
      <w:rFonts w:ascii="Arial" w:hAnsi="Arial" w:eastAsia="黑体"/>
      <w:b/>
      <w:bCs/>
      <w:kern w:val="2"/>
      <w:sz w:val="32"/>
      <w:szCs w:val="32"/>
    </w:rPr>
  </w:style>
  <w:style w:type="paragraph" w:styleId="4">
    <w:name w:val="heading 3"/>
    <w:basedOn w:val="1"/>
    <w:next w:val="1"/>
    <w:qFormat/>
    <w:uiPriority w:val="0"/>
    <w:pPr>
      <w:keepNext/>
      <w:keepLines/>
      <w:widowControl w:val="0"/>
      <w:spacing w:before="260" w:after="260" w:line="416" w:lineRule="auto"/>
      <w:jc w:val="both"/>
      <w:outlineLvl w:val="2"/>
    </w:pPr>
    <w:rPr>
      <w:b/>
      <w:bCs/>
      <w:kern w:val="2"/>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5">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6">
    <w:name w:val="List 3"/>
    <w:basedOn w:val="1"/>
    <w:qFormat/>
    <w:uiPriority w:val="0"/>
    <w:pPr>
      <w:widowControl w:val="0"/>
      <w:ind w:left="100" w:leftChars="400" w:hanging="200" w:hangingChars="200"/>
      <w:jc w:val="both"/>
    </w:pPr>
    <w:rPr>
      <w:kern w:val="2"/>
      <w:sz w:val="21"/>
      <w:szCs w:val="24"/>
    </w:rPr>
  </w:style>
  <w:style w:type="paragraph" w:styleId="7">
    <w:name w:val="annotation subject"/>
    <w:basedOn w:val="8"/>
    <w:next w:val="8"/>
    <w:semiHidden/>
    <w:qFormat/>
    <w:uiPriority w:val="0"/>
    <w:rPr>
      <w:b/>
      <w:bCs/>
    </w:rPr>
  </w:style>
  <w:style w:type="paragraph" w:styleId="8">
    <w:name w:val="annotation text"/>
    <w:basedOn w:val="1"/>
    <w:semiHidden/>
    <w:qFormat/>
    <w:uiPriority w:val="0"/>
  </w:style>
  <w:style w:type="paragraph" w:styleId="9">
    <w:name w:val="toc 7"/>
    <w:basedOn w:val="1"/>
    <w:next w:val="1"/>
    <w:semiHidden/>
    <w:qFormat/>
    <w:uiPriority w:val="0"/>
    <w:pPr>
      <w:ind w:left="2520" w:leftChars="1200"/>
    </w:pPr>
  </w:style>
  <w:style w:type="paragraph" w:styleId="10">
    <w:name w:val="Normal Indent"/>
    <w:basedOn w:val="1"/>
    <w:qFormat/>
    <w:uiPriority w:val="0"/>
    <w:pPr>
      <w:ind w:firstLine="420"/>
    </w:pPr>
    <w:rPr>
      <w:kern w:val="2"/>
      <w:sz w:val="21"/>
    </w:rPr>
  </w:style>
  <w:style w:type="paragraph" w:styleId="11">
    <w:name w:val="Document Map"/>
    <w:basedOn w:val="1"/>
    <w:semiHidden/>
    <w:qFormat/>
    <w:uiPriority w:val="0"/>
    <w:pPr>
      <w:shd w:val="clear" w:color="auto" w:fill="000080"/>
    </w:pPr>
  </w:style>
  <w:style w:type="paragraph" w:styleId="12">
    <w:name w:val="toa heading"/>
    <w:basedOn w:val="1"/>
    <w:next w:val="1"/>
    <w:semiHidden/>
    <w:qFormat/>
    <w:uiPriority w:val="0"/>
    <w:pPr>
      <w:widowControl w:val="0"/>
      <w:spacing w:before="120"/>
      <w:jc w:val="both"/>
    </w:pPr>
    <w:rPr>
      <w:rFonts w:ascii="Arial" w:hAnsi="Arial"/>
      <w:kern w:val="2"/>
      <w:sz w:val="24"/>
    </w:rPr>
  </w:style>
  <w:style w:type="paragraph" w:styleId="13">
    <w:name w:val="Salutation"/>
    <w:basedOn w:val="1"/>
    <w:next w:val="1"/>
    <w:qFormat/>
    <w:uiPriority w:val="0"/>
    <w:pPr>
      <w:widowControl w:val="0"/>
      <w:jc w:val="both"/>
    </w:pPr>
    <w:rPr>
      <w:kern w:val="2"/>
      <w:sz w:val="28"/>
      <w:szCs w:val="24"/>
    </w:rPr>
  </w:style>
  <w:style w:type="paragraph" w:styleId="14">
    <w:name w:val="Body Text 3"/>
    <w:basedOn w:val="1"/>
    <w:qFormat/>
    <w:uiPriority w:val="0"/>
    <w:pPr>
      <w:widowControl w:val="0"/>
      <w:spacing w:line="360" w:lineRule="auto"/>
      <w:jc w:val="both"/>
    </w:pPr>
    <w:rPr>
      <w:rFonts w:ascii="仿宋_GB2312" w:hAnsi="宋体" w:eastAsia="仿宋_GB2312"/>
      <w:bCs/>
      <w:sz w:val="24"/>
      <w:szCs w:val="30"/>
    </w:rPr>
  </w:style>
  <w:style w:type="paragraph" w:styleId="15">
    <w:name w:val="Body Text"/>
    <w:basedOn w:val="1"/>
    <w:qFormat/>
    <w:uiPriority w:val="0"/>
    <w:pPr>
      <w:spacing w:line="360" w:lineRule="auto"/>
    </w:pPr>
    <w:rPr>
      <w:rFonts w:ascii="宋体"/>
      <w:sz w:val="24"/>
    </w:rPr>
  </w:style>
  <w:style w:type="paragraph" w:styleId="16">
    <w:name w:val="Body Text Indent"/>
    <w:basedOn w:val="1"/>
    <w:qFormat/>
    <w:uiPriority w:val="0"/>
    <w:pPr>
      <w:spacing w:after="120"/>
      <w:ind w:left="420" w:leftChars="200"/>
    </w:p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qFormat/>
    <w:uiPriority w:val="0"/>
    <w:pPr>
      <w:widowControl w:val="0"/>
      <w:jc w:val="both"/>
    </w:pPr>
    <w:rPr>
      <w:rFonts w:ascii="宋体" w:hAnsi="Courier New"/>
      <w:kern w:val="2"/>
      <w:sz w:val="21"/>
    </w:rPr>
  </w:style>
  <w:style w:type="paragraph" w:styleId="20">
    <w:name w:val="toc 8"/>
    <w:basedOn w:val="1"/>
    <w:next w:val="1"/>
    <w:semiHidden/>
    <w:qFormat/>
    <w:uiPriority w:val="0"/>
    <w:pPr>
      <w:ind w:left="2940" w:leftChars="1400"/>
    </w:p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54"/>
    <w:qFormat/>
    <w:uiPriority w:val="99"/>
    <w:pPr>
      <w:tabs>
        <w:tab w:val="center" w:pos="4153"/>
        <w:tab w:val="right" w:pos="8306"/>
      </w:tabs>
      <w:snapToGrid w:val="0"/>
    </w:pPr>
    <w:rPr>
      <w:sz w:val="18"/>
    </w:rPr>
  </w:style>
  <w:style w:type="paragraph" w:styleId="25">
    <w:name w:val="header"/>
    <w:basedOn w:val="1"/>
    <w:link w:val="45"/>
    <w:qFormat/>
    <w:uiPriority w:val="99"/>
    <w:pPr>
      <w:pBdr>
        <w:bottom w:val="single" w:color="auto" w:sz="6" w:space="1"/>
      </w:pBdr>
      <w:tabs>
        <w:tab w:val="center" w:pos="4153"/>
        <w:tab w:val="right" w:pos="8306"/>
      </w:tabs>
      <w:snapToGrid w:val="0"/>
      <w:jc w:val="center"/>
    </w:pPr>
    <w:rPr>
      <w:sz w:val="18"/>
    </w:rPr>
  </w:style>
  <w:style w:type="paragraph" w:styleId="26">
    <w:name w:val="toc 1"/>
    <w:basedOn w:val="1"/>
    <w:next w:val="1"/>
    <w:qFormat/>
    <w:uiPriority w:val="39"/>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toc 2"/>
    <w:basedOn w:val="1"/>
    <w:next w:val="1"/>
    <w:qFormat/>
    <w:uiPriority w:val="39"/>
    <w:pPr>
      <w:ind w:left="420" w:leftChars="200"/>
    </w:pPr>
  </w:style>
  <w:style w:type="paragraph" w:styleId="30">
    <w:name w:val="toc 9"/>
    <w:basedOn w:val="1"/>
    <w:next w:val="1"/>
    <w:semiHidden/>
    <w:qFormat/>
    <w:uiPriority w:val="0"/>
    <w:pPr>
      <w:ind w:left="3360" w:leftChars="1600"/>
    </w:pPr>
  </w:style>
  <w:style w:type="paragraph" w:styleId="31">
    <w:name w:val="Body Text 2"/>
    <w:basedOn w:val="1"/>
    <w:qFormat/>
    <w:uiPriority w:val="0"/>
    <w:pPr>
      <w:widowControl w:val="0"/>
      <w:spacing w:after="120" w:line="480" w:lineRule="auto"/>
      <w:jc w:val="both"/>
    </w:pPr>
    <w:rPr>
      <w:kern w:val="2"/>
      <w:sz w:val="21"/>
      <w:szCs w:val="24"/>
    </w:rPr>
  </w:style>
  <w:style w:type="paragraph" w:styleId="32">
    <w:name w:val="List 4"/>
    <w:basedOn w:val="1"/>
    <w:qFormat/>
    <w:uiPriority w:val="0"/>
    <w:pPr>
      <w:ind w:left="100" w:leftChars="600" w:hanging="200" w:hangingChars="200"/>
      <w:contextualSpacing/>
    </w:pPr>
  </w:style>
  <w:style w:type="paragraph" w:styleId="3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rPr>
  </w:style>
  <w:style w:type="paragraph" w:styleId="34">
    <w:name w:val="Normal (Web)"/>
    <w:basedOn w:val="1"/>
    <w:qFormat/>
    <w:uiPriority w:val="0"/>
    <w:pPr>
      <w:spacing w:before="100" w:beforeAutospacing="1" w:after="100" w:afterAutospacing="1"/>
    </w:pPr>
    <w:rPr>
      <w:rFonts w:ascii="宋体" w:hAnsi="宋体" w:cs="宋体"/>
      <w:sz w:val="24"/>
      <w:szCs w:val="24"/>
    </w:rPr>
  </w:style>
  <w:style w:type="character" w:styleId="36">
    <w:name w:val="Strong"/>
    <w:qFormat/>
    <w:uiPriority w:val="0"/>
    <w:rPr>
      <w:rFonts w:ascii="Tahoma" w:hAnsi="Tahoma"/>
      <w:b/>
      <w:bCs/>
      <w:kern w:val="2"/>
      <w:sz w:val="24"/>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Hyperlink"/>
    <w:qFormat/>
    <w:uiPriority w:val="99"/>
    <w:rPr>
      <w:rFonts w:ascii="Tahoma" w:hAnsi="Tahoma"/>
      <w:color w:val="0000FF"/>
      <w:kern w:val="2"/>
      <w:sz w:val="24"/>
      <w:u w:val="single"/>
    </w:rPr>
  </w:style>
  <w:style w:type="character" w:styleId="40">
    <w:name w:val="annotation reference"/>
    <w:semiHidden/>
    <w:qFormat/>
    <w:uiPriority w:val="0"/>
    <w:rPr>
      <w:sz w:val="21"/>
      <w:szCs w:val="21"/>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3">
    <w:name w:val="_Style 65"/>
    <w:basedOn w:val="1"/>
    <w:qFormat/>
    <w:uiPriority w:val="0"/>
    <w:pPr>
      <w:widowControl w:val="0"/>
      <w:jc w:val="both"/>
    </w:pPr>
    <w:rPr>
      <w:rFonts w:ascii="Tahoma" w:hAnsi="Tahoma"/>
      <w:kern w:val="2"/>
      <w:sz w:val="24"/>
    </w:rPr>
  </w:style>
  <w:style w:type="character" w:customStyle="1" w:styleId="44">
    <w:name w:val="标题 1 Char"/>
    <w:link w:val="2"/>
    <w:qFormat/>
    <w:uiPriority w:val="0"/>
    <w:rPr>
      <w:rFonts w:ascii="Times New Roman" w:hAnsi="Times New Roman" w:eastAsia="宋体"/>
      <w:b/>
      <w:kern w:val="44"/>
      <w:sz w:val="44"/>
    </w:rPr>
  </w:style>
  <w:style w:type="character" w:customStyle="1" w:styleId="45">
    <w:name w:val="页眉 Char"/>
    <w:link w:val="25"/>
    <w:qFormat/>
    <w:uiPriority w:val="99"/>
    <w:rPr>
      <w:sz w:val="18"/>
    </w:rPr>
  </w:style>
  <w:style w:type="character" w:customStyle="1" w:styleId="46">
    <w:name w:val="样式9 Char Char"/>
    <w:link w:val="47"/>
    <w:qFormat/>
    <w:uiPriority w:val="0"/>
    <w:rPr>
      <w:rFonts w:eastAsia="宋体"/>
      <w:spacing w:val="6"/>
      <w:sz w:val="24"/>
      <w:lang w:val="en-US" w:eastAsia="zh-CN" w:bidi="ar-SA"/>
    </w:rPr>
  </w:style>
  <w:style w:type="paragraph" w:customStyle="1" w:styleId="47">
    <w:name w:val="样式9 Char"/>
    <w:basedOn w:val="1"/>
    <w:link w:val="46"/>
    <w:qFormat/>
    <w:uiPriority w:val="0"/>
    <w:pPr>
      <w:spacing w:line="440" w:lineRule="exact"/>
      <w:ind w:firstLine="200" w:firstLineChars="200"/>
    </w:pPr>
    <w:rPr>
      <w:spacing w:val="6"/>
      <w:sz w:val="24"/>
    </w:rPr>
  </w:style>
  <w:style w:type="character" w:customStyle="1" w:styleId="48">
    <w:name w:val="10pblank"/>
    <w:basedOn w:val="35"/>
    <w:qFormat/>
    <w:uiPriority w:val="0"/>
  </w:style>
  <w:style w:type="character" w:customStyle="1" w:styleId="49">
    <w:name w:val="l4"/>
    <w:basedOn w:val="35"/>
    <w:qFormat/>
    <w:uiPriority w:val="0"/>
  </w:style>
  <w:style w:type="character" w:customStyle="1" w:styleId="50">
    <w:name w:val="标题 2 Char1"/>
    <w:qFormat/>
    <w:uiPriority w:val="0"/>
    <w:rPr>
      <w:rFonts w:ascii="Arial" w:hAnsi="Arial" w:eastAsia="黑体" w:cs="Arial"/>
      <w:b/>
      <w:bCs/>
      <w:kern w:val="2"/>
      <w:sz w:val="32"/>
      <w:szCs w:val="32"/>
      <w:lang w:val="en-US" w:eastAsia="zh-CN"/>
    </w:rPr>
  </w:style>
  <w:style w:type="character" w:customStyle="1" w:styleId="51">
    <w:name w:val="样式1 Char"/>
    <w:link w:val="52"/>
    <w:qFormat/>
    <w:uiPriority w:val="0"/>
    <w:rPr>
      <w:rFonts w:eastAsia="宋体"/>
      <w:spacing w:val="6"/>
      <w:sz w:val="28"/>
      <w:lang w:val="en-US" w:eastAsia="zh-CN" w:bidi="ar-SA"/>
    </w:rPr>
  </w:style>
  <w:style w:type="paragraph" w:customStyle="1" w:styleId="52">
    <w:name w:val="样式1"/>
    <w:basedOn w:val="1"/>
    <w:link w:val="51"/>
    <w:qFormat/>
    <w:uiPriority w:val="0"/>
    <w:pPr>
      <w:spacing w:line="480" w:lineRule="exact"/>
      <w:ind w:firstLine="584" w:firstLineChars="200"/>
    </w:pPr>
    <w:rPr>
      <w:spacing w:val="6"/>
      <w:sz w:val="28"/>
    </w:rPr>
  </w:style>
  <w:style w:type="character" w:customStyle="1" w:styleId="53">
    <w:name w:val="9p"/>
    <w:basedOn w:val="35"/>
    <w:qFormat/>
    <w:uiPriority w:val="0"/>
  </w:style>
  <w:style w:type="character" w:customStyle="1" w:styleId="54">
    <w:name w:val="页脚 Char"/>
    <w:link w:val="24"/>
    <w:qFormat/>
    <w:uiPriority w:val="99"/>
    <w:rPr>
      <w:sz w:val="18"/>
    </w:rPr>
  </w:style>
  <w:style w:type="character" w:customStyle="1" w:styleId="55">
    <w:name w:val="font01"/>
    <w:qFormat/>
    <w:uiPriority w:val="0"/>
    <w:rPr>
      <w:rFonts w:hint="eastAsia" w:ascii="宋体" w:hAnsi="宋体" w:eastAsia="宋体" w:cs="宋体"/>
      <w:color w:val="000000"/>
      <w:kern w:val="2"/>
      <w:sz w:val="18"/>
      <w:szCs w:val="18"/>
      <w:u w:val="none"/>
    </w:rPr>
  </w:style>
  <w:style w:type="paragraph" w:customStyle="1" w:styleId="56">
    <w:name w:val="默认段落字体 Para Char Char Char Char Char Char Char Char Char Char Char Char Char"/>
    <w:basedOn w:val="11"/>
    <w:qFormat/>
    <w:uiPriority w:val="0"/>
    <w:pPr>
      <w:widowControl w:val="0"/>
      <w:jc w:val="both"/>
    </w:pPr>
    <w:rPr>
      <w:rFonts w:ascii="Tahoma" w:hAnsi="Tahoma"/>
      <w:kern w:val="2"/>
      <w:sz w:val="24"/>
      <w:szCs w:val="24"/>
    </w:rPr>
  </w:style>
  <w:style w:type="paragraph" w:customStyle="1" w:styleId="57">
    <w:name w:val="样式21"/>
    <w:basedOn w:val="1"/>
    <w:qFormat/>
    <w:uiPriority w:val="0"/>
    <w:pPr>
      <w:spacing w:beforeLines="50" w:line="480" w:lineRule="exact"/>
      <w:ind w:firstLine="584" w:firstLineChars="200"/>
    </w:pPr>
    <w:rPr>
      <w:spacing w:val="6"/>
      <w:sz w:val="28"/>
      <w:szCs w:val="28"/>
    </w:rPr>
  </w:style>
  <w:style w:type="paragraph" w:customStyle="1" w:styleId="58">
    <w:name w:val="Char Char1 Char Char Char Char Char Char"/>
    <w:basedOn w:val="1"/>
    <w:qFormat/>
    <w:uiPriority w:val="0"/>
    <w:pPr>
      <w:adjustRightInd w:val="0"/>
      <w:snapToGrid w:val="0"/>
      <w:spacing w:beforeLines="25" w:afterLines="25" w:line="240" w:lineRule="exact"/>
      <w:ind w:firstLine="560" w:firstLineChars="192"/>
    </w:pPr>
    <w:rPr>
      <w:rFonts w:ascii="宋体" w:hAnsi="宋体"/>
      <w:sz w:val="28"/>
      <w:szCs w:val="28"/>
      <w:lang w:eastAsia="en-US"/>
    </w:rPr>
  </w:style>
  <w:style w:type="paragraph" w:customStyle="1" w:styleId="59">
    <w:name w:val="Char Char Char Char Char Char Char Char Char Char"/>
    <w:basedOn w:val="1"/>
    <w:qFormat/>
    <w:uiPriority w:val="0"/>
    <w:pPr>
      <w:widowControl w:val="0"/>
      <w:jc w:val="both"/>
    </w:pPr>
    <w:rPr>
      <w:kern w:val="2"/>
      <w:sz w:val="21"/>
      <w:szCs w:val="24"/>
    </w:rPr>
  </w:style>
  <w:style w:type="paragraph" w:customStyle="1" w:styleId="60">
    <w:name w:val="样式5"/>
    <w:basedOn w:val="1"/>
    <w:qFormat/>
    <w:uiPriority w:val="0"/>
    <w:pPr>
      <w:spacing w:line="480" w:lineRule="exact"/>
    </w:pPr>
    <w:rPr>
      <w:rFonts w:eastAsia="黑体"/>
      <w:spacing w:val="6"/>
      <w:sz w:val="28"/>
    </w:rPr>
  </w:style>
  <w:style w:type="paragraph" w:customStyle="1" w:styleId="61">
    <w:name w:val="样式7"/>
    <w:basedOn w:val="1"/>
    <w:qFormat/>
    <w:uiPriority w:val="0"/>
    <w:pPr>
      <w:spacing w:line="480" w:lineRule="exact"/>
      <w:jc w:val="center"/>
    </w:pPr>
    <w:rPr>
      <w:rFonts w:eastAsia="方正大标宋简体"/>
      <w:spacing w:val="6"/>
      <w:sz w:val="44"/>
    </w:rPr>
  </w:style>
  <w:style w:type="paragraph" w:customStyle="1" w:styleId="62">
    <w:name w:val="Char Char"/>
    <w:basedOn w:val="11"/>
    <w:qFormat/>
    <w:uiPriority w:val="0"/>
    <w:pPr>
      <w:widowControl w:val="0"/>
      <w:jc w:val="both"/>
    </w:pPr>
    <w:rPr>
      <w:rFonts w:ascii="Tahoma" w:hAnsi="Tahoma"/>
      <w:kern w:val="2"/>
      <w:sz w:val="24"/>
      <w:szCs w:val="24"/>
    </w:rPr>
  </w:style>
  <w:style w:type="paragraph" w:customStyle="1" w:styleId="63">
    <w:name w:val="样式19"/>
    <w:basedOn w:val="52"/>
    <w:qFormat/>
    <w:uiPriority w:val="0"/>
    <w:pPr>
      <w:spacing w:beforeLines="50" w:line="440" w:lineRule="exact"/>
      <w:ind w:firstLine="200"/>
    </w:pPr>
    <w:rPr>
      <w:rFonts w:ascii="Arial" w:hAnsi="Arial" w:eastAsia="黑体"/>
      <w:sz w:val="24"/>
    </w:rPr>
  </w:style>
  <w:style w:type="paragraph" w:customStyle="1" w:styleId="64">
    <w:name w:val="样式14"/>
    <w:basedOn w:val="1"/>
    <w:qFormat/>
    <w:uiPriority w:val="0"/>
    <w:pPr>
      <w:spacing w:line="440" w:lineRule="exact"/>
      <w:ind w:firstLine="504" w:firstLineChars="200"/>
      <w:jc w:val="right"/>
    </w:pPr>
    <w:rPr>
      <w:rFonts w:eastAsia="黑体"/>
      <w:spacing w:val="6"/>
      <w:sz w:val="24"/>
    </w:rPr>
  </w:style>
  <w:style w:type="paragraph" w:customStyle="1" w:styleId="65">
    <w:name w:val="修订1"/>
    <w:unhideWhenUsed/>
    <w:qFormat/>
    <w:uiPriority w:val="99"/>
    <w:rPr>
      <w:rFonts w:ascii="Calibri" w:hAnsi="Calibri" w:eastAsia="宋体" w:cs="Times New Roman"/>
      <w:lang w:val="en-US" w:eastAsia="zh-CN" w:bidi="ar-SA"/>
    </w:rPr>
  </w:style>
  <w:style w:type="paragraph" w:customStyle="1" w:styleId="66">
    <w:name w:val="样式17"/>
    <w:basedOn w:val="47"/>
    <w:qFormat/>
    <w:uiPriority w:val="0"/>
    <w:pPr>
      <w:ind w:firstLine="0" w:firstLineChars="0"/>
    </w:pPr>
  </w:style>
  <w:style w:type="paragraph" w:customStyle="1" w:styleId="67">
    <w:name w:val="List Paragraph1"/>
    <w:basedOn w:val="1"/>
    <w:qFormat/>
    <w:uiPriority w:val="34"/>
    <w:pPr>
      <w:ind w:firstLine="420" w:firstLineChars="200"/>
    </w:pPr>
  </w:style>
  <w:style w:type="paragraph" w:customStyle="1" w:styleId="68">
    <w:name w:val="Char1 Char Char Char"/>
    <w:basedOn w:val="1"/>
    <w:qFormat/>
    <w:uiPriority w:val="0"/>
    <w:rPr>
      <w:rFonts w:ascii="Tahoma" w:hAnsi="Tahoma"/>
      <w:sz w:val="24"/>
    </w:rPr>
  </w:style>
  <w:style w:type="paragraph" w:customStyle="1" w:styleId="69">
    <w:name w:val="正文文本缩进 31"/>
    <w:basedOn w:val="1"/>
    <w:qFormat/>
    <w:uiPriority w:val="0"/>
    <w:pPr>
      <w:widowControl w:val="0"/>
      <w:adjustRightInd w:val="0"/>
      <w:spacing w:after="120"/>
      <w:ind w:left="420"/>
      <w:jc w:val="both"/>
      <w:textAlignment w:val="baseline"/>
    </w:pPr>
    <w:rPr>
      <w:kern w:val="2"/>
      <w:sz w:val="16"/>
    </w:rPr>
  </w:style>
  <w:style w:type="paragraph" w:customStyle="1" w:styleId="70">
    <w:name w:val="样式20"/>
    <w:basedOn w:val="52"/>
    <w:qFormat/>
    <w:uiPriority w:val="0"/>
    <w:pPr>
      <w:spacing w:beforeLines="50"/>
    </w:pPr>
    <w:rPr>
      <w:szCs w:val="28"/>
    </w:rPr>
  </w:style>
  <w:style w:type="paragraph" w:customStyle="1" w:styleId="71">
    <w:name w:val="样式22"/>
    <w:basedOn w:val="1"/>
    <w:qFormat/>
    <w:uiPriority w:val="0"/>
    <w:pPr>
      <w:spacing w:beforeLines="50" w:line="440" w:lineRule="exact"/>
      <w:ind w:firstLine="504" w:firstLineChars="200"/>
    </w:pPr>
    <w:rPr>
      <w:spacing w:val="6"/>
      <w:sz w:val="24"/>
    </w:rPr>
  </w:style>
  <w:style w:type="paragraph" w:customStyle="1" w:styleId="72">
    <w:name w:val="Char"/>
    <w:basedOn w:val="1"/>
    <w:qFormat/>
    <w:uiPriority w:val="0"/>
    <w:pPr>
      <w:widowControl w:val="0"/>
      <w:jc w:val="both"/>
    </w:pPr>
    <w:rPr>
      <w:rFonts w:ascii="仿宋_GB2312" w:eastAsia="仿宋_GB2312"/>
      <w:b/>
      <w:kern w:val="2"/>
      <w:sz w:val="32"/>
      <w:szCs w:val="32"/>
    </w:rPr>
  </w:style>
  <w:style w:type="paragraph" w:customStyle="1" w:styleId="73">
    <w:name w:val="样式3"/>
    <w:basedOn w:val="1"/>
    <w:qFormat/>
    <w:uiPriority w:val="0"/>
    <w:pPr>
      <w:spacing w:line="480" w:lineRule="exact"/>
      <w:jc w:val="center"/>
    </w:pPr>
    <w:rPr>
      <w:rFonts w:ascii="Arial" w:hAnsi="Arial" w:eastAsia="黑体"/>
      <w:spacing w:val="6"/>
      <w:sz w:val="32"/>
    </w:rPr>
  </w:style>
  <w:style w:type="paragraph" w:customStyle="1" w:styleId="74">
    <w:name w:val="样式13"/>
    <w:basedOn w:val="1"/>
    <w:qFormat/>
    <w:uiPriority w:val="0"/>
    <w:pPr>
      <w:spacing w:line="440" w:lineRule="exact"/>
    </w:pPr>
    <w:rPr>
      <w:rFonts w:eastAsia="黑体"/>
      <w:spacing w:val="6"/>
      <w:sz w:val="24"/>
    </w:rPr>
  </w:style>
  <w:style w:type="paragraph" w:customStyle="1" w:styleId="75">
    <w:name w:val="样式10"/>
    <w:basedOn w:val="1"/>
    <w:qFormat/>
    <w:uiPriority w:val="0"/>
    <w:pPr>
      <w:spacing w:line="480" w:lineRule="exact"/>
      <w:jc w:val="center"/>
    </w:pPr>
    <w:rPr>
      <w:rFonts w:eastAsia="黑体"/>
      <w:spacing w:val="6"/>
      <w:sz w:val="36"/>
    </w:rPr>
  </w:style>
  <w:style w:type="paragraph" w:customStyle="1" w:styleId="76">
    <w:name w:val="样式11"/>
    <w:basedOn w:val="75"/>
    <w:qFormat/>
    <w:uiPriority w:val="0"/>
    <w:rPr>
      <w:rFonts w:eastAsia="方正大标宋简体"/>
    </w:rPr>
  </w:style>
  <w:style w:type="paragraph" w:customStyle="1" w:styleId="77">
    <w:name w:val="样式4"/>
    <w:basedOn w:val="1"/>
    <w:qFormat/>
    <w:uiPriority w:val="0"/>
    <w:pPr>
      <w:spacing w:line="480" w:lineRule="exact"/>
      <w:ind w:firstLine="584" w:firstLineChars="200"/>
    </w:pPr>
    <w:rPr>
      <w:rFonts w:eastAsia="黑体"/>
      <w:spacing w:val="6"/>
      <w:sz w:val="28"/>
    </w:rPr>
  </w:style>
  <w:style w:type="paragraph" w:customStyle="1" w:styleId="78">
    <w:name w:val="样式6"/>
    <w:basedOn w:val="1"/>
    <w:qFormat/>
    <w:uiPriority w:val="0"/>
    <w:pPr>
      <w:spacing w:line="480" w:lineRule="exact"/>
      <w:jc w:val="right"/>
    </w:pPr>
    <w:rPr>
      <w:rFonts w:eastAsia="黑体"/>
      <w:spacing w:val="6"/>
      <w:sz w:val="28"/>
    </w:rPr>
  </w:style>
  <w:style w:type="paragraph" w:customStyle="1" w:styleId="79">
    <w:name w:val="样式15"/>
    <w:basedOn w:val="1"/>
    <w:qFormat/>
    <w:uiPriority w:val="0"/>
    <w:pPr>
      <w:spacing w:line="480" w:lineRule="exact"/>
      <w:ind w:firstLine="664" w:firstLineChars="200"/>
    </w:pPr>
    <w:rPr>
      <w:rFonts w:ascii="黑体" w:eastAsia="黑体"/>
      <w:spacing w:val="6"/>
      <w:sz w:val="32"/>
    </w:rPr>
  </w:style>
  <w:style w:type="paragraph" w:customStyle="1" w:styleId="80">
    <w:name w:val="Char Char Char Char"/>
    <w:basedOn w:val="11"/>
    <w:qFormat/>
    <w:uiPriority w:val="0"/>
    <w:pPr>
      <w:widowControl w:val="0"/>
      <w:jc w:val="both"/>
    </w:pPr>
    <w:rPr>
      <w:rFonts w:ascii="Tahoma" w:hAnsi="Tahoma"/>
      <w:kern w:val="2"/>
      <w:sz w:val="24"/>
      <w:szCs w:val="24"/>
    </w:rPr>
  </w:style>
  <w:style w:type="paragraph" w:customStyle="1" w:styleId="81">
    <w:name w:val="样式16"/>
    <w:basedOn w:val="76"/>
    <w:qFormat/>
    <w:uiPriority w:val="0"/>
    <w:pPr>
      <w:spacing w:line="360" w:lineRule="exact"/>
      <w:ind w:firstLine="200" w:firstLineChars="200"/>
      <w:jc w:val="both"/>
    </w:pPr>
    <w:rPr>
      <w:rFonts w:eastAsia="宋体"/>
      <w:spacing w:val="2"/>
      <w:sz w:val="24"/>
    </w:rPr>
  </w:style>
  <w:style w:type="paragraph" w:customStyle="1" w:styleId="82">
    <w:name w:val="Char1"/>
    <w:basedOn w:val="1"/>
    <w:semiHidden/>
    <w:qFormat/>
    <w:uiPriority w:val="0"/>
    <w:pPr>
      <w:widowControl w:val="0"/>
      <w:jc w:val="both"/>
    </w:pPr>
    <w:rPr>
      <w:rFonts w:ascii="Tahoma" w:hAnsi="Tahoma" w:cs="仿宋_GB2312"/>
      <w:kern w:val="2"/>
      <w:sz w:val="24"/>
      <w:szCs w:val="28"/>
    </w:rPr>
  </w:style>
  <w:style w:type="paragraph" w:customStyle="1" w:styleId="83">
    <w:name w:val="简单回函地址"/>
    <w:basedOn w:val="1"/>
    <w:qFormat/>
    <w:uiPriority w:val="0"/>
    <w:pPr>
      <w:widowControl w:val="0"/>
      <w:jc w:val="both"/>
    </w:pPr>
    <w:rPr>
      <w:rFonts w:ascii="宋体" w:hAnsi="宋体"/>
      <w:bCs/>
      <w:color w:val="000000"/>
      <w:kern w:val="2"/>
      <w:sz w:val="24"/>
      <w:szCs w:val="21"/>
    </w:rPr>
  </w:style>
  <w:style w:type="paragraph" w:customStyle="1" w:styleId="84">
    <w:name w:val="样式8"/>
    <w:basedOn w:val="1"/>
    <w:qFormat/>
    <w:uiPriority w:val="0"/>
    <w:pPr>
      <w:spacing w:line="480" w:lineRule="exact"/>
      <w:jc w:val="center"/>
    </w:pPr>
    <w:rPr>
      <w:rFonts w:eastAsia="方正大标宋简体"/>
      <w:spacing w:val="6"/>
      <w:sz w:val="32"/>
    </w:rPr>
  </w:style>
  <w:style w:type="paragraph" w:customStyle="1" w:styleId="85">
    <w:name w:val="样式12"/>
    <w:basedOn w:val="1"/>
    <w:qFormat/>
    <w:uiPriority w:val="0"/>
    <w:pPr>
      <w:spacing w:line="440" w:lineRule="exact"/>
      <w:ind w:firstLine="504" w:firstLineChars="200"/>
    </w:pPr>
    <w:rPr>
      <w:rFonts w:ascii="Arial" w:hAnsi="Arial" w:eastAsia="黑体"/>
      <w:spacing w:val="6"/>
      <w:sz w:val="24"/>
    </w:rPr>
  </w:style>
  <w:style w:type="paragraph" w:customStyle="1" w:styleId="86">
    <w:name w:val="样式2"/>
    <w:basedOn w:val="1"/>
    <w:qFormat/>
    <w:uiPriority w:val="0"/>
    <w:pPr>
      <w:spacing w:line="480" w:lineRule="exact"/>
      <w:jc w:val="center"/>
    </w:pPr>
    <w:rPr>
      <w:rFonts w:eastAsia="黑体"/>
      <w:spacing w:val="6"/>
      <w:sz w:val="44"/>
    </w:rPr>
  </w:style>
  <w:style w:type="paragraph" w:customStyle="1" w:styleId="87">
    <w:name w:val="样式29"/>
    <w:basedOn w:val="47"/>
    <w:qFormat/>
    <w:uiPriority w:val="0"/>
    <w:rPr>
      <w:rFonts w:eastAsia="楷体_GB2312"/>
    </w:rPr>
  </w:style>
  <w:style w:type="paragraph" w:customStyle="1" w:styleId="88">
    <w:name w:val="_Style 4"/>
    <w:basedOn w:val="1"/>
    <w:next w:val="1"/>
    <w:qFormat/>
    <w:uiPriority w:val="1"/>
    <w:pPr>
      <w:spacing w:beforeLines="40" w:afterLines="30"/>
      <w:jc w:val="center"/>
    </w:pPr>
    <w:rPr>
      <w:rFonts w:eastAsia="黑体"/>
      <w:sz w:val="24"/>
      <w:szCs w:val="22"/>
    </w:rPr>
  </w:style>
  <w:style w:type="paragraph" w:styleId="89">
    <w:name w:val="List Paragraph"/>
    <w:basedOn w:val="1"/>
    <w:qFormat/>
    <w:uiPriority w:val="34"/>
    <w:pPr>
      <w:ind w:firstLine="420" w:firstLineChars="200"/>
    </w:pPr>
  </w:style>
  <w:style w:type="paragraph" w:customStyle="1" w:styleId="90">
    <w:name w:val="Char1 Char Char Char Char Char Char"/>
    <w:basedOn w:val="1"/>
    <w:qFormat/>
    <w:uiPriority w:val="0"/>
    <w:pPr>
      <w:widowControl w:val="0"/>
      <w:jc w:val="both"/>
    </w:pPr>
    <w:rPr>
      <w:rFonts w:ascii="Tahoma" w:hAnsi="Tahoma"/>
      <w:kern w:val="2"/>
      <w:sz w:val="24"/>
    </w:rPr>
  </w:style>
  <w:style w:type="paragraph" w:customStyle="1" w:styleId="91">
    <w:name w:val="样式18"/>
    <w:basedOn w:val="75"/>
    <w:qFormat/>
    <w:uiPriority w:val="0"/>
    <w:rPr>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0BCB80-29FB-4E30-AA5D-B27522C79A04}">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58</Pages>
  <Words>4023</Words>
  <Characters>22933</Characters>
  <Lines>191</Lines>
  <Paragraphs>53</Paragraphs>
  <TotalTime>4</TotalTime>
  <ScaleCrop>false</ScaleCrop>
  <LinksUpToDate>false</LinksUpToDate>
  <CharactersWithSpaces>26903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2018-05-17T11:15:00Z</dcterms:created>
  <dc:creator>MC SYSTEM</dc:creator>
  <dc:description>年   月   日	年   月   日	年   月   日_x000d_年    月    日_x000d_1．技术评审（40分）_x000d_年   月   日_x000d_</dc:description>
  <cp:keywords>分 年 月 日 二 </cp:keywords>
  <cp:lastModifiedBy>Administrator</cp:lastModifiedBy>
  <cp:lastPrinted>2018-05-28T10:55:00Z</cp:lastPrinted>
  <dcterms:modified xsi:type="dcterms:W3CDTF">2018-08-09T06:10:53Z</dcterms:modified>
  <dc:title>编号：JNATJZ-002</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