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jc w:val="center"/>
        <w:rPr>
          <w:rFonts w:hint="eastAsia" w:ascii="仿宋" w:hAnsi="仿宋" w:eastAsia="仿宋" w:cs="仿宋"/>
          <w:color w:val="auto"/>
          <w:sz w:val="30"/>
          <w:szCs w:val="30"/>
          <w:highlight w:val="none"/>
        </w:rPr>
      </w:pPr>
      <w:bookmarkStart w:id="0" w:name="_Toc2360"/>
      <w:r>
        <w:rPr>
          <w:rFonts w:hint="eastAsia" w:ascii="仿宋" w:hAnsi="仿宋" w:eastAsia="仿宋" w:cs="仿宋"/>
          <w:color w:val="auto"/>
          <w:sz w:val="30"/>
          <w:szCs w:val="30"/>
          <w:highlight w:val="none"/>
        </w:rPr>
        <w:t>济南高新技术产业开发区管理委员会舜华路街道办事处测绘服务项目竞争性磋商公告</w:t>
      </w:r>
      <w:bookmarkEnd w:id="0"/>
    </w:p>
    <w:p>
      <w:pPr>
        <w:widowControl/>
        <w:adjustRightInd w:val="0"/>
        <w:snapToGrid w:val="0"/>
        <w:spacing w:line="500" w:lineRule="exact"/>
        <w:jc w:val="left"/>
        <w:outlineLvl w:val="1"/>
        <w:rPr>
          <w:rFonts w:hint="eastAsia" w:ascii="仿宋" w:hAnsi="仿宋" w:eastAsia="仿宋" w:cs="仿宋"/>
          <w:color w:val="auto"/>
          <w:kern w:val="0"/>
          <w:sz w:val="24"/>
          <w:highlight w:val="none"/>
        </w:rPr>
      </w:pPr>
      <w:bookmarkStart w:id="1" w:name="_Toc27014"/>
      <w:r>
        <w:rPr>
          <w:rFonts w:hint="eastAsia" w:ascii="仿宋" w:hAnsi="仿宋" w:eastAsia="仿宋" w:cs="仿宋"/>
          <w:b/>
          <w:bCs/>
          <w:color w:val="auto"/>
          <w:kern w:val="0"/>
          <w:sz w:val="24"/>
          <w:highlight w:val="none"/>
        </w:rPr>
        <w:t>一、采购项目名称：</w:t>
      </w:r>
      <w:r>
        <w:rPr>
          <w:rFonts w:hint="eastAsia" w:ascii="仿宋" w:hAnsi="仿宋" w:eastAsia="仿宋" w:cs="仿宋"/>
          <w:color w:val="auto"/>
          <w:kern w:val="0"/>
          <w:sz w:val="24"/>
          <w:highlight w:val="none"/>
        </w:rPr>
        <w:t>济南高新技术产业开发区管理委员会舜华路街道办事处测绘服务项目</w:t>
      </w:r>
      <w:bookmarkEnd w:id="1"/>
    </w:p>
    <w:p>
      <w:pPr>
        <w:spacing w:line="500" w:lineRule="exact"/>
        <w:outlineLvl w:val="1"/>
        <w:rPr>
          <w:rFonts w:hint="eastAsia" w:ascii="仿宋" w:hAnsi="仿宋" w:eastAsia="仿宋" w:cs="仿宋"/>
          <w:color w:val="auto"/>
          <w:kern w:val="0"/>
          <w:sz w:val="24"/>
          <w:highlight w:val="none"/>
        </w:rPr>
      </w:pPr>
      <w:bookmarkStart w:id="2" w:name="_Toc28108"/>
      <w:r>
        <w:rPr>
          <w:rFonts w:hint="eastAsia" w:ascii="仿宋" w:hAnsi="仿宋" w:eastAsia="仿宋" w:cs="仿宋"/>
          <w:b/>
          <w:bCs/>
          <w:color w:val="auto"/>
          <w:kern w:val="0"/>
          <w:sz w:val="24"/>
          <w:highlight w:val="none"/>
        </w:rPr>
        <w:t>二、采购项目编号：</w:t>
      </w:r>
      <w:r>
        <w:rPr>
          <w:rFonts w:hint="eastAsia" w:ascii="仿宋" w:hAnsi="仿宋" w:eastAsia="仿宋" w:cs="仿宋"/>
          <w:color w:val="auto"/>
          <w:kern w:val="0"/>
          <w:sz w:val="24"/>
          <w:highlight w:val="none"/>
        </w:rPr>
        <w:t>SDLD2018CS045</w:t>
      </w:r>
      <w:bookmarkEnd w:id="2"/>
      <w:r>
        <w:rPr>
          <w:rFonts w:hint="eastAsia" w:ascii="仿宋" w:hAnsi="仿宋" w:eastAsia="仿宋" w:cs="仿宋"/>
          <w:color w:val="auto"/>
          <w:sz w:val="24"/>
          <w:highlight w:val="none"/>
        </w:rPr>
        <w:t xml:space="preserve"> </w:t>
      </w:r>
    </w:p>
    <w:p>
      <w:pPr>
        <w:widowControl/>
        <w:adjustRightInd w:val="0"/>
        <w:snapToGrid w:val="0"/>
        <w:spacing w:line="500" w:lineRule="exact"/>
        <w:jc w:val="left"/>
        <w:outlineLvl w:val="1"/>
        <w:rPr>
          <w:rFonts w:hint="eastAsia" w:ascii="仿宋" w:hAnsi="仿宋" w:eastAsia="仿宋" w:cs="仿宋"/>
          <w:b/>
          <w:color w:val="auto"/>
          <w:kern w:val="0"/>
          <w:sz w:val="24"/>
          <w:highlight w:val="none"/>
        </w:rPr>
      </w:pPr>
      <w:bookmarkStart w:id="3" w:name="_Toc28697"/>
      <w:r>
        <w:rPr>
          <w:rFonts w:hint="eastAsia" w:ascii="仿宋" w:hAnsi="仿宋" w:eastAsia="仿宋" w:cs="仿宋"/>
          <w:b/>
          <w:bCs/>
          <w:color w:val="auto"/>
          <w:kern w:val="0"/>
          <w:sz w:val="24"/>
          <w:highlight w:val="none"/>
        </w:rPr>
        <w:t>三、采购项目招标情况：</w:t>
      </w:r>
      <w:bookmarkEnd w:id="3"/>
      <w:r>
        <w:rPr>
          <w:rFonts w:hint="eastAsia" w:ascii="仿宋" w:hAnsi="仿宋" w:eastAsia="仿宋" w:cs="仿宋"/>
          <w:color w:val="auto"/>
          <w:kern w:val="0"/>
          <w:sz w:val="24"/>
          <w:highlight w:val="none"/>
        </w:rPr>
        <w:t xml:space="preserve"> </w:t>
      </w:r>
    </w:p>
    <w:tbl>
      <w:tblPr>
        <w:tblStyle w:val="5"/>
        <w:tblW w:w="10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42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417" w:type="dxa"/>
            <w:noWrap w:val="0"/>
            <w:vAlign w:val="center"/>
          </w:tcPr>
          <w:p>
            <w:pPr>
              <w:pStyle w:val="6"/>
              <w:spacing w:line="500" w:lineRule="exact"/>
              <w:jc w:val="center"/>
              <w:outlineLvl w:val="1"/>
              <w:rPr>
                <w:rFonts w:hint="eastAsia" w:ascii="仿宋" w:hAnsi="仿宋" w:eastAsia="仿宋" w:cs="仿宋"/>
                <w:color w:val="auto"/>
                <w:sz w:val="24"/>
                <w:highlight w:val="none"/>
              </w:rPr>
            </w:pPr>
            <w:bookmarkStart w:id="4" w:name="_Toc32706"/>
            <w:r>
              <w:rPr>
                <w:rFonts w:hint="eastAsia" w:ascii="仿宋" w:hAnsi="仿宋" w:eastAsia="仿宋" w:cs="仿宋"/>
                <w:color w:val="auto"/>
                <w:sz w:val="24"/>
                <w:highlight w:val="none"/>
              </w:rPr>
              <w:t>采购内容</w:t>
            </w:r>
            <w:bookmarkEnd w:id="4"/>
          </w:p>
        </w:tc>
        <w:tc>
          <w:tcPr>
            <w:tcW w:w="7428" w:type="dxa"/>
            <w:noWrap w:val="0"/>
            <w:vAlign w:val="center"/>
          </w:tcPr>
          <w:p>
            <w:pPr>
              <w:pStyle w:val="6"/>
              <w:spacing w:line="500" w:lineRule="exact"/>
              <w:jc w:val="center"/>
              <w:outlineLvl w:val="1"/>
              <w:rPr>
                <w:rFonts w:hint="eastAsia" w:ascii="仿宋" w:hAnsi="仿宋" w:eastAsia="仿宋" w:cs="仿宋"/>
                <w:color w:val="auto"/>
                <w:sz w:val="24"/>
                <w:highlight w:val="none"/>
              </w:rPr>
            </w:pPr>
            <w:bookmarkStart w:id="5" w:name="_Toc330"/>
            <w:r>
              <w:rPr>
                <w:rFonts w:hint="eastAsia" w:ascii="仿宋" w:hAnsi="仿宋" w:eastAsia="仿宋" w:cs="仿宋"/>
                <w:color w:val="auto"/>
                <w:sz w:val="24"/>
                <w:highlight w:val="none"/>
              </w:rPr>
              <w:t>供应商资格要求</w:t>
            </w:r>
            <w:bookmarkEnd w:id="5"/>
          </w:p>
        </w:tc>
        <w:tc>
          <w:tcPr>
            <w:tcW w:w="1240" w:type="dxa"/>
            <w:noWrap w:val="0"/>
            <w:vAlign w:val="center"/>
          </w:tcPr>
          <w:p>
            <w:pPr>
              <w:pStyle w:val="6"/>
              <w:spacing w:line="500" w:lineRule="exact"/>
              <w:jc w:val="center"/>
              <w:outlineLvl w:val="1"/>
              <w:rPr>
                <w:rFonts w:hint="eastAsia" w:ascii="仿宋" w:hAnsi="仿宋" w:eastAsia="仿宋" w:cs="仿宋"/>
                <w:color w:val="auto"/>
                <w:sz w:val="24"/>
                <w:highlight w:val="none"/>
              </w:rPr>
            </w:pPr>
            <w:bookmarkStart w:id="6" w:name="_Toc20123"/>
            <w:r>
              <w:rPr>
                <w:rFonts w:hint="eastAsia" w:ascii="仿宋" w:hAnsi="仿宋" w:eastAsia="仿宋" w:cs="仿宋"/>
                <w:color w:val="auto"/>
                <w:sz w:val="24"/>
                <w:highlight w:val="none"/>
              </w:rPr>
              <w:t>服务期限</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417" w:type="dxa"/>
            <w:noWrap w:val="0"/>
            <w:vAlign w:val="center"/>
          </w:tcPr>
          <w:p>
            <w:pPr>
              <w:pStyle w:val="6"/>
              <w:spacing w:line="500" w:lineRule="exact"/>
              <w:jc w:val="center"/>
              <w:outlineLvl w:val="1"/>
              <w:rPr>
                <w:rFonts w:hint="eastAsia" w:ascii="仿宋" w:hAnsi="仿宋" w:eastAsia="仿宋" w:cs="仿宋"/>
                <w:bCs/>
                <w:color w:val="auto"/>
                <w:sz w:val="24"/>
                <w:highlight w:val="none"/>
              </w:rPr>
            </w:pPr>
            <w:bookmarkStart w:id="7" w:name="_Toc1691"/>
            <w:r>
              <w:rPr>
                <w:rFonts w:hint="eastAsia" w:ascii="仿宋" w:hAnsi="仿宋" w:eastAsia="仿宋" w:cs="仿宋"/>
                <w:bCs/>
                <w:color w:val="auto"/>
                <w:sz w:val="24"/>
                <w:highlight w:val="none"/>
              </w:rPr>
              <w:t>济南高新技术产业开发区管理委员会舜华路街道办事处测绘服务项目</w:t>
            </w:r>
            <w:bookmarkEnd w:id="7"/>
          </w:p>
        </w:tc>
        <w:tc>
          <w:tcPr>
            <w:tcW w:w="7428" w:type="dxa"/>
            <w:noWrap w:val="0"/>
            <w:vAlign w:val="center"/>
          </w:tcPr>
          <w:p>
            <w:pPr>
              <w:pStyle w:val="7"/>
              <w:spacing w:line="500" w:lineRule="exact"/>
              <w:outlineLvl w:val="1"/>
              <w:rPr>
                <w:rFonts w:hint="eastAsia" w:ascii="仿宋" w:hAnsi="仿宋" w:eastAsia="仿宋" w:cs="仿宋"/>
                <w:color w:val="auto"/>
                <w:sz w:val="24"/>
                <w:highlight w:val="none"/>
              </w:rPr>
            </w:pPr>
            <w:bookmarkStart w:id="8" w:name="_Toc32178"/>
            <w:r>
              <w:rPr>
                <w:rFonts w:hint="eastAsia" w:ascii="仿宋" w:hAnsi="仿宋" w:eastAsia="仿宋" w:cs="仿宋"/>
                <w:color w:val="auto"/>
                <w:sz w:val="24"/>
                <w:highlight w:val="none"/>
              </w:rPr>
              <w:t>（1）遵守有关的国家法律、法规和条例，具备《中华人民共和国政府采购法》第二十二条规定的条件；</w:t>
            </w:r>
            <w:bookmarkEnd w:id="8"/>
          </w:p>
          <w:p>
            <w:pPr>
              <w:pStyle w:val="7"/>
              <w:spacing w:line="500" w:lineRule="exact"/>
              <w:outlineLvl w:val="1"/>
              <w:rPr>
                <w:rFonts w:hint="eastAsia" w:ascii="仿宋" w:hAnsi="仿宋" w:eastAsia="仿宋" w:cs="仿宋"/>
                <w:color w:val="auto"/>
                <w:sz w:val="24"/>
                <w:highlight w:val="none"/>
              </w:rPr>
            </w:pPr>
            <w:bookmarkStart w:id="9" w:name="_Toc32343"/>
            <w:r>
              <w:rPr>
                <w:rFonts w:hint="eastAsia" w:ascii="仿宋" w:hAnsi="仿宋" w:eastAsia="仿宋" w:cs="仿宋"/>
                <w:color w:val="auto"/>
                <w:sz w:val="24"/>
                <w:highlight w:val="none"/>
              </w:rPr>
              <w:t>（2）在中华人民共和国境内注册的有合法经营资格的国内独立法人单位，并在人员、设备、技术、资金等方面具有相应的能力；</w:t>
            </w:r>
            <w:bookmarkEnd w:id="9"/>
          </w:p>
          <w:p>
            <w:pPr>
              <w:pStyle w:val="7"/>
              <w:spacing w:line="500" w:lineRule="exact"/>
              <w:outlineLvl w:val="1"/>
              <w:rPr>
                <w:rFonts w:hint="eastAsia" w:ascii="仿宋" w:hAnsi="仿宋" w:eastAsia="仿宋" w:cs="仿宋"/>
                <w:color w:val="auto"/>
                <w:sz w:val="24"/>
                <w:highlight w:val="none"/>
              </w:rPr>
            </w:pPr>
            <w:bookmarkStart w:id="10" w:name="_Toc16664"/>
            <w:r>
              <w:rPr>
                <w:rFonts w:hint="eastAsia" w:ascii="仿宋" w:hAnsi="仿宋" w:eastAsia="仿宋" w:cs="仿宋"/>
                <w:color w:val="auto"/>
                <w:sz w:val="24"/>
                <w:highlight w:val="none"/>
              </w:rPr>
              <w:t>（3）须具备工程测绘乙级及以上资质；</w:t>
            </w:r>
            <w:bookmarkEnd w:id="10"/>
          </w:p>
          <w:p>
            <w:pPr>
              <w:pStyle w:val="7"/>
              <w:spacing w:line="500" w:lineRule="exact"/>
              <w:outlineLvl w:val="1"/>
              <w:rPr>
                <w:rFonts w:hint="eastAsia" w:ascii="仿宋" w:hAnsi="仿宋" w:eastAsia="仿宋" w:cs="仿宋"/>
                <w:color w:val="auto"/>
                <w:sz w:val="24"/>
                <w:highlight w:val="none"/>
              </w:rPr>
            </w:pPr>
            <w:bookmarkStart w:id="11" w:name="_Toc1910"/>
            <w:r>
              <w:rPr>
                <w:rFonts w:hint="eastAsia" w:ascii="仿宋" w:hAnsi="仿宋" w:eastAsia="仿宋" w:cs="仿宋"/>
                <w:color w:val="auto"/>
                <w:sz w:val="24"/>
                <w:highlight w:val="none"/>
              </w:rPr>
              <w:t>（4）根据财库（2016）125号文的规定，各供应商需通过“信用中国”网站（http://www.creditchina.gov.cn/）、中国政府采购网（http://www.ccgp.gov.cn/）、信用山东（http://www.creditsd.gov.cn/）查询信用记录，并打印网站查询结果的截图。对列入失信被执行人、重大税收违法案件当事人名单、政府采购严重违法失信行为记录名单的单位拒绝其参与政府采购活动（须携带报名时间内截图并加盖单位公章）；</w:t>
            </w:r>
            <w:bookmarkEnd w:id="11"/>
          </w:p>
          <w:p>
            <w:pPr>
              <w:spacing w:line="500" w:lineRule="exact"/>
              <w:outlineLvl w:val="1"/>
              <w:rPr>
                <w:rFonts w:hint="eastAsia" w:ascii="仿宋" w:hAnsi="仿宋" w:eastAsia="仿宋" w:cs="仿宋"/>
                <w:color w:val="auto"/>
                <w:sz w:val="24"/>
                <w:highlight w:val="none"/>
              </w:rPr>
            </w:pPr>
            <w:bookmarkStart w:id="12" w:name="_Toc12904"/>
            <w:r>
              <w:rPr>
                <w:rFonts w:hint="eastAsia" w:ascii="仿宋" w:hAnsi="仿宋" w:eastAsia="仿宋" w:cs="仿宋"/>
                <w:color w:val="auto"/>
                <w:sz w:val="24"/>
                <w:highlight w:val="none"/>
              </w:rPr>
              <w:t>（5）本项目不允许联合体投标。</w:t>
            </w:r>
            <w:bookmarkEnd w:id="12"/>
          </w:p>
        </w:tc>
        <w:tc>
          <w:tcPr>
            <w:tcW w:w="1240" w:type="dxa"/>
            <w:noWrap w:val="0"/>
            <w:vAlign w:val="center"/>
          </w:tcPr>
          <w:p>
            <w:pPr>
              <w:pStyle w:val="6"/>
              <w:spacing w:line="500" w:lineRule="exact"/>
              <w:jc w:val="center"/>
              <w:outlineLvl w:val="1"/>
              <w:rPr>
                <w:rFonts w:hint="eastAsia" w:ascii="仿宋" w:hAnsi="仿宋" w:eastAsia="仿宋" w:cs="仿宋"/>
                <w:color w:val="auto"/>
                <w:sz w:val="24"/>
                <w:highlight w:val="none"/>
              </w:rPr>
            </w:pPr>
            <w:bookmarkStart w:id="13" w:name="_Toc31137"/>
            <w:r>
              <w:rPr>
                <w:rFonts w:hint="eastAsia" w:ascii="仿宋" w:hAnsi="仿宋" w:eastAsia="仿宋" w:cs="仿宋"/>
                <w:color w:val="auto"/>
                <w:sz w:val="24"/>
                <w:highlight w:val="none"/>
              </w:rPr>
              <w:t>2年</w:t>
            </w:r>
            <w:bookmarkEnd w:id="13"/>
          </w:p>
        </w:tc>
      </w:tr>
    </w:tbl>
    <w:p>
      <w:pPr>
        <w:widowControl/>
        <w:adjustRightInd w:val="0"/>
        <w:snapToGrid w:val="0"/>
        <w:spacing w:line="500" w:lineRule="exact"/>
        <w:ind w:left="-567" w:leftChars="-270" w:right="-483" w:rightChars="-230" w:firstLine="482" w:firstLineChars="200"/>
        <w:jc w:val="left"/>
        <w:outlineLvl w:val="1"/>
        <w:rPr>
          <w:rFonts w:hint="eastAsia" w:ascii="仿宋" w:hAnsi="仿宋" w:eastAsia="仿宋" w:cs="仿宋"/>
          <w:b/>
          <w:bCs/>
          <w:color w:val="auto"/>
          <w:kern w:val="0"/>
          <w:sz w:val="24"/>
          <w:highlight w:val="none"/>
        </w:rPr>
      </w:pPr>
      <w:bookmarkStart w:id="14" w:name="_Toc17719"/>
      <w:r>
        <w:rPr>
          <w:rFonts w:hint="eastAsia" w:ascii="仿宋" w:hAnsi="仿宋" w:eastAsia="仿宋" w:cs="仿宋"/>
          <w:b/>
          <w:bCs/>
          <w:color w:val="auto"/>
          <w:kern w:val="0"/>
          <w:sz w:val="24"/>
          <w:highlight w:val="none"/>
        </w:rPr>
        <w:t>四、报名时间及地点：</w:t>
      </w:r>
      <w:bookmarkEnd w:id="14"/>
    </w:p>
    <w:p>
      <w:pPr>
        <w:widowControl/>
        <w:adjustRightInd w:val="0"/>
        <w:snapToGrid w:val="0"/>
        <w:spacing w:line="500" w:lineRule="exact"/>
        <w:ind w:right="-483" w:rightChars="-230"/>
        <w:jc w:val="left"/>
        <w:outlineLvl w:val="1"/>
        <w:rPr>
          <w:rFonts w:hint="eastAsia" w:ascii="仿宋" w:hAnsi="仿宋" w:eastAsia="仿宋" w:cs="仿宋"/>
          <w:color w:val="auto"/>
          <w:kern w:val="0"/>
          <w:sz w:val="24"/>
          <w:highlight w:val="none"/>
        </w:rPr>
      </w:pPr>
      <w:bookmarkStart w:id="15" w:name="_Toc21090"/>
      <w:r>
        <w:rPr>
          <w:rFonts w:hint="eastAsia" w:ascii="仿宋" w:hAnsi="仿宋" w:eastAsia="仿宋" w:cs="仿宋"/>
          <w:color w:val="auto"/>
          <w:kern w:val="0"/>
          <w:sz w:val="24"/>
          <w:highlight w:val="none"/>
        </w:rPr>
        <w:t>1.时间：2018年1月10日至2018年1月16日，每天上午9时00分至11时00分，下午14时00分至16时00分（北京时间，法定节假日除外）</w:t>
      </w:r>
      <w:bookmarkEnd w:id="15"/>
    </w:p>
    <w:p>
      <w:pPr>
        <w:widowControl/>
        <w:adjustRightInd w:val="0"/>
        <w:snapToGrid w:val="0"/>
        <w:spacing w:line="500" w:lineRule="exact"/>
        <w:ind w:right="-483" w:rightChars="-230"/>
        <w:jc w:val="left"/>
        <w:outlineLvl w:val="1"/>
        <w:rPr>
          <w:rFonts w:hint="eastAsia" w:ascii="仿宋" w:hAnsi="仿宋" w:eastAsia="仿宋" w:cs="仿宋"/>
          <w:color w:val="auto"/>
          <w:kern w:val="0"/>
          <w:sz w:val="24"/>
          <w:highlight w:val="none"/>
        </w:rPr>
      </w:pPr>
      <w:bookmarkStart w:id="16" w:name="_Toc8203"/>
      <w:r>
        <w:rPr>
          <w:rFonts w:hint="eastAsia" w:ascii="仿宋" w:hAnsi="仿宋" w:eastAsia="仿宋" w:cs="仿宋"/>
          <w:color w:val="auto"/>
          <w:kern w:val="0"/>
          <w:sz w:val="24"/>
          <w:highlight w:val="none"/>
        </w:rPr>
        <w:t>2.地点：</w:t>
      </w:r>
      <w:r>
        <w:rPr>
          <w:rFonts w:hint="eastAsia" w:ascii="仿宋" w:hAnsi="仿宋" w:eastAsia="仿宋" w:cs="仿宋"/>
          <w:color w:val="auto"/>
          <w:sz w:val="24"/>
          <w:highlight w:val="none"/>
        </w:rPr>
        <w:t>山东蓝盾招标代理有限公司（</w:t>
      </w:r>
      <w:r>
        <w:rPr>
          <w:rFonts w:hint="eastAsia" w:ascii="仿宋" w:hAnsi="仿宋" w:eastAsia="仿宋" w:cs="仿宋"/>
          <w:color w:val="auto"/>
          <w:sz w:val="24"/>
          <w:highlight w:val="none"/>
          <w:lang w:val="zh-CN"/>
        </w:rPr>
        <w:t>济南市高新区工业南路59号中铁财智中心6号楼15楼财务室</w:t>
      </w:r>
      <w:r>
        <w:rPr>
          <w:rFonts w:hint="eastAsia" w:ascii="仿宋" w:hAnsi="仿宋" w:eastAsia="仿宋" w:cs="仿宋"/>
          <w:color w:val="auto"/>
          <w:sz w:val="24"/>
          <w:highlight w:val="none"/>
        </w:rPr>
        <w:t>）</w:t>
      </w:r>
      <w:bookmarkEnd w:id="16"/>
    </w:p>
    <w:p>
      <w:pPr>
        <w:widowControl/>
        <w:adjustRightInd w:val="0"/>
        <w:snapToGrid w:val="0"/>
        <w:spacing w:line="500" w:lineRule="exact"/>
        <w:ind w:right="-483" w:rightChars="-230"/>
        <w:jc w:val="left"/>
        <w:outlineLvl w:val="1"/>
        <w:rPr>
          <w:rFonts w:hint="eastAsia" w:ascii="仿宋" w:hAnsi="仿宋" w:eastAsia="仿宋" w:cs="仿宋"/>
          <w:color w:val="auto"/>
          <w:kern w:val="0"/>
          <w:sz w:val="24"/>
          <w:highlight w:val="none"/>
        </w:rPr>
      </w:pPr>
      <w:bookmarkStart w:id="17" w:name="_Toc18625"/>
      <w:r>
        <w:rPr>
          <w:rFonts w:hint="eastAsia" w:ascii="仿宋" w:hAnsi="仿宋" w:eastAsia="仿宋" w:cs="仿宋"/>
          <w:color w:val="auto"/>
          <w:kern w:val="0"/>
          <w:sz w:val="24"/>
          <w:highlight w:val="none"/>
        </w:rPr>
        <w:t>3.竞争性磋商文件购买方式：现场购买,500元/份。</w:t>
      </w:r>
      <w:bookmarkEnd w:id="17"/>
    </w:p>
    <w:p>
      <w:pPr>
        <w:pStyle w:val="6"/>
        <w:spacing w:line="500" w:lineRule="exact"/>
        <w:ind w:right="-483" w:rightChars="-230"/>
        <w:outlineLvl w:val="1"/>
        <w:rPr>
          <w:rFonts w:hint="eastAsia" w:ascii="仿宋" w:hAnsi="仿宋" w:eastAsia="仿宋" w:cs="仿宋"/>
          <w:color w:val="auto"/>
          <w:sz w:val="24"/>
          <w:highlight w:val="none"/>
        </w:rPr>
      </w:pPr>
      <w:bookmarkStart w:id="18" w:name="_Toc1533"/>
      <w:r>
        <w:rPr>
          <w:rFonts w:hint="eastAsia" w:ascii="仿宋" w:hAnsi="仿宋" w:eastAsia="仿宋" w:cs="仿宋"/>
          <w:b/>
          <w:color w:val="auto"/>
          <w:sz w:val="24"/>
          <w:highlight w:val="none"/>
        </w:rPr>
        <w:t>报名时须携带：</w:t>
      </w:r>
      <w:r>
        <w:rPr>
          <w:rFonts w:hint="eastAsia" w:ascii="仿宋" w:hAnsi="仿宋" w:eastAsia="仿宋" w:cs="仿宋"/>
          <w:color w:val="auto"/>
          <w:sz w:val="24"/>
          <w:highlight w:val="none"/>
        </w:rPr>
        <w:t>①营业执照副本；②组织机构代码证副本；③税务登记证副本；④资质证书；⑤开户许可证；⑥法人代表授权委托书及被授权代表身份证（若法人参加投标，携带法人身份证）；⑦中国政府采购网（www.ccgp.gov.cn）、信用中国网站（www.creditchina.gov.cn）、信用山东（www.creditsd.gov.cn）信用查询结果截图（查询内容包括：失信被执行人、供应商经营异常名录、重大税收违法案件当事人名单、政府采购严重违法失信名单）。</w:t>
      </w:r>
      <w:bookmarkEnd w:id="18"/>
    </w:p>
    <w:p>
      <w:pPr>
        <w:pStyle w:val="6"/>
        <w:spacing w:line="500" w:lineRule="exact"/>
        <w:ind w:right="-483" w:rightChars="-230"/>
        <w:outlineLvl w:val="1"/>
        <w:rPr>
          <w:rFonts w:hint="eastAsia" w:ascii="仿宋" w:hAnsi="仿宋" w:eastAsia="仿宋" w:cs="仿宋"/>
          <w:color w:val="auto"/>
          <w:sz w:val="24"/>
          <w:highlight w:val="none"/>
        </w:rPr>
      </w:pPr>
      <w:bookmarkStart w:id="19" w:name="_Toc8926"/>
      <w:r>
        <w:rPr>
          <w:rFonts w:hint="eastAsia" w:ascii="仿宋" w:hAnsi="仿宋" w:eastAsia="仿宋" w:cs="仿宋"/>
          <w:b/>
          <w:color w:val="auto"/>
          <w:sz w:val="24"/>
          <w:highlight w:val="none"/>
        </w:rPr>
        <w:t>说明：</w:t>
      </w:r>
      <w:r>
        <w:rPr>
          <w:rFonts w:hint="eastAsia" w:ascii="仿宋" w:hAnsi="仿宋" w:eastAsia="仿宋" w:cs="仿宋"/>
          <w:bCs/>
          <w:color w:val="auto"/>
          <w:sz w:val="24"/>
          <w:highlight w:val="none"/>
        </w:rPr>
        <w:t>①</w:t>
      </w:r>
      <w:r>
        <w:rPr>
          <w:rFonts w:hint="eastAsia" w:ascii="仿宋" w:hAnsi="仿宋" w:eastAsia="仿宋" w:cs="仿宋"/>
          <w:color w:val="auto"/>
          <w:sz w:val="24"/>
          <w:highlight w:val="none"/>
        </w:rPr>
        <w:t>以上报名材料须提供原件及加盖单位公章的复印件各1套，且复印件须与原件保持一致，否则不予办理报名登记手续。②若因年检原因原件无法到场，需出具相关部门开具的证明原件。③已办理“三证合一”的单位只需要提供营业执照。④报名及获取竞争性磋商文件时提交的资料查验不代表资格审查的最终通过或合格。⑤对列入失信被执行人、重大税收违法案件当事人名单、政府采购严重违法失信行为记录名单的供应商，应当拒绝其参与政府采购活动。</w:t>
      </w:r>
      <w:bookmarkEnd w:id="19"/>
    </w:p>
    <w:p>
      <w:pPr>
        <w:pStyle w:val="6"/>
        <w:spacing w:line="500" w:lineRule="exact"/>
        <w:ind w:right="-483" w:rightChars="-230"/>
        <w:outlineLvl w:val="1"/>
        <w:rPr>
          <w:rFonts w:hint="eastAsia" w:ascii="仿宋" w:hAnsi="仿宋" w:eastAsia="仿宋" w:cs="仿宋"/>
          <w:b/>
          <w:bCs/>
          <w:color w:val="auto"/>
          <w:sz w:val="24"/>
          <w:highlight w:val="none"/>
        </w:rPr>
      </w:pPr>
      <w:bookmarkStart w:id="20" w:name="_Toc7792"/>
      <w:r>
        <w:rPr>
          <w:rFonts w:hint="eastAsia" w:ascii="仿宋" w:hAnsi="仿宋" w:eastAsia="仿宋" w:cs="仿宋"/>
          <w:b/>
          <w:bCs/>
          <w:color w:val="auto"/>
          <w:sz w:val="24"/>
          <w:highlight w:val="none"/>
        </w:rPr>
        <w:t>五、递交投标文件时间及地点</w:t>
      </w:r>
      <w:bookmarkEnd w:id="20"/>
      <w:r>
        <w:rPr>
          <w:rFonts w:hint="eastAsia" w:ascii="仿宋" w:hAnsi="仿宋" w:eastAsia="仿宋" w:cs="仿宋"/>
          <w:b/>
          <w:bCs/>
          <w:color w:val="auto"/>
          <w:sz w:val="24"/>
          <w:highlight w:val="none"/>
        </w:rPr>
        <w:t>：</w:t>
      </w:r>
    </w:p>
    <w:p>
      <w:pPr>
        <w:pStyle w:val="8"/>
        <w:spacing w:line="500" w:lineRule="exact"/>
        <w:ind w:right="-483" w:rightChars="-230"/>
        <w:outlineLvl w:val="1"/>
        <w:rPr>
          <w:rFonts w:hint="eastAsia" w:ascii="仿宋" w:hAnsi="仿宋" w:eastAsia="仿宋" w:cs="仿宋"/>
          <w:color w:val="auto"/>
          <w:sz w:val="24"/>
          <w:highlight w:val="none"/>
        </w:rPr>
      </w:pPr>
      <w:bookmarkStart w:id="21" w:name="_Toc1353"/>
      <w:r>
        <w:rPr>
          <w:rFonts w:hint="eastAsia" w:ascii="仿宋" w:hAnsi="仿宋" w:eastAsia="仿宋" w:cs="仿宋"/>
          <w:color w:val="auto"/>
          <w:sz w:val="24"/>
          <w:highlight w:val="none"/>
        </w:rPr>
        <w:t>1.时间：2018年1月24日09时00分至09时30分（北京时间）</w:t>
      </w:r>
      <w:bookmarkEnd w:id="21"/>
    </w:p>
    <w:p>
      <w:pPr>
        <w:pStyle w:val="8"/>
        <w:spacing w:line="500" w:lineRule="exact"/>
        <w:ind w:right="-483" w:rightChars="-230"/>
        <w:outlineLvl w:val="1"/>
        <w:rPr>
          <w:rFonts w:hint="eastAsia" w:ascii="仿宋" w:hAnsi="仿宋" w:eastAsia="仿宋" w:cs="仿宋"/>
          <w:color w:val="auto"/>
          <w:sz w:val="24"/>
          <w:highlight w:val="none"/>
        </w:rPr>
      </w:pPr>
      <w:bookmarkStart w:id="22" w:name="_Toc4999"/>
      <w:r>
        <w:rPr>
          <w:rFonts w:hint="eastAsia" w:ascii="仿宋" w:hAnsi="仿宋" w:eastAsia="仿宋" w:cs="仿宋"/>
          <w:color w:val="auto"/>
          <w:sz w:val="24"/>
          <w:highlight w:val="none"/>
        </w:rPr>
        <w:t>2.地点：济南市高新区工业南路59号中铁财智中心6号楼15层开标室</w:t>
      </w:r>
      <w:bookmarkEnd w:id="22"/>
    </w:p>
    <w:p>
      <w:pPr>
        <w:pStyle w:val="8"/>
        <w:spacing w:line="500" w:lineRule="exact"/>
        <w:ind w:right="-483" w:rightChars="-230"/>
        <w:outlineLvl w:val="1"/>
        <w:rPr>
          <w:rFonts w:hint="eastAsia" w:ascii="仿宋" w:hAnsi="仿宋" w:eastAsia="仿宋" w:cs="仿宋"/>
          <w:b/>
          <w:bCs/>
          <w:color w:val="auto"/>
          <w:sz w:val="24"/>
          <w:highlight w:val="none"/>
        </w:rPr>
      </w:pPr>
      <w:bookmarkStart w:id="23" w:name="_Toc29219"/>
      <w:r>
        <w:rPr>
          <w:rFonts w:hint="eastAsia" w:ascii="仿宋" w:hAnsi="仿宋" w:eastAsia="仿宋" w:cs="仿宋"/>
          <w:b/>
          <w:bCs/>
          <w:color w:val="auto"/>
          <w:sz w:val="24"/>
          <w:highlight w:val="none"/>
        </w:rPr>
        <w:t>六、开标时间及地点</w:t>
      </w:r>
      <w:bookmarkEnd w:id="23"/>
      <w:r>
        <w:rPr>
          <w:rFonts w:hint="eastAsia" w:ascii="仿宋" w:hAnsi="仿宋" w:eastAsia="仿宋" w:cs="仿宋"/>
          <w:b/>
          <w:bCs/>
          <w:color w:val="auto"/>
          <w:sz w:val="24"/>
          <w:highlight w:val="none"/>
        </w:rPr>
        <w:t>：</w:t>
      </w:r>
    </w:p>
    <w:p>
      <w:pPr>
        <w:pStyle w:val="6"/>
        <w:spacing w:line="500" w:lineRule="exact"/>
        <w:ind w:right="-483" w:rightChars="-230"/>
        <w:outlineLvl w:val="1"/>
        <w:rPr>
          <w:rFonts w:hint="eastAsia" w:ascii="仿宋" w:hAnsi="仿宋" w:eastAsia="仿宋" w:cs="仿宋"/>
          <w:color w:val="auto"/>
          <w:sz w:val="24"/>
          <w:highlight w:val="none"/>
        </w:rPr>
      </w:pPr>
      <w:bookmarkStart w:id="24" w:name="_Toc1341"/>
      <w:r>
        <w:rPr>
          <w:rFonts w:hint="eastAsia" w:ascii="仿宋" w:hAnsi="仿宋" w:eastAsia="仿宋" w:cs="仿宋"/>
          <w:color w:val="auto"/>
          <w:sz w:val="24"/>
          <w:highlight w:val="none"/>
        </w:rPr>
        <w:t>1.时间：2018年1月24日09时30分（北京时间）</w:t>
      </w:r>
      <w:bookmarkEnd w:id="24"/>
    </w:p>
    <w:p>
      <w:pPr>
        <w:pStyle w:val="6"/>
        <w:spacing w:line="500" w:lineRule="exact"/>
        <w:ind w:right="-483" w:rightChars="-230"/>
        <w:outlineLvl w:val="1"/>
        <w:rPr>
          <w:rFonts w:hint="eastAsia" w:ascii="仿宋" w:hAnsi="仿宋" w:eastAsia="仿宋" w:cs="仿宋"/>
          <w:color w:val="auto"/>
          <w:sz w:val="24"/>
          <w:highlight w:val="none"/>
        </w:rPr>
      </w:pPr>
      <w:bookmarkStart w:id="25" w:name="_Toc7764"/>
      <w:r>
        <w:rPr>
          <w:rFonts w:hint="eastAsia" w:ascii="仿宋" w:hAnsi="仿宋" w:eastAsia="仿宋" w:cs="仿宋"/>
          <w:color w:val="auto"/>
          <w:sz w:val="24"/>
          <w:highlight w:val="none"/>
        </w:rPr>
        <w:t>2.地点：济南市高新区工业南路59号中铁财智中心6号楼15层开标室</w:t>
      </w:r>
      <w:bookmarkEnd w:id="25"/>
    </w:p>
    <w:p>
      <w:pPr>
        <w:adjustRightInd w:val="0"/>
        <w:snapToGrid w:val="0"/>
        <w:spacing w:line="500" w:lineRule="exact"/>
        <w:outlineLvl w:val="1"/>
        <w:rPr>
          <w:rFonts w:hint="eastAsia" w:ascii="仿宋" w:hAnsi="仿宋" w:eastAsia="仿宋" w:cs="仿宋"/>
          <w:b/>
          <w:bCs/>
          <w:color w:val="auto"/>
          <w:sz w:val="24"/>
          <w:highlight w:val="none"/>
        </w:rPr>
      </w:pPr>
      <w:bookmarkStart w:id="26" w:name="_Toc32333"/>
      <w:r>
        <w:rPr>
          <w:rFonts w:hint="eastAsia" w:ascii="仿宋" w:hAnsi="仿宋" w:eastAsia="仿宋" w:cs="仿宋"/>
          <w:b/>
          <w:bCs/>
          <w:color w:val="auto"/>
          <w:sz w:val="24"/>
          <w:highlight w:val="none"/>
        </w:rPr>
        <w:t>七、联系方式：</w:t>
      </w:r>
      <w:bookmarkEnd w:id="26"/>
    </w:p>
    <w:p>
      <w:pPr>
        <w:shd w:val="clear" w:color="auto" w:fill="FFFFFF"/>
        <w:spacing w:line="500" w:lineRule="exact"/>
        <w:ind w:firstLine="480" w:firstLineChars="200"/>
        <w:outlineLvl w:val="1"/>
        <w:rPr>
          <w:rFonts w:hint="eastAsia" w:ascii="仿宋" w:hAnsi="仿宋" w:eastAsia="仿宋" w:cs="仿宋"/>
          <w:color w:val="auto"/>
          <w:sz w:val="24"/>
          <w:highlight w:val="none"/>
          <w:u w:val="single"/>
          <w:lang w:val="zh-CN"/>
        </w:rPr>
      </w:pPr>
      <w:bookmarkStart w:id="27" w:name="_Toc13654"/>
      <w:r>
        <w:rPr>
          <w:rFonts w:hint="eastAsia" w:ascii="仿宋" w:hAnsi="仿宋" w:eastAsia="仿宋" w:cs="仿宋"/>
          <w:color w:val="auto"/>
          <w:sz w:val="24"/>
          <w:highlight w:val="none"/>
        </w:rPr>
        <w:t>1.采购人：</w:t>
      </w:r>
      <w:r>
        <w:rPr>
          <w:rFonts w:hint="eastAsia" w:ascii="仿宋" w:hAnsi="仿宋" w:eastAsia="仿宋" w:cs="仿宋"/>
          <w:color w:val="auto"/>
          <w:sz w:val="24"/>
          <w:highlight w:val="none"/>
          <w:u w:val="single"/>
          <w:lang w:val="zh-CN"/>
        </w:rPr>
        <w:t>济南高新技术产业开发区管理委员会舜华路街道办事处</w:t>
      </w:r>
      <w:bookmarkEnd w:id="27"/>
      <w:r>
        <w:rPr>
          <w:rFonts w:hint="eastAsia" w:ascii="仿宋" w:hAnsi="仿宋" w:eastAsia="仿宋" w:cs="仿宋"/>
          <w:color w:val="auto"/>
          <w:sz w:val="24"/>
          <w:highlight w:val="none"/>
          <w:u w:val="single"/>
          <w:lang w:val="zh-CN"/>
        </w:rPr>
        <w:t xml:space="preserve"> </w:t>
      </w:r>
    </w:p>
    <w:p>
      <w:pPr>
        <w:adjustRightInd w:val="0"/>
        <w:snapToGrid w:val="0"/>
        <w:spacing w:line="500" w:lineRule="exact"/>
        <w:ind w:firstLine="720" w:firstLineChars="300"/>
        <w:outlineLvl w:val="1"/>
        <w:rPr>
          <w:rFonts w:hint="eastAsia" w:ascii="仿宋" w:hAnsi="仿宋" w:eastAsia="仿宋" w:cs="仿宋"/>
          <w:color w:val="auto"/>
          <w:sz w:val="24"/>
          <w:highlight w:val="none"/>
          <w:u w:val="single"/>
          <w:lang w:val="en-US" w:eastAsia="zh-CN"/>
        </w:rPr>
      </w:pPr>
      <w:bookmarkStart w:id="28" w:name="_Toc16718"/>
      <w:r>
        <w:rPr>
          <w:rFonts w:hint="eastAsia" w:ascii="仿宋" w:hAnsi="仿宋" w:eastAsia="仿宋" w:cs="仿宋"/>
          <w:color w:val="auto"/>
          <w:sz w:val="24"/>
          <w:highlight w:val="none"/>
          <w:lang w:val="zh-CN"/>
        </w:rPr>
        <w:t>联系人：</w:t>
      </w:r>
      <w:r>
        <w:rPr>
          <w:rFonts w:hint="eastAsia" w:ascii="仿宋" w:hAnsi="仿宋" w:eastAsia="仿宋" w:cs="仿宋"/>
          <w:color w:val="auto"/>
          <w:sz w:val="24"/>
          <w:highlight w:val="none"/>
          <w:u w:val="single"/>
          <w:lang w:val="zh-CN"/>
        </w:rPr>
        <w:t>张老师</w:t>
      </w:r>
      <w:bookmarkEnd w:id="28"/>
      <w:r>
        <w:rPr>
          <w:rFonts w:hint="eastAsia" w:ascii="仿宋" w:hAnsi="仿宋" w:eastAsia="仿宋" w:cs="仿宋"/>
          <w:color w:val="auto"/>
          <w:sz w:val="24"/>
          <w:highlight w:val="none"/>
          <w:u w:val="none"/>
          <w:lang w:val="zh-CN"/>
        </w:rPr>
        <w:t xml:space="preserve"> </w:t>
      </w:r>
      <w:bookmarkStart w:id="29" w:name="_Toc10337"/>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lang w:val="zh-CN"/>
        </w:rPr>
        <w:t>电话（传真）：</w:t>
      </w:r>
      <w:bookmarkEnd w:id="29"/>
      <w:r>
        <w:rPr>
          <w:rFonts w:hint="eastAsia" w:ascii="仿宋" w:hAnsi="仿宋" w:eastAsia="仿宋" w:cs="仿宋"/>
          <w:color w:val="auto"/>
          <w:sz w:val="24"/>
          <w:highlight w:val="none"/>
          <w:lang w:val="zh-CN"/>
        </w:rPr>
        <w:t>88723080</w:t>
      </w:r>
    </w:p>
    <w:p>
      <w:pPr>
        <w:adjustRightInd w:val="0"/>
        <w:snapToGrid w:val="0"/>
        <w:spacing w:line="500" w:lineRule="exact"/>
        <w:ind w:firstLine="480" w:firstLineChars="200"/>
        <w:outlineLvl w:val="1"/>
        <w:rPr>
          <w:rFonts w:hint="eastAsia" w:ascii="仿宋" w:hAnsi="仿宋" w:eastAsia="仿宋" w:cs="仿宋"/>
          <w:color w:val="auto"/>
          <w:sz w:val="24"/>
          <w:highlight w:val="none"/>
          <w:u w:val="single"/>
          <w:lang w:val="zh-CN"/>
        </w:rPr>
      </w:pPr>
      <w:bookmarkStart w:id="30" w:name="_Toc14248"/>
      <w:r>
        <w:rPr>
          <w:rFonts w:hint="eastAsia" w:ascii="仿宋" w:hAnsi="仿宋" w:eastAsia="仿宋" w:cs="仿宋"/>
          <w:color w:val="auto"/>
          <w:sz w:val="24"/>
          <w:highlight w:val="none"/>
        </w:rPr>
        <w:t>2.采购代理机构：</w:t>
      </w:r>
      <w:r>
        <w:rPr>
          <w:rFonts w:hint="eastAsia" w:ascii="仿宋" w:hAnsi="仿宋" w:eastAsia="仿宋" w:cs="仿宋"/>
          <w:color w:val="auto"/>
          <w:sz w:val="24"/>
          <w:highlight w:val="none"/>
          <w:u w:val="single"/>
          <w:lang w:val="zh-CN"/>
        </w:rPr>
        <w:t>山东蓝盾招标代理有限公司</w:t>
      </w:r>
      <w:bookmarkEnd w:id="30"/>
      <w:r>
        <w:rPr>
          <w:rFonts w:hint="eastAsia" w:ascii="仿宋" w:hAnsi="仿宋" w:eastAsia="仿宋" w:cs="仿宋"/>
          <w:color w:val="auto"/>
          <w:sz w:val="24"/>
          <w:highlight w:val="none"/>
          <w:u w:val="single"/>
          <w:lang w:val="zh-CN"/>
        </w:rPr>
        <w:t xml:space="preserve">    </w:t>
      </w:r>
    </w:p>
    <w:p>
      <w:pPr>
        <w:adjustRightInd w:val="0"/>
        <w:snapToGrid w:val="0"/>
        <w:spacing w:line="500" w:lineRule="exact"/>
        <w:ind w:firstLine="720" w:firstLineChars="300"/>
        <w:outlineLvl w:val="1"/>
        <w:rPr>
          <w:rFonts w:hint="eastAsia" w:ascii="仿宋" w:hAnsi="仿宋" w:eastAsia="仿宋" w:cs="仿宋"/>
          <w:color w:val="auto"/>
          <w:sz w:val="24"/>
          <w:highlight w:val="none"/>
          <w:lang w:val="zh-CN"/>
        </w:rPr>
      </w:pPr>
      <w:bookmarkStart w:id="31" w:name="_Toc19457"/>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济南市高新区工业南路59号中铁财智中心6号楼15层</w:t>
      </w:r>
      <w:bookmarkEnd w:id="31"/>
      <w:r>
        <w:rPr>
          <w:rFonts w:hint="eastAsia" w:ascii="仿宋" w:hAnsi="仿宋" w:eastAsia="仿宋" w:cs="仿宋"/>
          <w:color w:val="auto"/>
          <w:sz w:val="24"/>
          <w:highlight w:val="none"/>
          <w:u w:val="single"/>
          <w:lang w:val="zh-CN"/>
        </w:rPr>
        <w:t xml:space="preserve">  </w:t>
      </w:r>
    </w:p>
    <w:p>
      <w:pPr>
        <w:adjustRightInd w:val="0"/>
        <w:snapToGrid w:val="0"/>
        <w:spacing w:line="500" w:lineRule="exact"/>
        <w:ind w:firstLine="720" w:firstLineChars="300"/>
        <w:outlineLvl w:val="1"/>
        <w:rPr>
          <w:rFonts w:hint="eastAsia" w:ascii="仿宋" w:hAnsi="仿宋" w:eastAsia="仿宋" w:cs="仿宋"/>
          <w:color w:val="auto"/>
          <w:sz w:val="24"/>
          <w:highlight w:val="none"/>
        </w:rPr>
      </w:pPr>
      <w:bookmarkStart w:id="32" w:name="_Toc22871"/>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lang w:val="zh-CN"/>
        </w:rPr>
        <w:t>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越</w:t>
      </w:r>
      <w:bookmarkEnd w:id="32"/>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zh-CN"/>
        </w:rPr>
        <w:t xml:space="preserve">  </w:t>
      </w:r>
      <w:r>
        <w:rPr>
          <w:rFonts w:hint="eastAsia" w:ascii="仿宋" w:hAnsi="仿宋" w:eastAsia="仿宋" w:cs="仿宋"/>
          <w:color w:val="auto"/>
          <w:sz w:val="24"/>
          <w:highlight w:val="none"/>
          <w:u w:val="none"/>
        </w:rPr>
        <w:t xml:space="preserve">  </w:t>
      </w:r>
      <w:bookmarkStart w:id="33" w:name="_Toc24417"/>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lang w:val="zh-CN"/>
        </w:rPr>
        <w:t>联系方式：</w:t>
      </w:r>
      <w:r>
        <w:rPr>
          <w:rFonts w:hint="eastAsia" w:ascii="仿宋" w:hAnsi="仿宋" w:eastAsia="仿宋" w:cs="仿宋"/>
          <w:color w:val="auto"/>
          <w:sz w:val="24"/>
          <w:highlight w:val="none"/>
          <w:u w:val="single"/>
          <w:lang w:val="zh-CN"/>
        </w:rPr>
        <w:t>0531-</w:t>
      </w:r>
      <w:r>
        <w:rPr>
          <w:rFonts w:hint="eastAsia" w:ascii="仿宋" w:hAnsi="仿宋" w:eastAsia="仿宋" w:cs="仿宋"/>
          <w:color w:val="auto"/>
          <w:sz w:val="24"/>
          <w:highlight w:val="none"/>
          <w:u w:val="single"/>
        </w:rPr>
        <w:t>88809761转8014</w:t>
      </w:r>
      <w:bookmarkEnd w:id="33"/>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rPr>
        <w:t xml:space="preserve"> </w:t>
      </w:r>
    </w:p>
    <w:p>
      <w:pPr>
        <w:adjustRightInd w:val="0"/>
        <w:snapToGrid w:val="0"/>
        <w:spacing w:line="500" w:lineRule="exact"/>
        <w:jc w:val="righ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34" w:name="_Toc23442"/>
      <w:r>
        <w:rPr>
          <w:rFonts w:hint="eastAsia" w:ascii="仿宋" w:hAnsi="仿宋" w:eastAsia="仿宋" w:cs="仿宋"/>
          <w:color w:val="auto"/>
          <w:sz w:val="24"/>
          <w:highlight w:val="none"/>
        </w:rPr>
        <w:t>发布人：山东蓝盾招标代理有限公司</w:t>
      </w:r>
      <w:bookmarkEnd w:id="34"/>
    </w:p>
    <w:p>
      <w:pPr>
        <w:spacing w:line="500" w:lineRule="exact"/>
        <w:jc w:val="right"/>
        <w:outlineLvl w:val="1"/>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36" w:name="_GoBack"/>
      <w:bookmarkEnd w:id="36"/>
      <w:r>
        <w:rPr>
          <w:rFonts w:hint="eastAsia" w:ascii="仿宋" w:hAnsi="仿宋" w:eastAsia="仿宋" w:cs="仿宋"/>
          <w:color w:val="auto"/>
          <w:highlight w:val="none"/>
        </w:rPr>
        <w:t xml:space="preserve">  </w:t>
      </w:r>
      <w:bookmarkStart w:id="35" w:name="_Toc12996"/>
      <w:r>
        <w:rPr>
          <w:rFonts w:hint="eastAsia" w:ascii="仿宋" w:hAnsi="仿宋" w:eastAsia="仿宋" w:cs="仿宋"/>
          <w:color w:val="auto"/>
          <w:sz w:val="24"/>
          <w:highlight w:val="none"/>
        </w:rPr>
        <w:t>2018年1月9日</w:t>
      </w:r>
      <w:bookmarkEnd w:id="3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B76AA"/>
    <w:rsid w:val="3E350AAD"/>
    <w:rsid w:val="461B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7">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8">
    <w:name w:val="_Style 0"/>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2019-01-27T04:33:00Z</dcterms:created>
  <dc:creator>虫虫</dc:creator>
  <cp:lastModifiedBy>虫虫</cp:lastModifiedBy>
  <dcterms:modified xsi:type="dcterms:W3CDTF">2019-01-27T04:34:02Z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