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济南市消防支队章丘区大队图文制作定点入围项目</w:t>
      </w:r>
    </w:p>
    <w:p>
      <w:pPr>
        <w:pStyle w:val="22"/>
        <w:ind w:left="0" w:leftChars="0" w:firstLine="0" w:firstLineChars="0"/>
        <w:rPr>
          <w:rFonts w:hint="eastAsia" w:ascii="宋体" w:hAnsi="宋体" w:eastAsia="宋体" w:cs="宋体"/>
          <w:b/>
          <w:color w:val="auto"/>
          <w:sz w:val="52"/>
          <w:highlight w:val="none"/>
        </w:rPr>
      </w:pPr>
    </w:p>
    <w:p>
      <w:pPr>
        <w:spacing w:line="0" w:lineRule="atLeast"/>
        <w:jc w:val="center"/>
        <w:rPr>
          <w:rFonts w:hint="eastAsia" w:ascii="宋体" w:hAnsi="宋体" w:eastAsia="宋体" w:cs="宋体"/>
          <w:color w:val="auto"/>
          <w:sz w:val="24"/>
          <w:highlight w:val="none"/>
        </w:rPr>
      </w:pPr>
      <w:r>
        <w:rPr>
          <w:rFonts w:hint="eastAsia" w:ascii="宋体" w:hAnsi="宋体" w:cs="宋体"/>
          <w:b/>
          <w:color w:val="auto"/>
          <w:sz w:val="84"/>
          <w:szCs w:val="84"/>
          <w:highlight w:val="none"/>
          <w:lang w:eastAsia="zh-CN"/>
        </w:rPr>
        <w:t>招标</w:t>
      </w:r>
      <w:r>
        <w:rPr>
          <w:rFonts w:hint="eastAsia" w:ascii="宋体" w:hAnsi="宋体" w:eastAsia="宋体" w:cs="宋体"/>
          <w:b/>
          <w:color w:val="auto"/>
          <w:sz w:val="84"/>
          <w:szCs w:val="84"/>
          <w:highlight w:val="none"/>
        </w:rPr>
        <w:t>文件</w:t>
      </w:r>
    </w:p>
    <w:p>
      <w:pPr>
        <w:spacing w:line="200" w:lineRule="exact"/>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drawing>
          <wp:anchor distT="0" distB="0" distL="0" distR="0" simplePos="0" relativeHeight="1024" behindDoc="0" locked="0" layoutInCell="1" allowOverlap="1">
            <wp:simplePos x="0" y="0"/>
            <wp:positionH relativeFrom="column">
              <wp:posOffset>1143000</wp:posOffset>
            </wp:positionH>
            <wp:positionV relativeFrom="paragraph">
              <wp:posOffset>56515</wp:posOffset>
            </wp:positionV>
            <wp:extent cx="2665095" cy="2520315"/>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5" cstate="print"/>
                    <a:srcRect/>
                    <a:stretch>
                      <a:fillRect/>
                    </a:stretch>
                  </pic:blipFill>
                  <pic:spPr>
                    <a:xfrm>
                      <a:off x="0" y="0"/>
                      <a:ext cx="2665095" cy="2520315"/>
                    </a:xfrm>
                    <a:prstGeom prst="rect">
                      <a:avLst/>
                    </a:prstGeom>
                    <a:ln>
                      <a:noFill/>
                    </a:ln>
                  </pic:spPr>
                </pic:pic>
              </a:graphicData>
            </a:graphic>
          </wp:anchor>
        </w:drawing>
      </w:r>
      <w:r>
        <w:rPr>
          <w:rFonts w:hint="eastAsia" w:ascii="宋体" w:hAnsi="宋体" w:eastAsia="宋体" w:cs="宋体"/>
          <w:b/>
          <w:color w:val="auto"/>
          <w:sz w:val="32"/>
          <w:szCs w:val="32"/>
          <w:highlight w:val="none"/>
        </w:rPr>
        <w:drawing>
          <wp:inline distT="0" distB="0" distL="0" distR="0">
            <wp:extent cx="2579370" cy="2501900"/>
            <wp:effectExtent l="0" t="0" r="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5" cstate="print"/>
                    <a:srcRect/>
                    <a:stretch>
                      <a:fillRect/>
                    </a:stretch>
                  </pic:blipFill>
                  <pic:spPr>
                    <a:xfrm>
                      <a:off x="0" y="0"/>
                      <a:ext cx="2579370" cy="2501900"/>
                    </a:xfrm>
                    <a:prstGeom prst="rect">
                      <a:avLst/>
                    </a:prstGeom>
                    <a:ln>
                      <a:noFill/>
                    </a:ln>
                  </pic:spPr>
                </pic:pic>
              </a:graphicData>
            </a:graphic>
          </wp:inline>
        </w:drawing>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drawing>
          <wp:inline distT="0" distB="0" distL="0" distR="0">
            <wp:extent cx="2579370" cy="2406650"/>
            <wp:effectExtent l="0" t="0" r="0" b="0"/>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5" cstate="print"/>
                    <a:srcRect/>
                    <a:stretch>
                      <a:fillRect/>
                    </a:stretch>
                  </pic:blipFill>
                  <pic:spPr>
                    <a:xfrm>
                      <a:off x="0" y="0"/>
                      <a:ext cx="2579370" cy="2406650"/>
                    </a:xfrm>
                    <a:prstGeom prst="rect">
                      <a:avLst/>
                    </a:prstGeom>
                    <a:ln>
                      <a:noFill/>
                    </a:ln>
                  </pic:spPr>
                </pic:pic>
              </a:graphicData>
            </a:graphic>
          </wp:inline>
        </w:drawing>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39" w:lineRule="auto"/>
        <w:ind w:left="1980"/>
        <w:rPr>
          <w:rFonts w:hint="eastAsia" w:ascii="宋体" w:hAnsi="宋体" w:eastAsia="宋体" w:cs="宋体"/>
          <w:b/>
          <w:color w:val="auto"/>
          <w:sz w:val="32"/>
          <w:szCs w:val="32"/>
          <w:highlight w:val="none"/>
        </w:rPr>
      </w:pPr>
    </w:p>
    <w:p>
      <w:pPr>
        <w:spacing w:line="239" w:lineRule="auto"/>
        <w:ind w:left="1980"/>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val="en-US" w:eastAsia="zh-CN"/>
        </w:rPr>
        <w:t>SDLD</w:t>
      </w:r>
      <w:r>
        <w:rPr>
          <w:rFonts w:hint="eastAsia" w:ascii="宋体" w:hAnsi="宋体" w:eastAsia="宋体" w:cs="宋体"/>
          <w:b/>
          <w:color w:val="auto"/>
          <w:sz w:val="32"/>
          <w:szCs w:val="32"/>
          <w:highlight w:val="none"/>
          <w:lang w:val="en-US" w:eastAsia="zh-CN"/>
        </w:rPr>
        <w:t>2019</w:t>
      </w:r>
      <w:r>
        <w:rPr>
          <w:rFonts w:hint="eastAsia" w:ascii="宋体" w:hAnsi="宋体" w:cs="宋体"/>
          <w:b/>
          <w:color w:val="auto"/>
          <w:sz w:val="32"/>
          <w:szCs w:val="32"/>
          <w:highlight w:val="none"/>
          <w:lang w:val="en-US" w:eastAsia="zh-CN"/>
        </w:rPr>
        <w:t>GK006</w:t>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keepNext w:val="0"/>
        <w:keepLines w:val="0"/>
        <w:pageBreakBefore w:val="0"/>
        <w:widowControl/>
        <w:tabs>
          <w:tab w:val="left" w:pos="95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color w:val="auto"/>
          <w:sz w:val="32"/>
          <w:szCs w:val="32"/>
          <w:highlight w:val="none"/>
          <w:lang w:eastAsia="zh-CN"/>
        </w:rPr>
      </w:pPr>
    </w:p>
    <w:p>
      <w:pPr>
        <w:keepNext w:val="0"/>
        <w:keepLines w:val="0"/>
        <w:pageBreakBefore w:val="0"/>
        <w:widowControl/>
        <w:tabs>
          <w:tab w:val="left" w:pos="950"/>
        </w:tabs>
        <w:kinsoku/>
        <w:wordWrap/>
        <w:overflowPunct/>
        <w:topLinePunct w:val="0"/>
        <w:autoSpaceDE/>
        <w:autoSpaceDN/>
        <w:bidi w:val="0"/>
        <w:adjustRightInd/>
        <w:snapToGrid/>
        <w:spacing w:line="360" w:lineRule="auto"/>
        <w:ind w:firstLine="1285" w:firstLineChars="400"/>
        <w:jc w:val="left"/>
        <w:textAlignment w:val="auto"/>
        <w:outlineLvl w:val="9"/>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招</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标</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人</w:t>
      </w:r>
      <w:r>
        <w:rPr>
          <w:rFonts w:hint="eastAsia" w:ascii="宋体" w:hAnsi="宋体" w:eastAsia="宋体" w:cs="宋体"/>
          <w:b/>
          <w:color w:val="auto"/>
          <w:sz w:val="32"/>
          <w:szCs w:val="32"/>
          <w:highlight w:val="none"/>
          <w:lang w:eastAsia="zh-CN"/>
        </w:rPr>
        <w:t>：</w:t>
      </w:r>
      <w:r>
        <w:rPr>
          <w:rFonts w:hint="eastAsia" w:ascii="宋体" w:hAnsi="宋体" w:cs="宋体"/>
          <w:b/>
          <w:color w:val="auto"/>
          <w:sz w:val="32"/>
          <w:szCs w:val="32"/>
          <w:highlight w:val="none"/>
          <w:lang w:eastAsia="zh-CN"/>
        </w:rPr>
        <w:t>济南市消防支队章丘区大队</w:t>
      </w:r>
    </w:p>
    <w:p>
      <w:pPr>
        <w:keepNext w:val="0"/>
        <w:keepLines w:val="0"/>
        <w:pageBreakBefore w:val="0"/>
        <w:widowControl/>
        <w:kinsoku/>
        <w:wordWrap/>
        <w:overflowPunct/>
        <w:topLinePunct w:val="0"/>
        <w:autoSpaceDE/>
        <w:autoSpaceDN/>
        <w:bidi w:val="0"/>
        <w:adjustRightInd/>
        <w:snapToGrid/>
        <w:spacing w:line="360" w:lineRule="auto"/>
        <w:ind w:left="920" w:firstLine="321" w:firstLineChars="100"/>
        <w:textAlignment w:val="auto"/>
        <w:outlineLvl w:val="9"/>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代 理 机 构：</w:t>
      </w:r>
      <w:r>
        <w:rPr>
          <w:rFonts w:hint="eastAsia" w:ascii="宋体" w:hAnsi="宋体" w:eastAsia="宋体" w:cs="宋体"/>
          <w:b/>
          <w:color w:val="auto"/>
          <w:sz w:val="32"/>
          <w:szCs w:val="32"/>
          <w:highlight w:val="none"/>
          <w:lang w:eastAsia="zh-CN"/>
        </w:rPr>
        <w:t>山东蓝盾招标代理有限公司</w:t>
      </w:r>
    </w:p>
    <w:p>
      <w:pPr>
        <w:keepNext w:val="0"/>
        <w:keepLines w:val="0"/>
        <w:pageBreakBefore w:val="0"/>
        <w:widowControl/>
        <w:tabs>
          <w:tab w:val="left" w:pos="2360"/>
        </w:tabs>
        <w:kinsoku/>
        <w:wordWrap/>
        <w:overflowPunct/>
        <w:topLinePunct w:val="0"/>
        <w:autoSpaceDE/>
        <w:autoSpaceDN/>
        <w:bidi w:val="0"/>
        <w:adjustRightInd/>
        <w:snapToGrid/>
        <w:spacing w:line="360" w:lineRule="auto"/>
        <w:ind w:left="920" w:firstLine="321" w:firstLineChars="100"/>
        <w:textAlignment w:val="auto"/>
        <w:outlineLvl w:val="9"/>
        <w:rPr>
          <w:rFonts w:hint="eastAsia" w:ascii="宋体" w:hAnsi="宋体" w:eastAsia="宋体" w:cs="宋体"/>
          <w:b/>
          <w:color w:val="auto"/>
          <w:sz w:val="32"/>
          <w:szCs w:val="32"/>
          <w:highlight w:val="none"/>
          <w:lang w:val="en-US"/>
        </w:rPr>
        <w:sectPr>
          <w:headerReference r:id="rId4" w:type="first"/>
          <w:footerReference r:id="rId5" w:type="first"/>
          <w:headerReference r:id="rId3" w:type="default"/>
          <w:pgSz w:w="11900" w:h="16840"/>
          <w:pgMar w:top="1440" w:right="1660" w:bottom="1440" w:left="1760" w:header="567" w:footer="567" w:gutter="0"/>
          <w:pgBorders>
            <w:top w:val="none" w:sz="0" w:space="0"/>
            <w:left w:val="none" w:sz="0" w:space="0"/>
            <w:bottom w:val="none" w:sz="0" w:space="0"/>
            <w:right w:val="none" w:sz="0" w:space="0"/>
          </w:pgBorders>
          <w:pgNumType w:fmt="decimal" w:start="1"/>
          <w:cols w:equalWidth="0" w:num="1">
            <w:col w:w="8480"/>
          </w:cols>
          <w:docGrid w:linePitch="360" w:charSpace="0"/>
        </w:sectPr>
      </w:pPr>
      <w:r>
        <w:rPr>
          <w:rFonts w:hint="eastAsia" w:ascii="宋体" w:hAnsi="宋体" w:eastAsia="宋体" w:cs="宋体"/>
          <w:b/>
          <w:color w:val="auto"/>
          <w:sz w:val="32"/>
          <w:szCs w:val="32"/>
          <w:highlight w:val="none"/>
        </w:rPr>
        <w:t>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 xml:space="preserve">  </w:t>
      </w:r>
      <w:r>
        <w:rPr>
          <w:rFonts w:hint="eastAsia" w:ascii="宋体" w:hAnsi="宋体" w:eastAsia="宋体" w:cs="宋体"/>
          <w:b/>
          <w:color w:val="auto"/>
          <w:sz w:val="32"/>
          <w:szCs w:val="32"/>
          <w:highlight w:val="none"/>
        </w:rPr>
        <w:t>期: 二〇一</w:t>
      </w:r>
      <w:r>
        <w:rPr>
          <w:rFonts w:hint="eastAsia" w:ascii="宋体" w:hAnsi="宋体" w:eastAsia="宋体" w:cs="宋体"/>
          <w:b/>
          <w:color w:val="auto"/>
          <w:sz w:val="32"/>
          <w:szCs w:val="32"/>
          <w:highlight w:val="none"/>
          <w:lang w:eastAsia="zh-CN"/>
        </w:rPr>
        <w:t>九</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四月</w:t>
      </w:r>
    </w:p>
    <w:p>
      <w:pPr>
        <w:tabs>
          <w:tab w:val="left" w:pos="1080"/>
        </w:tabs>
        <w:snapToGrid w:val="0"/>
        <w:spacing w:line="240" w:lineRule="auto"/>
        <w:jc w:val="center"/>
        <w:rPr>
          <w:rFonts w:hint="eastAsia" w:ascii="宋体" w:hAnsi="宋体"/>
          <w:b/>
          <w:bCs w:val="0"/>
          <w:sz w:val="36"/>
          <w:szCs w:val="36"/>
        </w:rPr>
      </w:pPr>
      <w:r>
        <w:rPr>
          <w:rFonts w:hint="eastAsia" w:ascii="宋体" w:hAnsi="宋体"/>
          <w:b/>
          <w:bCs w:val="0"/>
          <w:sz w:val="36"/>
          <w:szCs w:val="36"/>
        </w:rPr>
        <w:t>目  录</w:t>
      </w:r>
    </w:p>
    <w:sdt>
      <w:sdtPr>
        <w:rPr>
          <w:rFonts w:ascii="宋体" w:hAnsi="宋体" w:eastAsia="宋体" w:cs="Times New Roman"/>
          <w:sz w:val="21"/>
        </w:rPr>
        <w:id w:val="147466193"/>
        <w:docPartObj>
          <w:docPartGallery w:val="Table of Contents"/>
          <w:docPartUnique/>
        </w:docPartObj>
      </w:sdtPr>
      <w:sdtEndPr>
        <w:rPr>
          <w:rFonts w:hint="eastAsia" w:ascii="宋体" w:hAnsi="宋体" w:eastAsia="宋体" w:cs="宋体"/>
          <w:sz w:val="24"/>
          <w:szCs w:val="24"/>
        </w:rPr>
      </w:sdtEndPr>
      <w:sdtContent>
        <w:p>
          <w:pPr>
            <w:spacing w:before="0" w:beforeLines="0" w:after="0" w:afterLines="0" w:line="240" w:lineRule="auto"/>
            <w:ind w:left="0" w:leftChars="0" w:right="0" w:rightChars="0" w:firstLine="0" w:firstLineChars="0"/>
            <w:jc w:val="center"/>
          </w:pP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_Toc5548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_Toc5548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_Toc5995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第二部分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_Toc5995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_Toc20556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一、</w:t>
          </w:r>
          <w:r>
            <w:rPr>
              <w:rFonts w:hint="eastAsia" w:ascii="宋体" w:hAnsi="宋体" w:eastAsia="宋体" w:cs="宋体"/>
              <w:bCs/>
              <w:sz w:val="24"/>
              <w:szCs w:val="24"/>
            </w:rPr>
            <w:t>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_Toc20556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_Toc4673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_Toc4673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_Toc20935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_Toc20935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_Toc24950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_Toc24950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_Toc27731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项目说明及要求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_Toc28650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第四部分 开标、评标、定标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_Toc28650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_Toc17103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_Toc17103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_Toc4755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二、评标委员会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_Toc4755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_Toc26015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三、评标委员会审查投标文件的响应性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_Toc26015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_Toc4710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四、评标委员会进行询标及投标人对投标文件的澄清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_Toc4710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_Toc4988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五、评标原则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_Toc4988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_Toc20075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六、评标方法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_Toc20075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_Toc9660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七、评标纪律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_Toc9660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_Toc32608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_Toc32608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_Toc11228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九、评标过程保密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_Toc11228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_Toc12706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十、投标人瑕疵滞后的处理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_Toc12706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_Toc6225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十一、废标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_Toc6225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_Toc28468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第五部分 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_Toc28468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_Toc12523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_Toc12523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_Toc8982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_Toc8982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_Toc18258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第六部分</w:t>
          </w:r>
          <w:r>
            <w:rPr>
              <w:rFonts w:hint="eastAsia" w:ascii="宋体" w:hAnsi="宋体" w:eastAsia="宋体" w:cs="宋体"/>
              <w:bCs/>
              <w:sz w:val="24"/>
              <w:szCs w:val="24"/>
              <w:highlight w:val="none"/>
              <w:lang w:val="en-US" w:eastAsia="zh-CN"/>
            </w:rPr>
            <w:t xml:space="preserve">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_Toc18258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_Toc18515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w:t>
          </w:r>
          <w:r>
            <w:rPr>
              <w:rFonts w:hint="eastAsia" w:ascii="宋体" w:hAnsi="宋体" w:eastAsia="宋体" w:cs="宋体"/>
              <w:bCs/>
              <w:sz w:val="24"/>
              <w:szCs w:val="24"/>
              <w:highlight w:val="none"/>
            </w:rPr>
            <w:t>一、投  标  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_Toc18515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_Toc8803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_Toc8803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_Toc19046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附件三、法定代表人授权委托书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_Toc19046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附件四、投标保证金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_Toc27114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附件五、开标一览表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_Toc27114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_Toc2773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附件六、报价明细表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_Toc20402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附件七、投标偏离表（商务、技术）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_Toc20402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_Toc18668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eastAsia="zh-CN"/>
            </w:rPr>
            <w:t>八</w:t>
          </w:r>
          <w:r>
            <w:rPr>
              <w:rFonts w:hint="eastAsia" w:ascii="宋体" w:hAnsi="宋体" w:eastAsia="宋体" w:cs="宋体"/>
              <w:sz w:val="24"/>
              <w:szCs w:val="24"/>
            </w:rPr>
            <w:t>、拟投入本项目的人员表（格式）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_Toc18668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_Toc2494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eastAsia="zh-CN"/>
            </w:rPr>
            <w:t>九</w:t>
          </w:r>
          <w:r>
            <w:rPr>
              <w:rFonts w:hint="eastAsia" w:ascii="宋体" w:hAnsi="宋体" w:eastAsia="宋体" w:cs="宋体"/>
              <w:sz w:val="24"/>
              <w:szCs w:val="24"/>
            </w:rPr>
            <w:t>、拟配备设备及物资一览表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_Toc2494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_Toc30201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eastAsia="zh-CN"/>
            </w:rPr>
            <w:t>十</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年1月1日至今完成同类业绩一览表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_Toc30201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_Toc18594 </w:instrText>
          </w:r>
          <w:r>
            <w:rPr>
              <w:rFonts w:hint="eastAsia" w:ascii="宋体" w:hAnsi="宋体" w:eastAsia="宋体" w:cs="宋体"/>
              <w:sz w:val="24"/>
              <w:szCs w:val="24"/>
            </w:rPr>
            <w:fldChar w:fldCharType="separate"/>
          </w:r>
          <w:r>
            <w:rPr>
              <w:rFonts w:hint="eastAsia" w:ascii="宋体" w:hAnsi="宋体" w:eastAsia="宋体" w:cs="宋体"/>
              <w:sz w:val="24"/>
              <w:szCs w:val="24"/>
              <w:lang w:val="en-GB" w:eastAsia="zh-CN"/>
            </w:rPr>
            <w:t>附件十一、投标人概况表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_Toc18594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_Toc24650 </w:instrText>
          </w:r>
          <w:r>
            <w:rPr>
              <w:rFonts w:hint="eastAsia" w:ascii="宋体" w:hAnsi="宋体" w:eastAsia="宋体" w:cs="宋体"/>
              <w:sz w:val="24"/>
              <w:szCs w:val="24"/>
            </w:rPr>
            <w:fldChar w:fldCharType="separate"/>
          </w:r>
          <w:r>
            <w:rPr>
              <w:rFonts w:hint="eastAsia" w:ascii="宋体" w:hAnsi="宋体" w:eastAsia="宋体" w:cs="宋体"/>
              <w:sz w:val="24"/>
              <w:szCs w:val="24"/>
              <w:lang w:val="en-GB" w:eastAsia="zh-CN"/>
            </w:rPr>
            <w:t>附件十二、财务状况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_Toc24650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_Toc10586 </w:instrText>
          </w:r>
          <w:r>
            <w:rPr>
              <w:rFonts w:hint="eastAsia" w:ascii="宋体" w:hAnsi="宋体" w:eastAsia="宋体" w:cs="宋体"/>
              <w:sz w:val="24"/>
              <w:szCs w:val="24"/>
            </w:rPr>
            <w:fldChar w:fldCharType="separate"/>
          </w:r>
          <w:r>
            <w:rPr>
              <w:rFonts w:hint="eastAsia" w:ascii="宋体" w:hAnsi="宋体" w:eastAsia="宋体" w:cs="宋体"/>
              <w:sz w:val="24"/>
              <w:szCs w:val="24"/>
              <w:lang w:val="en-GB" w:eastAsia="zh-CN"/>
            </w:rPr>
            <w:t>附件十三、近三年内，在经营活动中没有重大违法记录的声明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_Toc10586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_Toc8515 </w:instrText>
          </w:r>
          <w:r>
            <w:rPr>
              <w:rFonts w:hint="eastAsia" w:ascii="宋体" w:hAnsi="宋体" w:eastAsia="宋体" w:cs="宋体"/>
              <w:sz w:val="24"/>
              <w:szCs w:val="24"/>
            </w:rPr>
            <w:fldChar w:fldCharType="separate"/>
          </w:r>
          <w:r>
            <w:rPr>
              <w:rFonts w:hint="eastAsia" w:ascii="宋体" w:hAnsi="宋体" w:eastAsia="宋体" w:cs="宋体"/>
              <w:sz w:val="24"/>
              <w:szCs w:val="24"/>
              <w:lang w:val="en-GB" w:eastAsia="zh-CN"/>
            </w:rPr>
            <w:t>附件十四、中小微企业声明函（如有）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_Toc8515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_Toc30378 </w:instrText>
          </w:r>
          <w:r>
            <w:rPr>
              <w:rFonts w:hint="eastAsia" w:ascii="宋体" w:hAnsi="宋体" w:eastAsia="宋体" w:cs="宋体"/>
              <w:sz w:val="24"/>
              <w:szCs w:val="24"/>
            </w:rPr>
            <w:fldChar w:fldCharType="separate"/>
          </w:r>
          <w:r>
            <w:rPr>
              <w:rFonts w:hint="eastAsia" w:ascii="宋体" w:hAnsi="宋体" w:eastAsia="宋体" w:cs="宋体"/>
              <w:sz w:val="24"/>
              <w:szCs w:val="24"/>
              <w:lang w:val="en-GB" w:eastAsia="zh-CN"/>
            </w:rPr>
            <w:t>附件十五、从业人员声明函（如有）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_Toc30378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附件十六、</w:t>
          </w:r>
          <w:r>
            <w:rPr>
              <w:rFonts w:hint="eastAsia" w:ascii="宋体" w:hAnsi="宋体" w:eastAsia="宋体" w:cs="宋体"/>
              <w:sz w:val="24"/>
              <w:szCs w:val="24"/>
            </w:rPr>
            <w:t>政府采购投标担保函 （</w:t>
          </w:r>
          <w:r>
            <w:rPr>
              <w:rFonts w:hint="eastAsia" w:ascii="宋体" w:hAnsi="宋体" w:eastAsia="宋体" w:cs="宋体"/>
              <w:sz w:val="24"/>
              <w:szCs w:val="24"/>
              <w:lang w:eastAsia="zh-CN"/>
            </w:rPr>
            <w:t>如需</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_Toc23494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_Toc26221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附件十七、</w:t>
          </w:r>
          <w:r>
            <w:rPr>
              <w:rFonts w:hint="eastAsia" w:ascii="宋体" w:hAnsi="宋体" w:eastAsia="宋体" w:cs="宋体"/>
              <w:sz w:val="24"/>
              <w:szCs w:val="24"/>
              <w:lang w:val="en-GB" w:eastAsia="zh-CN"/>
            </w:rPr>
            <w:t>封面及密封包格式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_Toc26221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496"/>
            </w:tabs>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附件十八、评分细则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_Toc6838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fldChar w:fldCharType="end"/>
          </w:r>
        </w:p>
      </w:sdtContent>
    </w:sdt>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bookmarkStart w:id="0" w:name="_Toc5548"/>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 xml:space="preserve">第一部分 </w:t>
      </w:r>
      <w:r>
        <w:rPr>
          <w:rFonts w:hint="eastAsia" w:ascii="宋体" w:hAnsi="宋体" w:cs="宋体"/>
          <w:b/>
          <w:color w:val="auto"/>
          <w:sz w:val="36"/>
          <w:szCs w:val="36"/>
          <w:highlight w:val="none"/>
          <w:lang w:eastAsia="zh-CN"/>
        </w:rPr>
        <w:t>公开招标</w:t>
      </w:r>
      <w:r>
        <w:rPr>
          <w:rFonts w:hint="eastAsia" w:ascii="宋体" w:hAnsi="宋体" w:eastAsia="宋体" w:cs="宋体"/>
          <w:b/>
          <w:color w:val="auto"/>
          <w:sz w:val="36"/>
          <w:szCs w:val="36"/>
          <w:highlight w:val="none"/>
        </w:rPr>
        <w:t>公告</w:t>
      </w:r>
      <w:bookmarkEnd w:id="0"/>
    </w:p>
    <w:p>
      <w:pPr>
        <w:widowControl/>
        <w:spacing w:line="360" w:lineRule="auto"/>
        <w:ind w:left="120"/>
        <w:rPr>
          <w:rFonts w:hint="eastAsia" w:ascii="宋体" w:hAnsi="宋体" w:cs="宋体"/>
          <w:b/>
          <w:sz w:val="24"/>
        </w:rPr>
      </w:pPr>
      <w:bookmarkStart w:id="1" w:name="_Toc24943_WPSOffice_Level2"/>
      <w:bookmarkStart w:id="2" w:name="_Toc768_WPSOffice_Level2"/>
      <w:bookmarkStart w:id="3" w:name="_Toc5995"/>
      <w:r>
        <w:rPr>
          <w:rFonts w:hint="eastAsia" w:ascii="宋体" w:hAnsi="宋体" w:cs="宋体"/>
          <w:b/>
          <w:sz w:val="24"/>
        </w:rPr>
        <w:t xml:space="preserve">    山东蓝盾招标代理有限公司接受济南市消防支队章丘区大队委托，根据《中华人民共和国政府采购法》等有关规定，现对济南市消防支队章丘区大队图文制作定点入围项目进行公开招标。欢迎符合投标资格要求的投标人参加投标。</w:t>
      </w:r>
    </w:p>
    <w:p>
      <w:pPr>
        <w:widowControl/>
        <w:spacing w:line="360" w:lineRule="auto"/>
        <w:ind w:left="120"/>
        <w:rPr>
          <w:rFonts w:hint="eastAsia" w:ascii="宋体" w:hAnsi="宋体" w:cs="宋体"/>
          <w:sz w:val="24"/>
        </w:rPr>
      </w:pPr>
      <w:r>
        <w:rPr>
          <w:rFonts w:hint="eastAsia" w:ascii="宋体" w:hAnsi="宋体" w:cs="宋体"/>
          <w:b/>
          <w:sz w:val="24"/>
        </w:rPr>
        <w:t>一、采购人</w:t>
      </w:r>
      <w:r>
        <w:rPr>
          <w:rFonts w:hint="eastAsia" w:ascii="宋体" w:hAnsi="宋体" w:cs="宋体"/>
          <w:sz w:val="24"/>
        </w:rPr>
        <w:t>：</w:t>
      </w:r>
      <w:bookmarkEnd w:id="1"/>
      <w:bookmarkEnd w:id="2"/>
      <w:r>
        <w:rPr>
          <w:rFonts w:hint="eastAsia" w:ascii="宋体" w:hAnsi="宋体" w:cs="宋体"/>
          <w:sz w:val="24"/>
        </w:rPr>
        <w:t>济南市消防支队章丘区大队</w:t>
      </w:r>
    </w:p>
    <w:p>
      <w:pPr>
        <w:widowControl/>
        <w:tabs>
          <w:tab w:val="left" w:pos="1060"/>
        </w:tabs>
        <w:spacing w:line="360" w:lineRule="auto"/>
        <w:ind w:left="600"/>
        <w:rPr>
          <w:rFonts w:hint="eastAsia" w:ascii="宋体" w:hAnsi="宋体" w:cs="宋体"/>
          <w:sz w:val="24"/>
        </w:rPr>
      </w:pPr>
      <w:r>
        <w:rPr>
          <w:rFonts w:hint="eastAsia" w:ascii="宋体" w:hAnsi="宋体" w:cs="宋体"/>
          <w:sz w:val="24"/>
        </w:rPr>
        <w:t>地</w:t>
      </w:r>
      <w:r>
        <w:rPr>
          <w:rFonts w:hint="eastAsia" w:ascii="宋体" w:hAnsi="宋体" w:cs="宋体"/>
          <w:sz w:val="24"/>
        </w:rPr>
        <w:tab/>
      </w:r>
      <w:r>
        <w:rPr>
          <w:rFonts w:hint="eastAsia" w:ascii="宋体" w:hAnsi="宋体" w:cs="宋体"/>
          <w:sz w:val="24"/>
        </w:rPr>
        <w:t>址：济南市章丘区</w:t>
      </w:r>
    </w:p>
    <w:p>
      <w:pPr>
        <w:widowControl/>
        <w:tabs>
          <w:tab w:val="left" w:pos="1060"/>
        </w:tabs>
        <w:spacing w:line="360" w:lineRule="auto"/>
        <w:rPr>
          <w:rFonts w:hint="e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to"/>
        <w:rPr>
          <w:rFonts w:ascii="宋体" w:hAnsi="宋体" w:cs="宋体"/>
          <w:sz w:val="24"/>
        </w:rPr>
      </w:pPr>
      <w:r>
        <w:rPr>
          <w:rFonts w:hint="eastAsia" w:ascii="宋体" w:hAnsi="宋体" w:cs="宋体"/>
          <w:sz w:val="24"/>
        </w:rPr>
        <w:t xml:space="preserve">     联系方式：0531-83323169</w:t>
      </w:r>
    </w:p>
    <w:p>
      <w:pPr>
        <w:widowControl/>
        <w:spacing w:line="360" w:lineRule="auto"/>
        <w:ind w:left="0"/>
        <w:rPr>
          <w:rFonts w:hint="eastAsia" w:ascii="宋体" w:hAnsi="宋体" w:cs="宋体"/>
          <w:sz w:val="24"/>
        </w:rPr>
      </w:pPr>
      <w:r>
        <w:rPr>
          <w:rFonts w:hint="eastAsia" w:ascii="宋体" w:hAnsi="宋体" w:cs="宋体"/>
          <w:b/>
          <w:sz w:val="24"/>
        </w:rPr>
        <w:t>二、采购代理机构：</w:t>
      </w:r>
      <w:r>
        <w:rPr>
          <w:rFonts w:hint="eastAsia" w:ascii="宋体" w:hAnsi="宋体" w:cs="宋体"/>
          <w:sz w:val="24"/>
        </w:rPr>
        <w:t>山东蓝盾招标代理有限公司</w:t>
      </w:r>
    </w:p>
    <w:p>
      <w:pPr>
        <w:widowControl/>
        <w:spacing w:line="360" w:lineRule="auto"/>
        <w:ind w:left="600"/>
        <w:rPr>
          <w:rFonts w:hint="eastAsia" w:ascii="宋体" w:hAnsi="宋体" w:cs="宋体"/>
          <w:sz w:val="24"/>
        </w:rPr>
      </w:pPr>
      <w:r>
        <w:rPr>
          <w:rFonts w:hint="eastAsia" w:ascii="宋体" w:hAnsi="宋体" w:cs="宋体"/>
          <w:sz w:val="24"/>
        </w:rPr>
        <w:t>地址：济南市高新区工业南路59号中铁财智中心6号楼15楼</w:t>
      </w:r>
    </w:p>
    <w:p>
      <w:pPr>
        <w:widowControl/>
        <w:spacing w:line="360" w:lineRule="auto"/>
        <w:ind w:left="600"/>
        <w:rPr>
          <w:rFonts w:hint="eastAsia" w:ascii="宋体" w:hAnsi="宋体" w:cs="宋体"/>
          <w:sz w:val="24"/>
        </w:rPr>
      </w:pPr>
      <w:r>
        <w:rPr>
          <w:rFonts w:hint="eastAsia" w:ascii="宋体" w:hAnsi="宋体" w:cs="宋体"/>
          <w:sz w:val="24"/>
        </w:rPr>
        <w:t>联系人：田生</w:t>
      </w:r>
    </w:p>
    <w:p>
      <w:pPr>
        <w:widowControl/>
        <w:spacing w:line="360" w:lineRule="auto"/>
        <w:ind w:left="600"/>
        <w:rPr>
          <w:rFonts w:ascii="宋体" w:hAnsi="宋体" w:cs="宋体"/>
          <w:sz w:val="24"/>
        </w:rPr>
      </w:pPr>
      <w:r>
        <w:rPr>
          <w:rFonts w:hint="eastAsia" w:ascii="宋体" w:hAnsi="宋体" w:cs="宋体"/>
          <w:sz w:val="24"/>
        </w:rPr>
        <w:t>联系方式：0531-88809762转8010/18596098655</w:t>
      </w:r>
    </w:p>
    <w:p>
      <w:pPr>
        <w:widowControl/>
        <w:spacing w:line="360" w:lineRule="auto"/>
        <w:ind w:left="1044" w:leftChars="40" w:hanging="964" w:hangingChars="400"/>
        <w:rPr>
          <w:rFonts w:hint="eastAsia" w:ascii="宋体" w:hAnsi="宋体" w:cs="宋体"/>
          <w:sz w:val="24"/>
        </w:rPr>
      </w:pPr>
      <w:bookmarkStart w:id="4" w:name="_Toc11336_WPSOffice_Level2"/>
      <w:bookmarkStart w:id="5" w:name="_Toc22560_WPSOffice_Level2"/>
      <w:r>
        <w:rPr>
          <w:rFonts w:hint="eastAsia" w:ascii="宋体" w:hAnsi="宋体" w:cs="宋体"/>
          <w:b/>
          <w:sz w:val="24"/>
        </w:rPr>
        <w:t>三、采购项目名称</w:t>
      </w:r>
      <w:r>
        <w:rPr>
          <w:rFonts w:hint="eastAsia" w:ascii="宋体" w:hAnsi="宋体" w:cs="宋体"/>
          <w:sz w:val="24"/>
        </w:rPr>
        <w:t>：</w:t>
      </w:r>
      <w:bookmarkEnd w:id="4"/>
      <w:bookmarkEnd w:id="5"/>
      <w:r>
        <w:rPr>
          <w:rFonts w:hint="eastAsia" w:ascii="宋体" w:hAnsi="宋体" w:cs="宋体"/>
          <w:kern w:val="1"/>
          <w:sz w:val="24"/>
        </w:rPr>
        <w:t>济南市消防支队章丘区大队图文制作定点入围项目</w:t>
      </w:r>
    </w:p>
    <w:p>
      <w:pPr>
        <w:widowControl/>
        <w:spacing w:line="360" w:lineRule="auto"/>
        <w:ind w:left="600"/>
        <w:rPr>
          <w:rFonts w:hint="eastAsia" w:ascii="宋体" w:hAnsi="宋体" w:cs="宋体"/>
          <w:sz w:val="24"/>
        </w:rPr>
      </w:pPr>
      <w:r>
        <w:rPr>
          <w:rFonts w:hint="eastAsia" w:ascii="宋体" w:hAnsi="宋体" w:cs="宋体"/>
          <w:sz w:val="24"/>
        </w:rPr>
        <w:t>项目编号：SDLD2019GK006</w:t>
      </w:r>
    </w:p>
    <w:p>
      <w:pPr>
        <w:widowControl/>
        <w:spacing w:line="360" w:lineRule="auto"/>
        <w:rPr>
          <w:rFonts w:hint="eastAsia" w:ascii="宋体" w:hAnsi="宋体" w:cs="宋体"/>
          <w:b/>
          <w:bCs/>
          <w:sz w:val="24"/>
        </w:rPr>
      </w:pPr>
      <w:bookmarkStart w:id="6" w:name="_Toc26725_WPSOffice_Level2"/>
      <w:bookmarkStart w:id="7" w:name="_Toc26085_WPSOffice_Level2"/>
      <w:r>
        <w:rPr>
          <w:rFonts w:hint="eastAsia" w:ascii="宋体" w:hAnsi="宋体" w:cs="宋体"/>
          <w:b/>
          <w:bCs/>
          <w:sz w:val="24"/>
        </w:rPr>
        <w:t>四、招标项目预算金额及供应商资格要求：</w:t>
      </w:r>
      <w:bookmarkEnd w:id="6"/>
      <w:bookmarkEnd w:id="7"/>
    </w:p>
    <w:tbl>
      <w:tblPr>
        <w:tblStyle w:val="23"/>
        <w:tblW w:w="8922"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5"/>
        <w:gridCol w:w="7110"/>
        <w:gridCol w:w="10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9" w:hRule="atLeast"/>
          <w:jc w:val="center"/>
        </w:trPr>
        <w:tc>
          <w:tcPr>
            <w:tcW w:w="765" w:type="dxa"/>
            <w:noWrap w:val="0"/>
            <w:vAlign w:val="center"/>
          </w:tcPr>
          <w:p>
            <w:pPr>
              <w:widowControl/>
              <w:spacing w:line="360" w:lineRule="auto"/>
              <w:jc w:val="center"/>
              <w:rPr>
                <w:rFonts w:hint="eastAsia" w:ascii="宋体" w:hAnsi="宋体" w:cs="宋体"/>
                <w:sz w:val="24"/>
              </w:rPr>
            </w:pPr>
            <w:r>
              <w:rPr>
                <w:rFonts w:hint="eastAsia" w:ascii="宋体" w:hAnsi="宋体" w:cs="宋体"/>
                <w:sz w:val="24"/>
              </w:rPr>
              <w:t>名称</w:t>
            </w:r>
          </w:p>
        </w:tc>
        <w:tc>
          <w:tcPr>
            <w:tcW w:w="7110" w:type="dxa"/>
            <w:noWrap w:val="0"/>
            <w:vAlign w:val="center"/>
          </w:tcPr>
          <w:p>
            <w:pPr>
              <w:widowControl/>
              <w:spacing w:line="360" w:lineRule="auto"/>
              <w:jc w:val="center"/>
              <w:rPr>
                <w:rFonts w:hint="eastAsia" w:ascii="宋体" w:hAnsi="宋体" w:cs="宋体"/>
                <w:sz w:val="24"/>
              </w:rPr>
            </w:pPr>
            <w:r>
              <w:rPr>
                <w:rFonts w:hint="eastAsia" w:ascii="宋体" w:hAnsi="宋体" w:cs="宋体"/>
                <w:sz w:val="24"/>
              </w:rPr>
              <w:t>供应商资格要求</w:t>
            </w:r>
          </w:p>
        </w:tc>
        <w:tc>
          <w:tcPr>
            <w:tcW w:w="1047" w:type="dxa"/>
            <w:noWrap w:val="0"/>
            <w:vAlign w:val="center"/>
          </w:tcPr>
          <w:p>
            <w:pPr>
              <w:widowControl/>
              <w:spacing w:line="360" w:lineRule="auto"/>
              <w:jc w:val="center"/>
              <w:rPr>
                <w:rFonts w:hint="eastAsia" w:ascii="宋体" w:hAnsi="宋体" w:cs="宋体"/>
                <w:sz w:val="24"/>
              </w:rPr>
            </w:pPr>
            <w:r>
              <w:rPr>
                <w:rFonts w:hint="eastAsia" w:ascii="宋体" w:hAnsi="宋体" w:cs="宋体"/>
                <w:sz w:val="24"/>
              </w:rPr>
              <w:t>预算金额</w:t>
            </w:r>
          </w:p>
          <w:p>
            <w:pPr>
              <w:widowControl/>
              <w:spacing w:line="360" w:lineRule="auto"/>
              <w:jc w:val="center"/>
              <w:rPr>
                <w:rFonts w:hint="eastAsia" w:ascii="宋体" w:hAnsi="宋体" w:cs="宋体"/>
                <w:sz w:val="24"/>
              </w:rPr>
            </w:pPr>
            <w:r>
              <w:rPr>
                <w:rFonts w:hint="eastAsia" w:ascii="宋体" w:hAnsi="宋体" w:cs="宋体"/>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43" w:hRule="atLeast"/>
          <w:jc w:val="center"/>
        </w:trPr>
        <w:tc>
          <w:tcPr>
            <w:tcW w:w="765" w:type="dxa"/>
            <w:noWrap w:val="0"/>
            <w:vAlign w:val="center"/>
          </w:tcPr>
          <w:p>
            <w:pPr>
              <w:widowControl/>
              <w:spacing w:line="360" w:lineRule="auto"/>
              <w:jc w:val="center"/>
              <w:rPr>
                <w:rFonts w:hint="eastAsia" w:ascii="宋体" w:hAnsi="宋体" w:cs="宋体"/>
                <w:sz w:val="24"/>
              </w:rPr>
            </w:pPr>
            <w:r>
              <w:rPr>
                <w:rFonts w:hint="eastAsia" w:ascii="宋体" w:hAnsi="宋体" w:cs="宋体"/>
                <w:kern w:val="1"/>
                <w:sz w:val="24"/>
              </w:rPr>
              <w:t>图文制作定点入围</w:t>
            </w:r>
          </w:p>
        </w:tc>
        <w:tc>
          <w:tcPr>
            <w:tcW w:w="7110" w:type="dxa"/>
            <w:noWrap w:val="0"/>
            <w:vAlign w:val="center"/>
          </w:tcPr>
          <w:p>
            <w:pPr>
              <w:widowControl/>
              <w:spacing w:line="360" w:lineRule="auto"/>
              <w:rPr>
                <w:rFonts w:hint="eastAsia" w:ascii="宋体" w:hAnsi="宋体" w:cs="宋体"/>
                <w:sz w:val="24"/>
              </w:rPr>
            </w:pPr>
            <w:r>
              <w:rPr>
                <w:rFonts w:hint="eastAsia" w:ascii="宋体" w:hAnsi="宋体" w:cs="宋体"/>
                <w:sz w:val="24"/>
              </w:rPr>
              <w:t>1）供应商应符合《中华人民共和国政府采购法》第二十二条规定且应为未被列入信用中国（www.creditchina.gov.cn）、中国政府采购网(www.ccgp.gov.cn)、信用山东（www.creditsd.gov.cn）等渠道信用记录失信被执行人、重大税收违法案件当事人名单、政府采购严重违法失信行为记录名单；（三方网站截图报名时均须携带）</w:t>
            </w:r>
          </w:p>
          <w:p>
            <w:pPr>
              <w:widowControl/>
              <w:spacing w:line="360" w:lineRule="auto"/>
              <w:rPr>
                <w:rFonts w:hint="eastAsia" w:ascii="宋体" w:hAnsi="宋体" w:cs="宋体"/>
                <w:sz w:val="24"/>
              </w:rPr>
            </w:pPr>
            <w:r>
              <w:rPr>
                <w:rFonts w:hint="eastAsia" w:ascii="宋体" w:hAnsi="宋体" w:cs="宋体"/>
                <w:sz w:val="24"/>
              </w:rPr>
              <w:t>2）供应商须为在中华人民共和国境内登记注册，具有独立法人资格，</w:t>
            </w:r>
            <w:r>
              <w:rPr>
                <w:rFonts w:hint="eastAsia" w:ascii="宋体" w:hAnsi="宋体" w:cs="宋体"/>
                <w:sz w:val="24"/>
                <w:lang w:val="zh-CN"/>
              </w:rPr>
              <w:t>并在人员、设备等方面具备相应的服务能力；</w:t>
            </w:r>
          </w:p>
          <w:p>
            <w:pPr>
              <w:widowControl/>
              <w:spacing w:line="360" w:lineRule="auto"/>
              <w:rPr>
                <w:rFonts w:hint="eastAsia" w:ascii="宋体" w:hAnsi="宋体" w:cs="宋体"/>
                <w:sz w:val="24"/>
              </w:rPr>
            </w:pPr>
            <w:r>
              <w:rPr>
                <w:rFonts w:hint="eastAsia" w:ascii="宋体" w:hAnsi="宋体" w:cs="宋体"/>
                <w:sz w:val="24"/>
              </w:rPr>
              <w:t>3）本项目要求有固定的经营场所；</w:t>
            </w:r>
          </w:p>
          <w:p>
            <w:pPr>
              <w:widowControl/>
              <w:spacing w:line="360" w:lineRule="auto"/>
              <w:rPr>
                <w:rFonts w:hint="eastAsia" w:ascii="宋体" w:hAnsi="宋体" w:cs="宋体"/>
                <w:sz w:val="24"/>
              </w:rPr>
            </w:pPr>
            <w:r>
              <w:rPr>
                <w:rFonts w:hint="eastAsia" w:ascii="宋体" w:hAnsi="宋体" w:cs="宋体"/>
                <w:sz w:val="24"/>
              </w:rPr>
              <w:t>4）本项目不接受联合体投标；</w:t>
            </w:r>
          </w:p>
          <w:p>
            <w:pPr>
              <w:widowControl/>
              <w:spacing w:line="360" w:lineRule="auto"/>
              <w:rPr>
                <w:rFonts w:hint="eastAsia" w:ascii="宋体" w:hAnsi="宋体" w:cs="宋体"/>
                <w:sz w:val="24"/>
              </w:rPr>
            </w:pPr>
            <w:r>
              <w:rPr>
                <w:rFonts w:hint="eastAsia" w:ascii="宋体" w:hAnsi="宋体" w:cs="宋体"/>
                <w:sz w:val="24"/>
              </w:rPr>
              <w:t>5）法律法规的其他要求规定。</w:t>
            </w:r>
          </w:p>
        </w:tc>
        <w:tc>
          <w:tcPr>
            <w:tcW w:w="1047" w:type="dxa"/>
            <w:noWrap w:val="0"/>
            <w:vAlign w:val="center"/>
          </w:tcPr>
          <w:p>
            <w:pPr>
              <w:widowControl/>
              <w:spacing w:line="360" w:lineRule="auto"/>
              <w:jc w:val="center"/>
              <w:rPr>
                <w:rFonts w:hint="eastAsia" w:ascii="宋体" w:hAnsi="宋体" w:cs="宋体"/>
                <w:sz w:val="24"/>
              </w:rPr>
            </w:pPr>
            <w:r>
              <w:rPr>
                <w:rFonts w:hint="eastAsia" w:ascii="宋体" w:hAnsi="宋体" w:cs="宋体"/>
                <w:sz w:val="24"/>
              </w:rPr>
              <w:t>30</w:t>
            </w:r>
          </w:p>
        </w:tc>
      </w:tr>
    </w:tbl>
    <w:p>
      <w:pPr>
        <w:widowControl/>
        <w:spacing w:line="360" w:lineRule="auto"/>
        <w:rPr>
          <w:rFonts w:hint="eastAsia" w:ascii="宋体" w:hAnsi="宋体" w:cs="宋体"/>
          <w:sz w:val="24"/>
        </w:rPr>
      </w:pPr>
      <w:bookmarkStart w:id="8" w:name="page5"/>
      <w:bookmarkEnd w:id="8"/>
      <w:bookmarkStart w:id="9" w:name="_Toc16189_WPSOffice_Level2"/>
      <w:bookmarkStart w:id="10" w:name="_Toc32291_WPSOffice_Level2"/>
      <w:r>
        <w:rPr>
          <w:rFonts w:hint="eastAsia" w:ascii="宋体" w:hAnsi="宋体" w:cs="宋体"/>
          <w:b/>
          <w:sz w:val="24"/>
        </w:rPr>
        <w:t>五、获取招标文件的时间期限、地点、方式及招标文件售价：</w:t>
      </w:r>
      <w:bookmarkEnd w:id="9"/>
      <w:bookmarkEnd w:id="10"/>
    </w:p>
    <w:p>
      <w:pPr>
        <w:widowControl/>
        <w:spacing w:line="360" w:lineRule="auto"/>
        <w:ind w:firstLine="480"/>
        <w:rPr>
          <w:rFonts w:hint="eastAsia" w:ascii="宋体" w:hAnsi="宋体" w:cs="宋体"/>
          <w:sz w:val="24"/>
        </w:rPr>
      </w:pPr>
      <w:r>
        <w:rPr>
          <w:rFonts w:hint="eastAsia" w:ascii="宋体" w:hAnsi="宋体" w:cs="宋体"/>
          <w:sz w:val="24"/>
        </w:rPr>
        <w:t>1.凡有意参加投标者，请于2019年4月3日9时00分至2019年4月10日16时00分（北京时间，法定节假日除外），持下列资料到山东蓝盾招标代理有限公司财务部（济南市高新区工业南路59号中铁财智中心6号楼15楼）报名并购买招标文件（</w:t>
      </w:r>
      <w:r>
        <w:rPr>
          <w:rFonts w:hint="eastAsia" w:ascii="宋体" w:hAnsi="宋体" w:cs="宋体"/>
          <w:b/>
          <w:bCs/>
          <w:sz w:val="24"/>
        </w:rPr>
        <w:t>报名时的资料查验不代表资格审查的最终通过或合格</w:t>
      </w:r>
      <w:r>
        <w:rPr>
          <w:rFonts w:hint="eastAsia" w:ascii="宋体" w:hAnsi="宋体" w:cs="宋体"/>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rPr>
        <w:t>（1）营业执照副本（三证合一）；</w:t>
      </w:r>
    </w:p>
    <w:p>
      <w:pPr>
        <w:widowControl/>
        <w:spacing w:line="360" w:lineRule="auto"/>
        <w:ind w:firstLine="480" w:firstLineChars="200"/>
        <w:rPr>
          <w:rFonts w:hint="eastAsia" w:ascii="宋体" w:hAnsi="宋体" w:cs="宋体"/>
          <w:sz w:val="24"/>
        </w:rPr>
      </w:pPr>
      <w:r>
        <w:rPr>
          <w:rFonts w:hint="eastAsia" w:ascii="宋体" w:hAnsi="宋体" w:cs="宋体"/>
          <w:sz w:val="24"/>
        </w:rPr>
        <w:t>（2）法人代表授权委托书及被授权人身份证；</w:t>
      </w:r>
    </w:p>
    <w:p>
      <w:pPr>
        <w:widowControl/>
        <w:spacing w:line="360" w:lineRule="auto"/>
        <w:ind w:firstLine="480" w:firstLineChars="200"/>
        <w:rPr>
          <w:rFonts w:hint="eastAsia" w:ascii="宋体" w:hAnsi="宋体" w:cs="宋体"/>
          <w:sz w:val="24"/>
        </w:rPr>
      </w:pPr>
      <w:r>
        <w:rPr>
          <w:rFonts w:hint="eastAsia" w:ascii="宋体" w:hAnsi="宋体" w:cs="宋体"/>
          <w:sz w:val="24"/>
        </w:rPr>
        <w:t>（3）办公场所房产证原件或租赁协议原件；</w:t>
      </w:r>
    </w:p>
    <w:p>
      <w:pPr>
        <w:widowControl/>
        <w:spacing w:line="360" w:lineRule="auto"/>
        <w:ind w:firstLine="480" w:firstLineChars="200"/>
        <w:rPr>
          <w:rFonts w:hint="eastAsia" w:ascii="宋体" w:hAnsi="宋体" w:cs="宋体"/>
          <w:sz w:val="24"/>
        </w:rPr>
      </w:pPr>
      <w:r>
        <w:rPr>
          <w:rFonts w:hint="eastAsia" w:ascii="宋体" w:hAnsi="宋体" w:cs="宋体"/>
          <w:sz w:val="24"/>
        </w:rPr>
        <w:t>（4）信用查询结果网页截图加盖公章；</w:t>
      </w:r>
    </w:p>
    <w:p>
      <w:pPr>
        <w:pStyle w:val="30"/>
        <w:ind w:firstLine="480"/>
        <w:rPr>
          <w:rFonts w:hint="eastAsia" w:ascii="宋体" w:hAnsi="宋体" w:cs="宋体"/>
          <w:sz w:val="24"/>
        </w:rPr>
      </w:pPr>
      <w:r>
        <w:rPr>
          <w:rFonts w:hint="eastAsia" w:ascii="宋体" w:hAnsi="宋体" w:cs="宋体"/>
          <w:sz w:val="24"/>
        </w:rPr>
        <w:t>以上证件需提供原件及加盖公章复印件各一套,否则不接受报名。</w:t>
      </w:r>
    </w:p>
    <w:p>
      <w:pPr>
        <w:widowControl/>
        <w:spacing w:line="360" w:lineRule="auto"/>
        <w:ind w:left="480"/>
        <w:rPr>
          <w:rFonts w:hint="eastAsia" w:ascii="宋体" w:hAnsi="宋体" w:cs="宋体"/>
          <w:sz w:val="24"/>
        </w:rPr>
      </w:pPr>
      <w:r>
        <w:rPr>
          <w:rFonts w:hint="eastAsia" w:ascii="宋体" w:hAnsi="宋体" w:cs="宋体"/>
          <w:sz w:val="24"/>
        </w:rPr>
        <w:t>2、招标文件售价：300 元/包，售后不退。</w:t>
      </w:r>
    </w:p>
    <w:p>
      <w:pPr>
        <w:widowControl/>
        <w:spacing w:line="360" w:lineRule="auto"/>
        <w:rPr>
          <w:rFonts w:hint="eastAsia" w:ascii="宋体" w:hAnsi="宋体" w:cs="宋体"/>
          <w:sz w:val="24"/>
        </w:rPr>
      </w:pPr>
      <w:bookmarkStart w:id="11" w:name="_Toc18651_WPSOffice_Level2"/>
      <w:bookmarkStart w:id="12" w:name="_Toc25263_WPSOffice_Level2"/>
      <w:r>
        <w:rPr>
          <w:rFonts w:hint="eastAsia" w:ascii="宋体" w:hAnsi="宋体" w:cs="宋体"/>
          <w:b/>
          <w:sz w:val="24"/>
        </w:rPr>
        <w:t>六、公告期限：</w:t>
      </w:r>
      <w:r>
        <w:rPr>
          <w:rFonts w:hint="eastAsia" w:ascii="宋体" w:hAnsi="宋体" w:cs="宋体"/>
          <w:sz w:val="24"/>
        </w:rPr>
        <w:t>2019年</w:t>
      </w:r>
      <w:r>
        <w:rPr>
          <w:rFonts w:hint="eastAsia" w:ascii="宋体" w:hAnsi="宋体" w:cs="宋体"/>
          <w:bCs/>
          <w:sz w:val="24"/>
        </w:rPr>
        <w:t>4</w:t>
      </w:r>
      <w:r>
        <w:rPr>
          <w:rFonts w:hint="eastAsia" w:ascii="宋体" w:hAnsi="宋体" w:cs="宋体"/>
          <w:sz w:val="24"/>
        </w:rPr>
        <w:t>月</w:t>
      </w:r>
      <w:r>
        <w:rPr>
          <w:rFonts w:hint="eastAsia" w:ascii="宋体" w:hAnsi="宋体" w:cs="宋体"/>
          <w:bCs/>
          <w:sz w:val="24"/>
        </w:rPr>
        <w:t>3</w:t>
      </w:r>
      <w:r>
        <w:rPr>
          <w:rFonts w:hint="eastAsia" w:ascii="宋体" w:hAnsi="宋体" w:cs="宋体"/>
          <w:sz w:val="24"/>
        </w:rPr>
        <w:t>日至</w:t>
      </w:r>
      <w:r>
        <w:rPr>
          <w:rFonts w:hint="eastAsia" w:ascii="宋体" w:hAnsi="宋体" w:cs="宋体"/>
          <w:b/>
          <w:sz w:val="24"/>
        </w:rPr>
        <w:t xml:space="preserve"> </w:t>
      </w:r>
      <w:r>
        <w:rPr>
          <w:rFonts w:hint="eastAsia" w:ascii="宋体" w:hAnsi="宋体" w:cs="宋体"/>
          <w:sz w:val="24"/>
        </w:rPr>
        <w:t>2019年4月</w:t>
      </w:r>
      <w:r>
        <w:rPr>
          <w:rFonts w:hint="eastAsia" w:ascii="宋体" w:hAnsi="宋体" w:cs="宋体"/>
          <w:bCs/>
          <w:sz w:val="24"/>
        </w:rPr>
        <w:t>10</w:t>
      </w:r>
      <w:r>
        <w:rPr>
          <w:rFonts w:hint="eastAsia" w:ascii="宋体" w:hAnsi="宋体" w:cs="宋体"/>
          <w:sz w:val="24"/>
        </w:rPr>
        <w:t>日</w:t>
      </w:r>
      <w:bookmarkEnd w:id="11"/>
      <w:bookmarkEnd w:id="12"/>
      <w:r>
        <w:rPr>
          <w:rFonts w:hint="eastAsia" w:ascii="宋体" w:hAnsi="宋体" w:cs="宋体"/>
          <w:sz w:val="24"/>
        </w:rPr>
        <w:t>（不含节假日）</w:t>
      </w:r>
    </w:p>
    <w:p>
      <w:pPr>
        <w:widowControl/>
        <w:spacing w:line="360" w:lineRule="auto"/>
        <w:rPr>
          <w:rFonts w:hint="eastAsia" w:ascii="宋体" w:hAnsi="宋体" w:cs="宋体"/>
          <w:sz w:val="24"/>
        </w:rPr>
      </w:pPr>
      <w:bookmarkStart w:id="13" w:name="_Toc922_WPSOffice_Level2"/>
      <w:bookmarkStart w:id="14" w:name="_Toc17997_WPSOffice_Level2"/>
      <w:r>
        <w:rPr>
          <w:rFonts w:hint="eastAsia" w:ascii="宋体" w:hAnsi="宋体" w:cs="宋体"/>
          <w:b/>
          <w:sz w:val="24"/>
        </w:rPr>
        <w:t>七、递交响应文件时间及地点:</w:t>
      </w:r>
      <w:bookmarkEnd w:id="13"/>
      <w:bookmarkEnd w:id="14"/>
    </w:p>
    <w:p>
      <w:pPr>
        <w:widowControl/>
        <w:spacing w:line="360" w:lineRule="auto"/>
        <w:ind w:left="480"/>
        <w:rPr>
          <w:rFonts w:hint="eastAsia" w:ascii="宋体" w:hAnsi="宋体" w:cs="宋体"/>
          <w:sz w:val="24"/>
        </w:rPr>
      </w:pPr>
      <w:r>
        <w:rPr>
          <w:rFonts w:hint="eastAsia" w:ascii="宋体" w:hAnsi="宋体" w:cs="宋体"/>
          <w:sz w:val="24"/>
        </w:rPr>
        <w:t>1.时间：2019年4月24日9时00分至 2019年4月24日9时30分（北京时间）</w:t>
      </w:r>
    </w:p>
    <w:p>
      <w:pPr>
        <w:widowControl/>
        <w:spacing w:line="360" w:lineRule="auto"/>
        <w:ind w:left="480"/>
        <w:rPr>
          <w:rFonts w:hint="eastAsia" w:ascii="宋体" w:hAnsi="宋体" w:cs="宋体"/>
          <w:sz w:val="24"/>
        </w:rPr>
      </w:pPr>
      <w:r>
        <w:rPr>
          <w:rFonts w:hint="eastAsia" w:ascii="宋体" w:hAnsi="宋体" w:cs="宋体"/>
          <w:sz w:val="24"/>
        </w:rPr>
        <w:t>2.地点：济南市高新区工业南路59号中铁财智中心6号楼15楼</w:t>
      </w:r>
    </w:p>
    <w:p>
      <w:pPr>
        <w:widowControl/>
        <w:spacing w:line="360" w:lineRule="auto"/>
        <w:ind w:left="480"/>
        <w:rPr>
          <w:rFonts w:hint="eastAsia" w:ascii="宋体" w:hAnsi="宋体" w:cs="宋体"/>
          <w:sz w:val="24"/>
        </w:rPr>
      </w:pPr>
      <w:r>
        <w:rPr>
          <w:rFonts w:hint="eastAsia" w:ascii="宋体" w:hAnsi="宋体" w:cs="宋体"/>
          <w:sz w:val="24"/>
        </w:rPr>
        <w:t>3.</w:t>
      </w:r>
      <w:r>
        <w:rPr>
          <w:rFonts w:hint="eastAsia" w:ascii="宋体" w:hAnsi="宋体" w:cs="宋体"/>
          <w:kern w:val="0"/>
          <w:sz w:val="24"/>
        </w:rPr>
        <w:t xml:space="preserve"> 逾期送达的或者未送达指定地点的响应文件，采购人不予受理。</w:t>
      </w:r>
    </w:p>
    <w:p>
      <w:pPr>
        <w:widowControl/>
        <w:spacing w:line="360" w:lineRule="auto"/>
        <w:rPr>
          <w:rFonts w:hint="eastAsia" w:ascii="宋体" w:hAnsi="宋体" w:cs="宋体"/>
          <w:sz w:val="24"/>
        </w:rPr>
      </w:pPr>
      <w:bookmarkStart w:id="15" w:name="_Toc28886_WPSOffice_Level2"/>
      <w:bookmarkStart w:id="16" w:name="_Toc29191_WPSOffice_Level2"/>
      <w:r>
        <w:rPr>
          <w:rFonts w:hint="eastAsia" w:ascii="宋体" w:hAnsi="宋体" w:cs="宋体"/>
          <w:b/>
          <w:sz w:val="24"/>
        </w:rPr>
        <w:t>八、开标时间及地点:</w:t>
      </w:r>
      <w:bookmarkEnd w:id="15"/>
      <w:bookmarkEnd w:id="16"/>
    </w:p>
    <w:p>
      <w:pPr>
        <w:widowControl/>
        <w:spacing w:line="360" w:lineRule="auto"/>
        <w:ind w:left="480"/>
        <w:rPr>
          <w:rFonts w:hint="eastAsia" w:ascii="宋体" w:hAnsi="宋体" w:cs="宋体"/>
          <w:sz w:val="24"/>
        </w:rPr>
      </w:pPr>
      <w:r>
        <w:rPr>
          <w:rFonts w:hint="eastAsia" w:ascii="宋体" w:hAnsi="宋体" w:cs="宋体"/>
          <w:sz w:val="24"/>
        </w:rPr>
        <w:t>1.时间：2019年4月24日9时30分（北京时间）</w:t>
      </w:r>
    </w:p>
    <w:p>
      <w:pPr>
        <w:widowControl/>
        <w:spacing w:line="360" w:lineRule="auto"/>
        <w:ind w:left="480"/>
        <w:rPr>
          <w:rFonts w:hint="eastAsia" w:ascii="宋体" w:hAnsi="宋体" w:cs="宋体"/>
          <w:sz w:val="24"/>
        </w:rPr>
      </w:pPr>
      <w:r>
        <w:rPr>
          <w:rFonts w:hint="eastAsia" w:ascii="宋体" w:hAnsi="宋体" w:cs="宋体"/>
          <w:sz w:val="24"/>
        </w:rPr>
        <w:t xml:space="preserve">2.地点：济南市高新区工业南路59号中铁财智中心6号楼15楼 </w:t>
      </w:r>
    </w:p>
    <w:p>
      <w:pPr>
        <w:widowControl/>
        <w:spacing w:line="360" w:lineRule="auto"/>
        <w:rPr>
          <w:rFonts w:hint="eastAsia" w:ascii="宋体" w:hAnsi="宋体" w:cs="宋体"/>
          <w:sz w:val="24"/>
        </w:rPr>
      </w:pPr>
      <w:bookmarkStart w:id="17" w:name="_Toc6751_WPSOffice_Level2"/>
      <w:bookmarkStart w:id="18" w:name="_Toc5519_WPSOffice_Level2"/>
      <w:r>
        <w:rPr>
          <w:rFonts w:hint="eastAsia" w:ascii="宋体" w:hAnsi="宋体" w:cs="宋体"/>
          <w:b/>
          <w:sz w:val="24"/>
        </w:rPr>
        <w:t>九、采购项目联系方式:</w:t>
      </w:r>
      <w:bookmarkEnd w:id="17"/>
      <w:bookmarkEnd w:id="18"/>
    </w:p>
    <w:p>
      <w:pPr>
        <w:widowControl/>
        <w:tabs>
          <w:tab w:val="left" w:pos="3460"/>
        </w:tabs>
        <w:spacing w:line="360" w:lineRule="auto"/>
        <w:ind w:left="480"/>
        <w:rPr>
          <w:rFonts w:hint="eastAsia" w:ascii="宋体" w:hAnsi="宋体" w:cs="宋体"/>
          <w:sz w:val="24"/>
        </w:rPr>
      </w:pPr>
      <w:r>
        <w:rPr>
          <w:rFonts w:hint="eastAsia" w:ascii="宋体" w:hAnsi="宋体" w:cs="宋体"/>
          <w:sz w:val="24"/>
        </w:rPr>
        <w:t>联系人：田生    联系方式：0531-88809762转8010/18596098655</w:t>
      </w:r>
    </w:p>
    <w:p>
      <w:pPr>
        <w:widowControl/>
        <w:spacing w:line="360" w:lineRule="auto"/>
        <w:rPr>
          <w:rFonts w:hint="eastAsia" w:ascii="宋体" w:hAnsi="宋体" w:cs="宋体"/>
          <w:sz w:val="24"/>
        </w:rPr>
      </w:pPr>
      <w:bookmarkStart w:id="19" w:name="_Toc20712_WPSOffice_Level2"/>
      <w:bookmarkStart w:id="20" w:name="_Toc21398_WPSOffice_Level2"/>
      <w:r>
        <w:rPr>
          <w:rFonts w:hint="eastAsia" w:ascii="宋体" w:hAnsi="宋体" w:cs="宋体"/>
          <w:b/>
          <w:sz w:val="24"/>
        </w:rPr>
        <w:t>十、采购项目的用途、数量、简要技术要求等</w:t>
      </w:r>
      <w:r>
        <w:rPr>
          <w:rFonts w:hint="eastAsia" w:ascii="宋体" w:hAnsi="宋体" w:cs="宋体"/>
          <w:sz w:val="24"/>
        </w:rPr>
        <w:t>：详见招标文件。</w:t>
      </w:r>
      <w:bookmarkEnd w:id="19"/>
      <w:bookmarkEnd w:id="20"/>
    </w:p>
    <w:p>
      <w:pPr>
        <w:widowControl/>
        <w:spacing w:line="360" w:lineRule="auto"/>
        <w:rPr>
          <w:rFonts w:hint="eastAsia" w:ascii="宋体" w:hAnsi="宋体" w:cs="宋体"/>
          <w:sz w:val="24"/>
        </w:rPr>
      </w:pPr>
      <w:bookmarkStart w:id="21" w:name="_Toc2395_WPSOffice_Level2"/>
      <w:bookmarkStart w:id="22" w:name="_Toc16205_WPSOffice_Level2"/>
      <w:r>
        <w:rPr>
          <w:rFonts w:hint="eastAsia" w:ascii="宋体" w:hAnsi="宋体" w:cs="宋体"/>
          <w:b/>
          <w:sz w:val="24"/>
        </w:rPr>
        <w:t>十一、采购项目需要落实的政府采购政策</w:t>
      </w:r>
      <w:r>
        <w:rPr>
          <w:rFonts w:hint="eastAsia" w:ascii="宋体" w:hAnsi="宋体" w:cs="宋体"/>
          <w:sz w:val="24"/>
        </w:rPr>
        <w:t>：详见招标文件。</w:t>
      </w:r>
      <w:bookmarkEnd w:id="21"/>
      <w:bookmarkEnd w:id="22"/>
    </w:p>
    <w:p>
      <w:pPr>
        <w:widowControl/>
        <w:spacing w:line="360" w:lineRule="auto"/>
        <w:rPr>
          <w:rFonts w:hint="eastAsia" w:ascii="宋体" w:hAnsi="宋体" w:cs="宋体"/>
          <w:sz w:val="24"/>
        </w:rPr>
      </w:pPr>
    </w:p>
    <w:p>
      <w:pPr>
        <w:widowControl/>
        <w:spacing w:line="360" w:lineRule="auto"/>
        <w:rPr>
          <w:rFonts w:hint="eastAsia" w:ascii="宋体" w:hAnsi="宋体" w:cs="宋体"/>
          <w:sz w:val="24"/>
        </w:rPr>
      </w:pPr>
    </w:p>
    <w:p>
      <w:pPr>
        <w:widowControl/>
        <w:spacing w:line="360" w:lineRule="auto"/>
        <w:jc w:val="right"/>
        <w:rPr>
          <w:rFonts w:hint="eastAsia" w:ascii="宋体" w:hAnsi="宋体" w:cs="宋体"/>
          <w:sz w:val="24"/>
        </w:rPr>
      </w:pPr>
      <w:r>
        <w:rPr>
          <w:rFonts w:hint="eastAsia" w:ascii="宋体" w:hAnsi="宋体" w:cs="宋体"/>
          <w:sz w:val="24"/>
        </w:rPr>
        <w:t>发布人：山东蓝盾招标代理有限公司</w:t>
      </w:r>
    </w:p>
    <w:p>
      <w:pPr>
        <w:rPr>
          <w:rFonts w:hint="eastAsia"/>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bookmarkStart w:id="23" w:name="_Toc31536_WPSOffice_Level2"/>
      <w:bookmarkStart w:id="24" w:name="_Toc7186_WPSOffice_Level2"/>
      <w:r>
        <w:rPr>
          <w:rFonts w:hint="eastAsia" w:ascii="宋体" w:hAnsi="宋体" w:cs="宋体"/>
          <w:sz w:val="24"/>
        </w:rPr>
        <w:t>发布时间：2019年4月2日</w:t>
      </w:r>
      <w:bookmarkEnd w:id="23"/>
      <w:bookmarkEnd w:id="24"/>
    </w:p>
    <w:p>
      <w:pPr>
        <w:pStyle w:val="3"/>
        <w:spacing w:before="0" w:after="0" w:line="360" w:lineRule="auto"/>
        <w:jc w:val="center"/>
        <w:rPr>
          <w:rFonts w:hint="eastAsia" w:ascii="宋体" w:hAnsi="宋体" w:eastAsia="宋体" w:cs="Times New Roman"/>
          <w:bCs/>
          <w:sz w:val="36"/>
          <w:szCs w:val="36"/>
          <w:lang w:eastAsia="zh-CN"/>
        </w:rPr>
      </w:pPr>
      <w:r>
        <w:rPr>
          <w:rFonts w:hint="eastAsia" w:ascii="宋体" w:hAnsi="宋体" w:eastAsia="宋体" w:cs="Times New Roman"/>
          <w:bCs/>
          <w:sz w:val="36"/>
          <w:szCs w:val="36"/>
          <w:lang w:eastAsia="zh-CN"/>
        </w:rPr>
        <w:t>第二部分</w:t>
      </w:r>
      <w:r>
        <w:rPr>
          <w:rFonts w:hint="eastAsia" w:ascii="宋体" w:hAnsi="宋体" w:eastAsia="宋体" w:cs="Times New Roman"/>
          <w:bCs/>
          <w:sz w:val="36"/>
          <w:szCs w:val="36"/>
          <w:lang w:val="en-US" w:eastAsia="zh-CN"/>
        </w:rPr>
        <w:t xml:space="preserve"> </w:t>
      </w:r>
      <w:r>
        <w:rPr>
          <w:rFonts w:hint="eastAsia" w:ascii="宋体" w:hAnsi="宋体" w:eastAsia="宋体" w:cs="Times New Roman"/>
          <w:bCs/>
          <w:sz w:val="36"/>
          <w:szCs w:val="36"/>
          <w:lang w:eastAsia="zh-CN"/>
        </w:rPr>
        <w:t>投标人须知</w:t>
      </w:r>
      <w:bookmarkEnd w:id="3"/>
    </w:p>
    <w:p>
      <w:pPr>
        <w:pStyle w:val="3"/>
        <w:spacing w:before="0" w:after="0" w:line="360" w:lineRule="auto"/>
        <w:jc w:val="center"/>
        <w:rPr>
          <w:rFonts w:hint="eastAsia" w:ascii="宋体" w:hAnsi="宋体" w:eastAsia="宋体" w:cs="Times New Roman"/>
          <w:bCs/>
          <w:sz w:val="32"/>
          <w:szCs w:val="32"/>
          <w:lang w:eastAsia="zh-CN"/>
        </w:rPr>
      </w:pPr>
      <w:r>
        <w:rPr>
          <w:rFonts w:hint="eastAsia" w:ascii="宋体" w:hAnsi="宋体" w:eastAsia="宋体" w:cs="Times New Roman"/>
          <w:bCs/>
          <w:sz w:val="32"/>
          <w:szCs w:val="32"/>
          <w:lang w:eastAsia="zh-CN"/>
        </w:rPr>
        <w:t>前附表</w:t>
      </w:r>
    </w:p>
    <w:tbl>
      <w:tblPr>
        <w:tblStyle w:val="23"/>
        <w:tblW w:w="9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34"/>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28"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634"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内容</w:t>
            </w:r>
          </w:p>
        </w:tc>
        <w:tc>
          <w:tcPr>
            <w:tcW w:w="6659"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综合说明</w:t>
            </w:r>
          </w:p>
        </w:tc>
        <w:tc>
          <w:tcPr>
            <w:tcW w:w="6659" w:type="dxa"/>
            <w:vAlign w:val="center"/>
          </w:tcPr>
          <w:p>
            <w:pPr>
              <w:pStyle w:val="2"/>
              <w:spacing w:before="0"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济南市消防支队章丘区大队图文制作定点入围项目</w:t>
            </w:r>
          </w:p>
          <w:p>
            <w:pPr>
              <w:pStyle w:val="2"/>
              <w:spacing w:before="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项目编号：SDLD2019GK00</w:t>
            </w:r>
            <w:r>
              <w:rPr>
                <w:rFonts w:hint="eastAsia" w:ascii="宋体" w:hAnsi="宋体" w:cs="宋体"/>
                <w:sz w:val="24"/>
                <w:szCs w:val="24"/>
                <w:lang w:val="en-US" w:eastAsia="zh-CN"/>
              </w:rPr>
              <w:t>6</w:t>
            </w:r>
          </w:p>
          <w:p>
            <w:pPr>
              <w:pStyle w:val="2"/>
              <w:spacing w:before="0" w:line="360" w:lineRule="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cs="宋体"/>
                <w:sz w:val="24"/>
                <w:szCs w:val="24"/>
                <w:lang w:eastAsia="zh-CN"/>
              </w:rPr>
              <w:t>济南市消防支队章丘区大队</w:t>
            </w:r>
          </w:p>
          <w:p>
            <w:pPr>
              <w:pStyle w:val="2"/>
              <w:spacing w:before="0" w:line="360" w:lineRule="auto"/>
              <w:rPr>
                <w:rFonts w:hint="eastAsia" w:ascii="宋体" w:hAnsi="宋体" w:eastAsia="宋体" w:cs="宋体"/>
                <w:sz w:val="24"/>
                <w:szCs w:val="24"/>
                <w:lang w:val="zh-CN"/>
              </w:rPr>
            </w:pPr>
            <w:r>
              <w:rPr>
                <w:rFonts w:hint="eastAsia" w:ascii="宋体" w:hAnsi="宋体" w:eastAsia="宋体" w:cs="宋体"/>
                <w:sz w:val="24"/>
                <w:szCs w:val="24"/>
              </w:rPr>
              <w:t>采购代理机构：</w:t>
            </w:r>
            <w:r>
              <w:rPr>
                <w:rFonts w:hint="eastAsia" w:ascii="宋体" w:hAnsi="宋体" w:eastAsia="宋体" w:cs="宋体"/>
                <w:sz w:val="24"/>
                <w:szCs w:val="24"/>
                <w:lang w:val="zh-CN"/>
              </w:rPr>
              <w:t>山东蓝盾招标代理有限公司</w:t>
            </w:r>
          </w:p>
          <w:p>
            <w:pPr>
              <w:rPr>
                <w:rFonts w:hint="eastAsia" w:ascii="宋体" w:hAnsi="宋体" w:eastAsia="宋体" w:cs="宋体"/>
                <w:sz w:val="24"/>
                <w:szCs w:val="24"/>
                <w:lang w:val="en-US" w:eastAsia="zh-CN"/>
              </w:rPr>
            </w:pPr>
            <w:r>
              <w:rPr>
                <w:rFonts w:hint="eastAsia" w:ascii="宋体" w:hAnsi="宋体" w:eastAsia="宋体" w:cs="宋体"/>
                <w:sz w:val="24"/>
                <w:szCs w:val="24"/>
                <w:lang w:val="zh-CN"/>
              </w:rPr>
              <w:t>预算金额：</w:t>
            </w:r>
            <w:r>
              <w:rPr>
                <w:rFonts w:hint="eastAsia" w:ascii="宋体" w:hAnsi="宋体" w:eastAsia="宋体" w:cs="宋体"/>
                <w:sz w:val="24"/>
                <w:szCs w:val="24"/>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8"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招标方式</w:t>
            </w:r>
          </w:p>
        </w:tc>
        <w:tc>
          <w:tcPr>
            <w:tcW w:w="6659" w:type="dxa"/>
            <w:vAlign w:val="center"/>
          </w:tcPr>
          <w:p>
            <w:pPr>
              <w:jc w:val="left"/>
              <w:rPr>
                <w:rFonts w:hint="eastAsia" w:ascii="宋体" w:hAnsi="宋体" w:eastAsia="宋体" w:cs="宋体"/>
                <w:sz w:val="24"/>
                <w:szCs w:val="24"/>
                <w:lang w:val="zh-CN"/>
              </w:rPr>
            </w:pPr>
            <w:r>
              <w:rPr>
                <w:rFonts w:hint="eastAsia" w:ascii="宋体" w:hAnsi="宋体" w:eastAsia="宋体" w:cs="宋体"/>
                <w:sz w:val="24"/>
                <w:szCs w:val="24"/>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6"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供应商资格要求</w:t>
            </w:r>
          </w:p>
        </w:tc>
        <w:tc>
          <w:tcPr>
            <w:tcW w:w="6659" w:type="dxa"/>
            <w:vAlign w:val="bottom"/>
          </w:tcPr>
          <w:p>
            <w:pPr>
              <w:widowControl/>
              <w:spacing w:line="360" w:lineRule="auto"/>
              <w:rPr>
                <w:rFonts w:hint="eastAsia" w:ascii="宋体" w:hAnsi="宋体" w:cs="宋体"/>
                <w:sz w:val="24"/>
              </w:rPr>
            </w:pPr>
            <w:r>
              <w:rPr>
                <w:rFonts w:hint="eastAsia" w:ascii="宋体" w:hAnsi="宋体" w:cs="宋体"/>
                <w:sz w:val="24"/>
              </w:rPr>
              <w:t>1）供应商应符合《中华人民共和国政府采购法》第二十二条规定且应为未被列入信用中国（www.creditchina.gov.cn）、中国政府采购网(www.ccgp.gov.cn)、信用山东（www.creditsd.gov.cn）等渠道信用记录失信被执行人、重大税收违法案件当事人名单、政府采购严重违法失信行为记录名单；（三方网站截图报名时均须携带）</w:t>
            </w:r>
          </w:p>
          <w:p>
            <w:pPr>
              <w:widowControl/>
              <w:spacing w:line="360" w:lineRule="auto"/>
              <w:rPr>
                <w:rFonts w:hint="eastAsia" w:ascii="宋体" w:hAnsi="宋体" w:cs="宋体"/>
                <w:sz w:val="24"/>
              </w:rPr>
            </w:pPr>
            <w:r>
              <w:rPr>
                <w:rFonts w:hint="eastAsia" w:ascii="宋体" w:hAnsi="宋体" w:cs="宋体"/>
                <w:sz w:val="24"/>
              </w:rPr>
              <w:t>2）供应商须为在中华人民共和国境内登记注册，具有独立法人资格，</w:t>
            </w:r>
            <w:r>
              <w:rPr>
                <w:rFonts w:hint="eastAsia" w:ascii="宋体" w:hAnsi="宋体" w:cs="宋体"/>
                <w:sz w:val="24"/>
                <w:lang w:val="zh-CN"/>
              </w:rPr>
              <w:t>并在人员、设备等方面具备相应的服务能力；</w:t>
            </w:r>
          </w:p>
          <w:p>
            <w:pPr>
              <w:widowControl/>
              <w:spacing w:line="360" w:lineRule="auto"/>
              <w:rPr>
                <w:rFonts w:hint="eastAsia" w:ascii="宋体" w:hAnsi="宋体" w:cs="宋体"/>
                <w:sz w:val="24"/>
              </w:rPr>
            </w:pPr>
            <w:r>
              <w:rPr>
                <w:rFonts w:hint="eastAsia" w:ascii="宋体" w:hAnsi="宋体" w:cs="宋体"/>
                <w:sz w:val="24"/>
              </w:rPr>
              <w:t>3）本项目要求有固定的经营场所；</w:t>
            </w:r>
          </w:p>
          <w:p>
            <w:pPr>
              <w:widowControl/>
              <w:spacing w:line="360" w:lineRule="auto"/>
              <w:rPr>
                <w:rFonts w:hint="eastAsia" w:ascii="宋体" w:hAnsi="宋体" w:cs="宋体"/>
                <w:sz w:val="24"/>
              </w:rPr>
            </w:pPr>
            <w:r>
              <w:rPr>
                <w:rFonts w:hint="eastAsia" w:ascii="宋体" w:hAnsi="宋体" w:cs="宋体"/>
                <w:sz w:val="24"/>
              </w:rPr>
              <w:t>4）本项目不接受联合体投标；</w:t>
            </w:r>
          </w:p>
          <w:p>
            <w:pPr>
              <w:jc w:val="both"/>
              <w:rPr>
                <w:rFonts w:hint="eastAsia" w:ascii="宋体" w:hAnsi="宋体" w:eastAsia="宋体" w:cs="宋体"/>
                <w:sz w:val="24"/>
                <w:szCs w:val="24"/>
                <w:lang w:val="zh-CN"/>
              </w:rPr>
            </w:pPr>
            <w:r>
              <w:rPr>
                <w:rFonts w:hint="eastAsia" w:ascii="宋体" w:hAnsi="宋体" w:cs="宋体"/>
                <w:sz w:val="24"/>
              </w:rPr>
              <w:t>5）法律法规的其他要求规定。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投标有效期</w:t>
            </w:r>
          </w:p>
        </w:tc>
        <w:tc>
          <w:tcPr>
            <w:tcW w:w="6659" w:type="dxa"/>
            <w:vAlign w:val="center"/>
          </w:tcPr>
          <w:p>
            <w:pPr>
              <w:pStyle w:val="2"/>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资格审查</w:t>
            </w:r>
          </w:p>
        </w:tc>
        <w:tc>
          <w:tcPr>
            <w:tcW w:w="6659" w:type="dxa"/>
            <w:vAlign w:val="center"/>
          </w:tcPr>
          <w:p>
            <w:pPr>
              <w:pStyle w:val="2"/>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634" w:type="dxa"/>
            <w:vAlign w:val="center"/>
          </w:tcPr>
          <w:p>
            <w:pPr>
              <w:pStyle w:val="2"/>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资金来源</w:t>
            </w:r>
          </w:p>
        </w:tc>
        <w:tc>
          <w:tcPr>
            <w:tcW w:w="6659" w:type="dxa"/>
            <w:vAlign w:val="center"/>
          </w:tcPr>
          <w:p>
            <w:pPr>
              <w:pStyle w:val="2"/>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lang w:eastAsia="zh-CN"/>
              </w:rPr>
              <w:t>本级资金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1634" w:type="dxa"/>
            <w:vAlign w:val="center"/>
          </w:tcPr>
          <w:p>
            <w:pPr>
              <w:tabs>
                <w:tab w:val="left" w:pos="3122"/>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w:t>
            </w:r>
          </w:p>
        </w:tc>
        <w:tc>
          <w:tcPr>
            <w:tcW w:w="6659" w:type="dxa"/>
            <w:vAlign w:val="center"/>
          </w:tcPr>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缴纳：</w:t>
            </w:r>
          </w:p>
          <w:p>
            <w:pPr>
              <w:widowControl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以采用支票、汇票、电汇、本票或者金融机构、担保机构出具的保函等非现金形式提交，须在201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日中午12时00分之前提交。</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保证金金额：</w:t>
            </w:r>
            <w:r>
              <w:rPr>
                <w:rFonts w:hint="eastAsia" w:ascii="宋体" w:hAnsi="宋体" w:eastAsia="宋体" w:cs="宋体"/>
                <w:color w:val="auto"/>
                <w:sz w:val="24"/>
                <w:szCs w:val="24"/>
                <w:highlight w:val="none"/>
                <w:u w:val="single"/>
                <w:lang w:val="en-US" w:eastAsia="zh-CN"/>
              </w:rPr>
              <w:t>6000.00元（大写：陆仟元整）；</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(1)若采用电汇或支票，投标人应将投标保证金由投标人的基本账户转入指定账户，接收账户如下：</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单位名称：山东蓝盾招标代理有限公司</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开户银行：中国农业银行股份有限公司济南会展中心分理处</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帐    号：15132401040008055</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投标保证金必须由</w:t>
            </w:r>
            <w:r>
              <w:rPr>
                <w:rFonts w:hint="eastAsia" w:ascii="宋体" w:hAnsi="宋体" w:eastAsia="宋体" w:cs="宋体"/>
                <w:b/>
                <w:bCs/>
                <w:spacing w:val="6"/>
                <w:sz w:val="24"/>
                <w:szCs w:val="24"/>
                <w:highlight w:val="none"/>
              </w:rPr>
              <w:t>供应商基本账户</w:t>
            </w:r>
            <w:r>
              <w:rPr>
                <w:rFonts w:hint="eastAsia" w:ascii="宋体" w:hAnsi="宋体" w:eastAsia="宋体" w:cs="宋体"/>
                <w:spacing w:val="6"/>
                <w:sz w:val="24"/>
                <w:szCs w:val="24"/>
                <w:highlight w:val="none"/>
              </w:rPr>
              <w:t>支出。</w:t>
            </w:r>
          </w:p>
          <w:p>
            <w:pPr>
              <w:pStyle w:val="33"/>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未按规定交纳报价保证金的供应商，其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不予接收。</w:t>
            </w:r>
          </w:p>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①投标保证金必须由投标单位的基本账户支出</w:t>
            </w:r>
          </w:p>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②保证金递交时间以代理公司实际到账时间为准。</w:t>
            </w:r>
          </w:p>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③投标保证金须在规定的时间内提交，否则视为无效投标。供应商须在备注栏注明“【</w:t>
            </w: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rPr>
              <w:t>】报价保证金 ”。</w:t>
            </w:r>
          </w:p>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(2)以专业担保机构出具的担保函的形式交纳投标保证金（格式见附件）供应商须在201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日中午12时00分之前发送担保函扫描件</w:t>
            </w:r>
            <w:r>
              <w:rPr>
                <w:rStyle w:val="29"/>
                <w:rFonts w:hint="eastAsia" w:ascii="宋体" w:hAnsi="宋体" w:eastAsia="宋体" w:cs="宋体"/>
                <w:color w:val="auto"/>
                <w:sz w:val="24"/>
                <w:szCs w:val="24"/>
                <w:highlight w:val="none"/>
              </w:rPr>
              <w:t>SDLDZBDL@163.com</w:t>
            </w:r>
            <w:r>
              <w:rPr>
                <w:rFonts w:hint="eastAsia" w:ascii="宋体" w:hAnsi="宋体" w:eastAsia="宋体" w:cs="宋体"/>
                <w:sz w:val="24"/>
                <w:szCs w:val="24"/>
                <w:highlight w:val="none"/>
              </w:rPr>
              <w:t>邮箱,逾期视为自动放弃投标资格。</w:t>
            </w:r>
          </w:p>
          <w:p>
            <w:pPr>
              <w:pStyle w:val="33"/>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退还：</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未成交供应商的保证金将在确定成交供应商后 5 个工作日内退还。成交供应商的保证金将在采购人与成交供应商签订合同并交由招标代理公司后，五个工作日内退还保证金。（采购代理费于领取成交通知书之前交纳）。逾期办理造成损失由成交供应商自行承担。</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保证金退还办理流程：</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请携带投标单位对招标代理公司开的退保证金收据</w:t>
            </w:r>
            <w:r>
              <w:rPr>
                <w:rFonts w:hint="eastAsia" w:ascii="宋体" w:hAnsi="宋体" w:eastAsia="宋体" w:cs="宋体"/>
                <w:b/>
                <w:bCs/>
                <w:color w:val="auto"/>
                <w:sz w:val="24"/>
                <w:szCs w:val="24"/>
                <w:highlight w:val="none"/>
                <w:lang w:eastAsia="zh-CN"/>
              </w:rPr>
              <w:t>（加盖财务章）</w:t>
            </w:r>
            <w:r>
              <w:rPr>
                <w:rFonts w:hint="eastAsia" w:ascii="宋体" w:hAnsi="宋体" w:eastAsia="宋体" w:cs="宋体"/>
                <w:b/>
                <w:bCs/>
                <w:color w:val="auto"/>
                <w:sz w:val="24"/>
                <w:szCs w:val="24"/>
                <w:highlight w:val="none"/>
              </w:rPr>
              <w:t>及开户许可证复印件加盖公章到公司财务部办理</w:t>
            </w:r>
            <w:r>
              <w:rPr>
                <w:rFonts w:hint="eastAsia" w:ascii="宋体" w:hAnsi="宋体" w:eastAsia="宋体" w:cs="宋体"/>
                <w:color w:val="auto"/>
                <w:sz w:val="24"/>
                <w:szCs w:val="24"/>
                <w:highlight w:val="none"/>
              </w:rPr>
              <w:t>。</w:t>
            </w:r>
          </w:p>
          <w:p>
            <w:pPr>
              <w:tabs>
                <w:tab w:val="left" w:pos="3122"/>
              </w:tabs>
              <w:spacing w:line="360" w:lineRule="exact"/>
              <w:jc w:val="both"/>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电话：0531-88809761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634" w:type="dxa"/>
            <w:vAlign w:val="center"/>
          </w:tcPr>
          <w:p>
            <w:pPr>
              <w:pStyle w:val="2"/>
              <w:spacing w:before="0"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响应文件份数</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正本一份，副本</w:t>
            </w:r>
            <w:r>
              <w:rPr>
                <w:rFonts w:hint="eastAsia" w:ascii="宋体" w:hAnsi="宋体" w:eastAsia="宋体" w:cs="宋体"/>
                <w:color w:val="auto"/>
                <w:spacing w:val="6"/>
                <w:sz w:val="24"/>
                <w:szCs w:val="24"/>
                <w:highlight w:val="none"/>
                <w:lang w:eastAsia="zh-CN"/>
              </w:rPr>
              <w:t>四</w:t>
            </w:r>
            <w:r>
              <w:rPr>
                <w:rFonts w:hint="eastAsia" w:ascii="宋体" w:hAnsi="宋体" w:eastAsia="宋体" w:cs="宋体"/>
                <w:color w:val="auto"/>
                <w:spacing w:val="6"/>
                <w:sz w:val="24"/>
                <w:szCs w:val="24"/>
                <w:highlight w:val="none"/>
              </w:rPr>
              <w:t>份。</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投标人资质文件原件（资格后审内容）一份，可不密封。</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投标文件电子版U盘或光盘一份（内容包含投标书所有内容）。</w:t>
            </w:r>
          </w:p>
          <w:p>
            <w:pPr>
              <w:pStyle w:val="2"/>
              <w:spacing w:before="0" w:line="360" w:lineRule="auto"/>
              <w:rPr>
                <w:rFonts w:hint="eastAsia" w:ascii="宋体" w:hAnsi="宋体" w:eastAsia="宋体" w:cs="宋体"/>
                <w:kern w:val="0"/>
                <w:sz w:val="24"/>
                <w:szCs w:val="24"/>
              </w:rPr>
            </w:pPr>
            <w:r>
              <w:rPr>
                <w:rFonts w:hint="eastAsia" w:ascii="宋体" w:hAnsi="宋体" w:eastAsia="宋体" w:cs="宋体"/>
                <w:color w:val="auto"/>
                <w:spacing w:val="6"/>
                <w:sz w:val="24"/>
                <w:szCs w:val="24"/>
                <w:highlight w:val="none"/>
              </w:rPr>
              <w:t>唱标一览表三份（单独密封）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1634" w:type="dxa"/>
            <w:vAlign w:val="center"/>
          </w:tcPr>
          <w:p>
            <w:pPr>
              <w:pStyle w:val="2"/>
              <w:spacing w:before="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提出疑问时间及方式</w:t>
            </w:r>
          </w:p>
        </w:tc>
        <w:tc>
          <w:tcPr>
            <w:tcW w:w="6659" w:type="dxa"/>
            <w:vAlign w:val="center"/>
          </w:tcPr>
          <w:p>
            <w:pPr>
              <w:pStyle w:val="2"/>
              <w:spacing w:before="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rPr>
              <w:t>时</w:t>
            </w:r>
            <w:r>
              <w:rPr>
                <w:rFonts w:hint="eastAsia" w:ascii="宋体" w:hAnsi="宋体" w:eastAsia="宋体" w:cs="宋体"/>
                <w:kern w:val="0"/>
                <w:sz w:val="24"/>
                <w:szCs w:val="24"/>
                <w:highlight w:val="none"/>
              </w:rPr>
              <w:t>间：2019年</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日上午12:00前（北京时间）</w:t>
            </w:r>
          </w:p>
          <w:p>
            <w:pPr>
              <w:pStyle w:val="2"/>
              <w:spacing w:before="0"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招标文件答疑：开标截止时间15日前</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投标</w:t>
            </w:r>
            <w:r>
              <w:rPr>
                <w:rFonts w:hint="eastAsia" w:ascii="宋体" w:hAnsi="宋体" w:eastAsia="宋体" w:cs="宋体"/>
                <w:kern w:val="0"/>
                <w:sz w:val="24"/>
                <w:szCs w:val="24"/>
              </w:rPr>
              <w:t>人可提交纸质文件至济南市高新区工业南路59号中铁财智中心6号楼15楼，同时，发送一份质疑文件的电子文档至SDLDZBDL@163.com并电话通知查收 ；</w:t>
            </w:r>
          </w:p>
          <w:p>
            <w:pPr>
              <w:pStyle w:val="2"/>
              <w:spacing w:before="0"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招标代理机构将澄清文件以书面形式（电子邮件）发至所有投标人邮箱。投标人收到该澄清文件后，以书面形式给予确认。</w:t>
            </w:r>
          </w:p>
          <w:p>
            <w:pPr>
              <w:pStyle w:val="2"/>
              <w:spacing w:before="0"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联系电话：0531-88809762转80</w:t>
            </w:r>
            <w:r>
              <w:rPr>
                <w:rFonts w:hint="eastAsia" w:ascii="宋体" w:hAnsi="宋体" w:cs="宋体"/>
                <w:kern w:val="0"/>
                <w:sz w:val="24"/>
                <w:szCs w:val="24"/>
                <w:lang w:val="en-US" w:eastAsia="zh-CN"/>
              </w:rPr>
              <w:t>10</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w:t>
            </w:r>
          </w:p>
        </w:tc>
        <w:tc>
          <w:tcPr>
            <w:tcW w:w="1634" w:type="dxa"/>
            <w:vAlign w:val="center"/>
          </w:tcPr>
          <w:p>
            <w:pPr>
              <w:pStyle w:val="2"/>
              <w:spacing w:before="0" w:line="360" w:lineRule="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递交响应文件截止时间、地点</w:t>
            </w:r>
          </w:p>
        </w:tc>
        <w:tc>
          <w:tcPr>
            <w:tcW w:w="6659" w:type="dxa"/>
            <w:vAlign w:val="center"/>
          </w:tcPr>
          <w:p>
            <w:pPr>
              <w:pStyle w:val="2"/>
              <w:spacing w:before="0"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时间：201</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rPr>
              <w:t>年</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月</w:t>
            </w:r>
            <w:r>
              <w:rPr>
                <w:rFonts w:hint="eastAsia" w:ascii="宋体" w:hAnsi="宋体"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09</w:t>
            </w:r>
            <w:r>
              <w:rPr>
                <w:rFonts w:hint="eastAsia" w:ascii="宋体" w:hAnsi="宋体" w:eastAsia="宋体" w:cs="宋体"/>
                <w:color w:val="auto"/>
                <w:spacing w:val="6"/>
                <w:sz w:val="24"/>
                <w:szCs w:val="24"/>
                <w:highlight w:val="none"/>
              </w:rPr>
              <w:t>时</w:t>
            </w:r>
            <w:r>
              <w:rPr>
                <w:rFonts w:hint="eastAsia" w:ascii="宋体" w:hAnsi="宋体" w:eastAsia="宋体" w:cs="宋体"/>
                <w:color w:val="auto"/>
                <w:spacing w:val="6"/>
                <w:sz w:val="24"/>
                <w:szCs w:val="24"/>
                <w:highlight w:val="none"/>
                <w:lang w:val="en-US" w:eastAsia="zh-CN"/>
              </w:rPr>
              <w:t>30</w:t>
            </w:r>
            <w:r>
              <w:rPr>
                <w:rFonts w:hint="eastAsia" w:ascii="宋体" w:hAnsi="宋体" w:eastAsia="宋体" w:cs="宋体"/>
                <w:color w:val="auto"/>
                <w:spacing w:val="6"/>
                <w:sz w:val="24"/>
                <w:szCs w:val="24"/>
                <w:highlight w:val="none"/>
              </w:rPr>
              <w:t xml:space="preserve">分(北京时间) </w:t>
            </w:r>
          </w:p>
          <w:p>
            <w:pPr>
              <w:pStyle w:val="2"/>
              <w:spacing w:before="0"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地点：</w:t>
            </w:r>
            <w:r>
              <w:rPr>
                <w:rFonts w:hint="eastAsia" w:ascii="宋体" w:hAnsi="宋体" w:eastAsia="宋体" w:cs="宋体"/>
                <w:color w:val="auto"/>
                <w:spacing w:val="6"/>
                <w:sz w:val="24"/>
                <w:szCs w:val="24"/>
                <w:highlight w:val="none"/>
                <w:lang w:eastAsia="zh-CN"/>
              </w:rPr>
              <w:t>济南市高新区工业南路59号中铁财智中心6号楼15楼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1634"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公开报价</w:t>
            </w:r>
          </w:p>
          <w:p>
            <w:pPr>
              <w:pStyle w:val="2"/>
              <w:spacing w:before="0"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时间及地点</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时间：201</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rPr>
              <w:t>年</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月</w:t>
            </w:r>
            <w:r>
              <w:rPr>
                <w:rFonts w:hint="eastAsia" w:ascii="宋体" w:hAnsi="宋体"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09</w:t>
            </w:r>
            <w:r>
              <w:rPr>
                <w:rFonts w:hint="eastAsia" w:ascii="宋体" w:hAnsi="宋体" w:eastAsia="宋体" w:cs="宋体"/>
                <w:color w:val="auto"/>
                <w:spacing w:val="6"/>
                <w:sz w:val="24"/>
                <w:szCs w:val="24"/>
                <w:highlight w:val="none"/>
              </w:rPr>
              <w:t>时</w:t>
            </w:r>
            <w:r>
              <w:rPr>
                <w:rFonts w:hint="eastAsia" w:ascii="宋体" w:hAnsi="宋体" w:eastAsia="宋体" w:cs="宋体"/>
                <w:color w:val="auto"/>
                <w:spacing w:val="6"/>
                <w:sz w:val="24"/>
                <w:szCs w:val="24"/>
                <w:highlight w:val="none"/>
                <w:lang w:val="en-US" w:eastAsia="zh-CN"/>
              </w:rPr>
              <w:t>30</w:t>
            </w:r>
            <w:r>
              <w:rPr>
                <w:rFonts w:hint="eastAsia" w:ascii="宋体" w:hAnsi="宋体" w:eastAsia="宋体" w:cs="宋体"/>
                <w:color w:val="auto"/>
                <w:spacing w:val="6"/>
                <w:sz w:val="24"/>
                <w:szCs w:val="24"/>
                <w:highlight w:val="none"/>
              </w:rPr>
              <w:t>分(北京时间)</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地点：</w:t>
            </w:r>
            <w:r>
              <w:rPr>
                <w:rFonts w:hint="eastAsia" w:ascii="宋体" w:hAnsi="宋体" w:eastAsia="宋体" w:cs="宋体"/>
                <w:color w:val="auto"/>
                <w:spacing w:val="6"/>
                <w:sz w:val="24"/>
                <w:szCs w:val="24"/>
                <w:highlight w:val="none"/>
                <w:lang w:eastAsia="zh-CN"/>
              </w:rPr>
              <w:t>济南市高新区工业南路59号中铁财智中心6号楼15楼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w:t>
            </w:r>
          </w:p>
        </w:tc>
        <w:tc>
          <w:tcPr>
            <w:tcW w:w="1634" w:type="dxa"/>
            <w:vAlign w:val="center"/>
          </w:tcPr>
          <w:p>
            <w:pPr>
              <w:pStyle w:val="2"/>
              <w:spacing w:before="0"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付款方式</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0"/>
                <w:sz w:val="24"/>
                <w:szCs w:val="24"/>
                <w:highlight w:val="none"/>
              </w:rPr>
            </w:pPr>
            <w:r>
              <w:rPr>
                <w:rFonts w:hint="eastAsia" w:ascii="宋体" w:hAnsi="宋体" w:cs="宋体"/>
                <w:color w:val="000000"/>
                <w:sz w:val="24"/>
                <w:szCs w:val="24"/>
                <w:highlight w:val="none"/>
              </w:rPr>
              <w:t>合同签订后，根据采购人实际需求，相关宣传广告材料制作完成经采购人验收合格后，按季度据实结算相关费用。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w:t>
            </w:r>
          </w:p>
        </w:tc>
        <w:tc>
          <w:tcPr>
            <w:tcW w:w="1634" w:type="dxa"/>
            <w:vAlign w:val="center"/>
          </w:tcPr>
          <w:p>
            <w:pPr>
              <w:pStyle w:val="2"/>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装订方式</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0"/>
                <w:sz w:val="24"/>
                <w:szCs w:val="24"/>
                <w:highlight w:val="none"/>
              </w:rPr>
            </w:pPr>
            <w:r>
              <w:rPr>
                <w:rFonts w:hint="eastAsia" w:ascii="宋体" w:hAnsi="宋体" w:eastAsia="宋体" w:cs="宋体"/>
                <w:color w:val="auto"/>
                <w:spacing w:val="6"/>
                <w:sz w:val="24"/>
                <w:szCs w:val="24"/>
                <w:highlight w:val="none"/>
              </w:rPr>
              <w:t>胶装（否则按废标处理）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634" w:type="dxa"/>
            <w:vAlign w:val="center"/>
          </w:tcPr>
          <w:p>
            <w:pPr>
              <w:pStyle w:val="2"/>
              <w:spacing w:before="0"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其他说明</w:t>
            </w:r>
          </w:p>
        </w:tc>
        <w:tc>
          <w:tcPr>
            <w:tcW w:w="6659" w:type="dxa"/>
            <w:vAlign w:val="center"/>
          </w:tcPr>
          <w:p>
            <w:pPr>
              <w:pStyle w:val="2"/>
              <w:spacing w:before="0"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投标费用：投标人自行承担投标保证金等与参加投标有关的所有费用。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招标人不承诺在服务期内中标人一定能获得提供服务的</w:t>
            </w:r>
            <w:r>
              <w:rPr>
                <w:rFonts w:hint="eastAsia" w:ascii="宋体" w:hAnsi="宋体" w:eastAsia="宋体" w:cs="宋体"/>
                <w:sz w:val="24"/>
                <w:szCs w:val="24"/>
                <w:lang w:eastAsia="zh-CN"/>
              </w:rPr>
              <w:t>机</w:t>
            </w:r>
            <w:r>
              <w:rPr>
                <w:rFonts w:hint="eastAsia" w:ascii="宋体" w:hAnsi="宋体" w:eastAsia="宋体" w:cs="宋体"/>
                <w:sz w:val="24"/>
                <w:szCs w:val="24"/>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6</w:t>
            </w:r>
          </w:p>
        </w:tc>
        <w:tc>
          <w:tcPr>
            <w:tcW w:w="1634"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6659"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本次评标采用百分制综合评分法，评标委员会成员综合评定各投标人提交的投标文件，在最大限度地满足招标文件实质性要求的前提下按照招标文件中规定的各项因素进行综合评审后，按照评标得分由高到低顺序推荐入围中标人。（后附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w:t>
            </w:r>
          </w:p>
        </w:tc>
        <w:tc>
          <w:tcPr>
            <w:tcW w:w="1634"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pacing w:val="6"/>
                <w:sz w:val="24"/>
                <w:szCs w:val="24"/>
                <w:lang w:eastAsia="zh-CN"/>
              </w:rPr>
              <w:t>政府采购优惠政策</w:t>
            </w:r>
          </w:p>
        </w:tc>
        <w:tc>
          <w:tcPr>
            <w:tcW w:w="6659" w:type="dxa"/>
            <w:vAlign w:val="center"/>
          </w:tcPr>
          <w:p>
            <w:pPr>
              <w:widowControl w:val="0"/>
              <w:numPr>
                <w:ilvl w:val="0"/>
                <w:numId w:val="0"/>
              </w:numPr>
              <w:tabs>
                <w:tab w:val="left" w:pos="558"/>
              </w:tabs>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节能、环保产品。</w:t>
            </w:r>
          </w:p>
          <w:p>
            <w:pPr>
              <w:widowControl w:val="0"/>
              <w:numPr>
                <w:ilvl w:val="0"/>
                <w:numId w:val="0"/>
              </w:numPr>
              <w:tabs>
                <w:tab w:val="left" w:pos="579"/>
              </w:tabs>
              <w:spacing w:line="360" w:lineRule="auto"/>
              <w:ind w:firstLine="240" w:firstLineChars="1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本项目评标委员会在</w:t>
            </w:r>
            <w:r>
              <w:rPr>
                <w:rFonts w:hint="eastAsia" w:ascii="宋体" w:hAnsi="宋体" w:cs="宋体"/>
                <w:sz w:val="24"/>
                <w:szCs w:val="24"/>
                <w:highlight w:val="none"/>
                <w:lang w:eastAsia="zh-CN"/>
              </w:rPr>
              <w:t>价格评标项中，对节能、环保产品分别分别给予价格评标总分值的</w:t>
            </w:r>
            <w:r>
              <w:rPr>
                <w:rFonts w:hint="eastAsia" w:ascii="宋体" w:hAnsi="宋体" w:cs="宋体"/>
                <w:sz w:val="24"/>
                <w:szCs w:val="24"/>
                <w:highlight w:val="none"/>
                <w:lang w:val="en-US" w:eastAsia="zh-CN"/>
              </w:rPr>
              <w:t>4%的加分，总分值最高加评标价格总分值的4%；</w:t>
            </w:r>
          </w:p>
          <w:p>
            <w:pPr>
              <w:widowControl w:val="0"/>
              <w:numPr>
                <w:ilvl w:val="0"/>
                <w:numId w:val="0"/>
              </w:numPr>
              <w:tabs>
                <w:tab w:val="left" w:pos="579"/>
              </w:tabs>
              <w:spacing w:line="360" w:lineRule="auto"/>
              <w:ind w:firstLine="240" w:firstLineChars="10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1.2</w:t>
            </w:r>
            <w:r>
              <w:rPr>
                <w:rFonts w:hint="eastAsia" w:ascii="宋体" w:hAnsi="宋体" w:cs="宋体"/>
                <w:sz w:val="24"/>
                <w:szCs w:val="24"/>
                <w:highlight w:val="none"/>
                <w:lang w:val="en-US" w:eastAsia="zh-CN"/>
              </w:rPr>
              <w:t>“节能产品政府采购清单”优采加分：加分=价格评标总分值*4%*【所投“节能产品政府采购清单”（政府强制采购节能产品除外）中的产品价格在投标报价中所占比例】</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“环境标志产品政府采购清单”优采加分：加分=价格评标总分值*4%*【所投“环境标志产品政府采购清单”中的产品价格在投标报价中所占比例】</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投标人所投产品如属于财政部、国家发展和改革委员会制定的最新的《节能产品政府采购清单》、《环境标志产品政府采购清单》中的产品，应在投标文件显著位置提供《节能产品政府采购清单》或《环境标志产品政府采购清单》当前页复印件，未按要求列明的，将不给予价格扣除的政策优惠；</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如发现投标人不如实填写、列明的，如中标将取消中标资格；同时采购人及采购代理机构有权向财政监管部门申请将其列入不诚信投标人名单并停止其参与一定期限的政府采购活动。</w:t>
            </w:r>
          </w:p>
          <w:p>
            <w:pPr>
              <w:widowControl w:val="0"/>
              <w:numPr>
                <w:ilvl w:val="0"/>
                <w:numId w:val="0"/>
              </w:numPr>
              <w:tabs>
                <w:tab w:val="left" w:pos="558"/>
              </w:tabs>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评标价格仅为评定价格，不作为最终的中标价格。</w:t>
            </w:r>
          </w:p>
          <w:p>
            <w:pPr>
              <w:widowControl w:val="0"/>
              <w:numPr>
                <w:ilvl w:val="0"/>
                <w:numId w:val="1"/>
              </w:numPr>
              <w:tabs>
                <w:tab w:val="left" w:pos="488"/>
              </w:tabs>
              <w:spacing w:line="360" w:lineRule="auto"/>
              <w:jc w:val="both"/>
              <w:rPr>
                <w:rFonts w:hint="eastAsia" w:ascii="宋体" w:hAnsi="宋体" w:eastAsia="宋体" w:cs="宋体"/>
                <w:sz w:val="24"/>
                <w:szCs w:val="24"/>
              </w:rPr>
            </w:pPr>
            <w:r>
              <w:rPr>
                <w:rFonts w:hint="eastAsia" w:ascii="宋体" w:hAnsi="宋体" w:eastAsia="宋体" w:cs="宋体"/>
                <w:sz w:val="24"/>
                <w:szCs w:val="24"/>
              </w:rPr>
              <w:t>中小企业优惠办法</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根据《政府采购促进中小企业发展暂行办法》的规定，本项目评标委员会在综合评审时将给予小微企业的评标价格 6%的价格扣除；小微企业将以扣除后的评标价格参与价格得分的计算及评审；</w:t>
            </w:r>
          </w:p>
          <w:p>
            <w:pPr>
              <w:widowControl w:val="0"/>
              <w:numPr>
                <w:ilvl w:val="0"/>
                <w:numId w:val="0"/>
              </w:numPr>
              <w:tabs>
                <w:tab w:val="left" w:pos="548"/>
              </w:tabs>
              <w:spacing w:line="360" w:lineRule="auto"/>
              <w:ind w:left="252"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具体计算方式为：小微企业的评标价格=其投标报价—投标报价*扣除比例；</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如投标人为小微企业，应根据工业和信息化部、国家统计局、国家发展改革委、财政部《关于印发中小企业划型标准规定的通知》（工信部联企业〔2011〕300 号），结合本公司实际情况如实填写中小企业声明函，并在投标文件中提供声明函原件及相关证明材料原件；未按要求提供声明函原件及证明材料原件的，将不给予价格扣除的政策优惠；</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按照《财政部 司法部关于政府采购支持监狱企业发展有关问题的通知》（财库【2014】68 号）文件规定，在政府采购活动中，监狱企业视同小型、微型企业，享受评审中价格扣除的政府采购政策。</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如发现投标人不如实填写小微企业声明函的，如中标将取消中标资格；同时采购人及采购代理机构有权向财政监管部门申请将其列入不诚信投标人名单并停止其参与一定期限的政府采购活动。</w:t>
            </w:r>
          </w:p>
          <w:p>
            <w:pPr>
              <w:widowControl w:val="0"/>
              <w:tabs>
                <w:tab w:val="left" w:pos="569"/>
              </w:tabs>
              <w:spacing w:line="360" w:lineRule="auto"/>
              <w:jc w:val="both"/>
              <w:rPr>
                <w:rFonts w:hint="eastAsia" w:ascii="宋体" w:hAnsi="宋体" w:eastAsia="宋体" w:cs="宋体"/>
                <w:sz w:val="24"/>
                <w:szCs w:val="24"/>
              </w:rPr>
            </w:pPr>
            <w:r>
              <w:rPr>
                <w:rFonts w:hint="eastAsia" w:ascii="宋体" w:hAnsi="宋体" w:eastAsia="宋体" w:cs="宋体"/>
                <w:sz w:val="24"/>
                <w:szCs w:val="24"/>
              </w:rPr>
              <w:t>3.残疾人企业</w:t>
            </w:r>
          </w:p>
          <w:p>
            <w:pPr>
              <w:widowControl w:val="0"/>
              <w:tabs>
                <w:tab w:val="left" w:pos="569"/>
              </w:tabs>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1）根据财库〔2017〕141号文件规定，在政府采购活动中，残疾人福利性单位视同小型、微型企业，享受预留份额、评审中价格扣除等促进中小企业发展的政府采购政策</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评标价格仅为评定价格，不作为最终的中标价格。</w:t>
            </w:r>
          </w:p>
        </w:tc>
      </w:tr>
    </w:tbl>
    <w:p>
      <w:pPr>
        <w:pStyle w:val="2"/>
        <w:adjustRightInd w:val="0"/>
        <w:snapToGrid w:val="0"/>
        <w:spacing w:before="0" w:line="360" w:lineRule="auto"/>
        <w:outlineLvl w:val="1"/>
        <w:rPr>
          <w:rFonts w:ascii="宋体" w:hAnsi="宋体"/>
          <w:b/>
          <w:bCs/>
          <w:szCs w:val="24"/>
        </w:rPr>
      </w:pPr>
      <w:bookmarkStart w:id="25" w:name="_Toc525723047"/>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b/>
          <w:bCs/>
          <w:szCs w:val="24"/>
          <w:lang w:eastAsia="zh-CN"/>
        </w:rPr>
      </w:pPr>
    </w:p>
    <w:p>
      <w:pPr>
        <w:pStyle w:val="2"/>
        <w:adjustRightInd w:val="0"/>
        <w:snapToGrid w:val="0"/>
        <w:spacing w:before="0" w:line="360" w:lineRule="auto"/>
        <w:outlineLvl w:val="1"/>
        <w:rPr>
          <w:rFonts w:hint="eastAsia" w:ascii="宋体" w:hAnsi="宋体" w:eastAsia="宋体" w:cs="宋体"/>
          <w:b/>
          <w:bCs/>
          <w:sz w:val="24"/>
          <w:szCs w:val="24"/>
          <w:lang w:eastAsia="zh-CN"/>
        </w:rPr>
      </w:pPr>
    </w:p>
    <w:p>
      <w:pPr>
        <w:pStyle w:val="2"/>
        <w:adjustRightInd w:val="0"/>
        <w:snapToGrid w:val="0"/>
        <w:spacing w:before="0" w:line="360" w:lineRule="auto"/>
        <w:outlineLvl w:val="1"/>
        <w:rPr>
          <w:rFonts w:hint="eastAsia" w:ascii="宋体" w:hAnsi="宋体" w:eastAsia="宋体" w:cs="宋体"/>
          <w:b/>
          <w:bCs/>
          <w:sz w:val="24"/>
          <w:szCs w:val="24"/>
          <w:lang w:eastAsia="zh-CN"/>
        </w:rPr>
      </w:pPr>
    </w:p>
    <w:p>
      <w:pPr>
        <w:pStyle w:val="2"/>
        <w:adjustRightInd w:val="0"/>
        <w:snapToGrid w:val="0"/>
        <w:spacing w:before="0" w:line="360" w:lineRule="auto"/>
        <w:outlineLvl w:val="1"/>
        <w:rPr>
          <w:rFonts w:hint="eastAsia" w:ascii="宋体" w:hAnsi="宋体" w:eastAsia="宋体" w:cs="宋体"/>
          <w:b/>
          <w:bCs/>
          <w:sz w:val="24"/>
          <w:szCs w:val="24"/>
        </w:rPr>
      </w:pPr>
      <w:bookmarkStart w:id="26" w:name="_Toc20556"/>
      <w:r>
        <w:rPr>
          <w:rFonts w:hint="eastAsia" w:ascii="宋体" w:hAnsi="宋体" w:eastAsia="宋体" w:cs="宋体"/>
          <w:b/>
          <w:bCs/>
          <w:sz w:val="24"/>
          <w:szCs w:val="24"/>
          <w:lang w:eastAsia="zh-CN"/>
        </w:rPr>
        <w:t>一、</w:t>
      </w:r>
      <w:r>
        <w:rPr>
          <w:rFonts w:hint="eastAsia" w:ascii="宋体" w:hAnsi="宋体" w:eastAsia="宋体" w:cs="宋体"/>
          <w:b/>
          <w:bCs/>
          <w:sz w:val="24"/>
          <w:szCs w:val="24"/>
        </w:rPr>
        <w:t>适用范围</w:t>
      </w:r>
      <w:bookmarkEnd w:id="25"/>
      <w:bookmarkEnd w:id="2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本招标文件仅适用于本次招标公告中所叙述的项目。</w:t>
      </w:r>
    </w:p>
    <w:p>
      <w:pPr>
        <w:pStyle w:val="2"/>
        <w:adjustRightInd w:val="0"/>
        <w:snapToGrid w:val="0"/>
        <w:spacing w:before="0" w:line="360" w:lineRule="auto"/>
        <w:outlineLvl w:val="1"/>
        <w:rPr>
          <w:rFonts w:hint="eastAsia" w:ascii="宋体" w:hAnsi="宋体" w:eastAsia="宋体" w:cs="宋体"/>
          <w:b/>
          <w:bCs/>
          <w:sz w:val="24"/>
          <w:szCs w:val="24"/>
        </w:rPr>
      </w:pPr>
      <w:bookmarkStart w:id="27" w:name="_Toc4673"/>
      <w:bookmarkStart w:id="28" w:name="_Toc525723048"/>
      <w:r>
        <w:rPr>
          <w:rFonts w:hint="eastAsia" w:ascii="宋体" w:hAnsi="宋体" w:eastAsia="宋体" w:cs="宋体"/>
          <w:b/>
          <w:bCs/>
          <w:sz w:val="24"/>
          <w:szCs w:val="24"/>
        </w:rPr>
        <w:t>二、定义</w:t>
      </w:r>
      <w:bookmarkEnd w:id="27"/>
      <w:bookmarkEnd w:id="2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1、“招标人”系指</w:t>
      </w:r>
      <w:r>
        <w:rPr>
          <w:rFonts w:hint="eastAsia" w:ascii="宋体" w:hAnsi="宋体" w:cs="宋体"/>
          <w:kern w:val="1"/>
          <w:sz w:val="24"/>
          <w:szCs w:val="24"/>
          <w:lang w:eastAsia="zh-CN"/>
        </w:rPr>
        <w:t>济南市消防支队章丘区大队</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2、“采购代理机构”系指</w:t>
      </w:r>
      <w:r>
        <w:rPr>
          <w:rFonts w:hint="eastAsia" w:ascii="宋体" w:hAnsi="宋体" w:eastAsia="宋体" w:cs="宋体"/>
          <w:sz w:val="24"/>
          <w:szCs w:val="24"/>
          <w:lang w:eastAsia="zh-CN"/>
        </w:rPr>
        <w:t>山东蓝盾招标代理有限公司</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3、“投标人”系指购买招标文件并向采购代理机构提交投标文件的单位。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4、“入围投标人”系指经评标委员会初步评审，投标文件符合招标文件要求，进入综合评审阶段的投标人。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入围中标人”系指由评标委员会对入围投标人进行综合评审后，评选出的对招标文件做出实质性响应、综合竞争实力最优、有能力提供工程、货物和服务，遵守投标文件和询标时的承诺，赢得与甲方签订采购合同资格的投标人。 </w:t>
      </w:r>
    </w:p>
    <w:p>
      <w:pPr>
        <w:pStyle w:val="4"/>
        <w:numPr>
          <w:ilvl w:val="0"/>
          <w:numId w:val="0"/>
        </w:numPr>
        <w:spacing w:before="0" w:after="0" w:line="360" w:lineRule="auto"/>
        <w:rPr>
          <w:rFonts w:hint="eastAsia" w:ascii="宋体" w:hAnsi="宋体" w:eastAsia="宋体" w:cs="宋体"/>
          <w:bCs/>
          <w:sz w:val="24"/>
          <w:szCs w:val="24"/>
        </w:rPr>
      </w:pPr>
      <w:bookmarkStart w:id="29" w:name="_Toc20935"/>
      <w:bookmarkStart w:id="30" w:name="_Toc525723049"/>
      <w:r>
        <w:rPr>
          <w:rFonts w:hint="eastAsia" w:ascii="宋体" w:hAnsi="宋体" w:eastAsia="宋体" w:cs="宋体"/>
          <w:bCs/>
          <w:sz w:val="24"/>
          <w:szCs w:val="24"/>
        </w:rPr>
        <w:t>三、招标文件说明</w:t>
      </w:r>
      <w:bookmarkEnd w:id="29"/>
      <w:bookmarkEnd w:id="30"/>
    </w:p>
    <w:p>
      <w:pPr>
        <w:pStyle w:val="16"/>
        <w:tabs>
          <w:tab w:val="right" w:leader="dot" w:pos="8302"/>
        </w:tabs>
        <w:spacing w:line="360" w:lineRule="auto"/>
        <w:rPr>
          <w:rFonts w:hint="eastAsia" w:ascii="宋体" w:hAnsi="宋体" w:eastAsia="宋体" w:cs="宋体"/>
          <w:sz w:val="24"/>
          <w:szCs w:val="24"/>
        </w:rPr>
      </w:pPr>
      <w:r>
        <w:rPr>
          <w:rFonts w:hint="eastAsia" w:ascii="宋体" w:hAnsi="宋体" w:eastAsia="宋体" w:cs="宋体"/>
          <w:sz w:val="24"/>
          <w:szCs w:val="24"/>
        </w:rPr>
        <w:t>（一）招标文件的组成：</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1、招标公告；</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2、投标人须知；</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3、项目说明；</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4、开标、评标、定标；</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5、授予合同；</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6、附件。</w:t>
      </w:r>
    </w:p>
    <w:p>
      <w:pPr>
        <w:pStyle w:val="16"/>
        <w:tabs>
          <w:tab w:val="right" w:leader="dot" w:pos="8302"/>
        </w:tabs>
        <w:spacing w:line="360" w:lineRule="auto"/>
        <w:rPr>
          <w:rFonts w:hint="eastAsia" w:ascii="宋体" w:hAnsi="宋体" w:eastAsia="宋体" w:cs="宋体"/>
          <w:sz w:val="24"/>
          <w:szCs w:val="24"/>
        </w:rPr>
      </w:pPr>
      <w:r>
        <w:rPr>
          <w:rFonts w:hint="eastAsia" w:ascii="宋体" w:hAnsi="宋体" w:eastAsia="宋体" w:cs="宋体"/>
          <w:sz w:val="24"/>
          <w:szCs w:val="24"/>
        </w:rPr>
        <w:t>（二）招标文件的修改</w:t>
      </w:r>
    </w:p>
    <w:p>
      <w:pPr>
        <w:pStyle w:val="16"/>
        <w:tabs>
          <w:tab w:val="right" w:leader="dot" w:pos="83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代理机构对招标文件必要的澄清或修改的内容，须在招标文件要求提交投标文件截止时间15日前以书面形式通知已购买招标文件的每一投标人。补充文件将作为招标文件的组成部分，对所有投标人均具有约束力。</w:t>
      </w:r>
    </w:p>
    <w:p>
      <w:pPr>
        <w:adjustRightInd w:val="0"/>
        <w:snapToGrid w:val="0"/>
        <w:spacing w:line="360" w:lineRule="auto"/>
        <w:ind w:firstLine="480" w:firstLineChars="200"/>
        <w:rPr>
          <w:rFonts w:hint="eastAsia" w:ascii="宋体" w:hAnsi="宋体" w:eastAsia="宋体" w:cs="宋体"/>
          <w:sz w:val="24"/>
          <w:szCs w:val="24"/>
          <w:bdr w:val="single" w:color="auto" w:sz="4" w:space="0"/>
        </w:rPr>
      </w:pPr>
      <w:r>
        <w:rPr>
          <w:rFonts w:hint="eastAsia" w:ascii="宋体" w:hAnsi="宋体" w:eastAsia="宋体" w:cs="宋体"/>
          <w:sz w:val="24"/>
          <w:szCs w:val="24"/>
        </w:rPr>
        <w:t>2、为使投标人有足够的时间按招标文件的要求修改投标文件，采购代理机构可酌情推迟投标的截止日期和开标日期，并将此变更通知上述每一投标人。</w:t>
      </w:r>
    </w:p>
    <w:p>
      <w:pPr>
        <w:pStyle w:val="16"/>
        <w:tabs>
          <w:tab w:val="right" w:leader="dot" w:pos="8302"/>
        </w:tabs>
        <w:spacing w:line="360" w:lineRule="auto"/>
        <w:rPr>
          <w:rFonts w:hint="eastAsia" w:ascii="宋体" w:hAnsi="宋体" w:eastAsia="宋体" w:cs="宋体"/>
          <w:sz w:val="24"/>
          <w:szCs w:val="24"/>
        </w:rPr>
      </w:pPr>
      <w:r>
        <w:rPr>
          <w:rFonts w:hint="eastAsia" w:ascii="宋体" w:hAnsi="宋体" w:eastAsia="宋体" w:cs="宋体"/>
          <w:sz w:val="24"/>
          <w:szCs w:val="24"/>
        </w:rPr>
        <w:t>（三）招标文件的澄清</w:t>
      </w:r>
    </w:p>
    <w:p>
      <w:pPr>
        <w:pStyle w:val="2"/>
        <w:adjustRightInd w:val="0"/>
        <w:snapToGrid w:val="0"/>
        <w:spacing w:before="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招标文件答疑：详见投标人须知前附表。</w:t>
      </w:r>
    </w:p>
    <w:p>
      <w:pPr>
        <w:pStyle w:val="2"/>
        <w:adjustRightInd w:val="0"/>
        <w:snapToGrid w:val="0"/>
        <w:spacing w:before="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当招标文件、答疑材料内容相互矛盾时，以最后发出的答疑材料为准。</w:t>
      </w:r>
    </w:p>
    <w:p>
      <w:pPr>
        <w:pStyle w:val="2"/>
        <w:adjustRightInd w:val="0"/>
        <w:snapToGrid w:val="0"/>
        <w:spacing w:before="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使投标人有足够的时间按招标文件的要求修改投标文件，代理招标人可酌情更改开标地点或推迟投标的截止与开标时间，延长投标截止时间和开标时间，至少应当在招标文件要求提交投标文件的截止时间三日前，将变更时间书面通知所有招标文件收受人。</w:t>
      </w:r>
    </w:p>
    <w:p>
      <w:pPr>
        <w:pStyle w:val="2"/>
        <w:adjustRightInd w:val="0"/>
        <w:snapToGrid w:val="0"/>
        <w:spacing w:before="0" w:line="360" w:lineRule="auto"/>
        <w:outlineLvl w:val="1"/>
        <w:rPr>
          <w:rFonts w:hint="eastAsia" w:ascii="宋体" w:hAnsi="宋体" w:eastAsia="宋体" w:cs="宋体"/>
          <w:b/>
          <w:bCs/>
          <w:sz w:val="24"/>
          <w:szCs w:val="24"/>
        </w:rPr>
      </w:pPr>
      <w:bookmarkStart w:id="31" w:name="_Toc525723050"/>
      <w:bookmarkStart w:id="32" w:name="_Toc24950"/>
      <w:r>
        <w:rPr>
          <w:rFonts w:hint="eastAsia" w:ascii="宋体" w:hAnsi="宋体" w:eastAsia="宋体" w:cs="宋体"/>
          <w:b/>
          <w:bCs/>
          <w:sz w:val="24"/>
          <w:szCs w:val="24"/>
        </w:rPr>
        <w:t>四、投标文件的编写</w:t>
      </w:r>
      <w:bookmarkEnd w:id="31"/>
      <w:bookmarkEnd w:id="32"/>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投标人应仔细阅读招标文件的所有内容，并按招标文件的要求提供投标文件，保证所提供的全部资料的真实性、准确性及完整性，以使其投标对招标文件做出实质性响应。否则，其投标有可能被拒绝。</w:t>
      </w:r>
    </w:p>
    <w:p>
      <w:pPr>
        <w:pStyle w:val="16"/>
        <w:tabs>
          <w:tab w:val="right" w:leader="dot" w:pos="8302"/>
        </w:tabs>
        <w:spacing w:line="360" w:lineRule="auto"/>
        <w:rPr>
          <w:rFonts w:hint="eastAsia" w:ascii="宋体" w:hAnsi="宋体" w:eastAsia="宋体" w:cs="宋体"/>
          <w:sz w:val="24"/>
          <w:szCs w:val="24"/>
        </w:rPr>
      </w:pPr>
      <w:r>
        <w:rPr>
          <w:rFonts w:hint="eastAsia" w:ascii="宋体" w:hAnsi="宋体" w:eastAsia="宋体" w:cs="宋体"/>
          <w:sz w:val="24"/>
          <w:szCs w:val="24"/>
        </w:rPr>
        <w:t>（一）投标文件的组成与装订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投标人应按招标文件的要求编写投标文件，提交包括证明其有资格进行投标和有能力履行合同的文件。投标文件包括以下内容：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1、资格、</w:t>
      </w:r>
      <w:r>
        <w:rPr>
          <w:rFonts w:hint="eastAsia" w:ascii="宋体" w:hAnsi="宋体" w:eastAsia="宋体" w:cs="宋体"/>
          <w:sz w:val="24"/>
          <w:szCs w:val="24"/>
          <w:highlight w:val="none"/>
        </w:rPr>
        <w:t>资质证明文件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（1）法定代表人或其授权人签署的投标函（附件一）；</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（2）营业执照副本</w:t>
      </w:r>
      <w:r>
        <w:rPr>
          <w:rFonts w:hint="eastAsia" w:ascii="宋体" w:hAnsi="宋体" w:eastAsia="宋体" w:cs="宋体"/>
          <w:sz w:val="24"/>
          <w:szCs w:val="24"/>
          <w:highlight w:val="none"/>
          <w:lang w:eastAsia="zh-CN"/>
        </w:rPr>
        <w:t>（三证合一）</w:t>
      </w:r>
      <w:r>
        <w:rPr>
          <w:rFonts w:hint="eastAsia" w:ascii="宋体" w:hAnsi="宋体" w:eastAsia="宋体" w:cs="宋体"/>
          <w:sz w:val="24"/>
          <w:szCs w:val="24"/>
          <w:highlight w:val="none"/>
        </w:rPr>
        <w:t>复印件；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（3）法定代表人授权委托书及授权代理人的身份证复印件；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hAnsi="宋体"/>
          <w:kern w:val="0"/>
          <w:sz w:val="24"/>
          <w:highlight w:val="none"/>
        </w:rPr>
        <w:t>201</w:t>
      </w:r>
      <w:r>
        <w:rPr>
          <w:rFonts w:hint="eastAsia" w:hAnsi="宋体"/>
          <w:kern w:val="0"/>
          <w:sz w:val="24"/>
          <w:highlight w:val="none"/>
          <w:lang w:val="en-US" w:eastAsia="zh-CN"/>
        </w:rPr>
        <w:t>9</w:t>
      </w:r>
      <w:r>
        <w:rPr>
          <w:rFonts w:hint="eastAsia" w:hAnsi="宋体"/>
          <w:kern w:val="0"/>
          <w:sz w:val="24"/>
          <w:highlight w:val="none"/>
        </w:rPr>
        <w:t>年任意一个月的依法缴税和依法缴纳社会保障资金的证明材料（复印件加盖供应商公章）；</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（5）投标人提供履行合同所必需的设备和专业技术力量的相关书面声明(格式自拟) ；</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）济南市市区办公场所房产证或租赁协议复印件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（开标时须携带原件）</w:t>
      </w:r>
    </w:p>
    <w:p>
      <w:pPr>
        <w:spacing w:line="360" w:lineRule="auto"/>
        <w:ind w:left="400" w:left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）信用查询结果网页截图；</w:t>
      </w:r>
    </w:p>
    <w:p>
      <w:pPr>
        <w:spacing w:line="360" w:lineRule="auto"/>
        <w:ind w:left="400" w:leftChars="200"/>
        <w:rPr>
          <w:rFonts w:hint="eastAsia"/>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hAnsi="宋体"/>
          <w:kern w:val="0"/>
          <w:sz w:val="24"/>
          <w:highlight w:val="none"/>
        </w:rPr>
        <w:t>参加政府采购活动前3年内在经营活动中没有重大违法记录的书面声明并加盖供应商公章；</w:t>
      </w:r>
    </w:p>
    <w:p>
      <w:pPr>
        <w:widowControl/>
        <w:adjustRightInd w:val="0"/>
        <w:snapToGrid w:val="0"/>
        <w:spacing w:line="360" w:lineRule="auto"/>
        <w:ind w:left="200" w:leftChars="100" w:firstLine="354" w:firstLineChars="147"/>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highlight w:val="none"/>
        </w:rPr>
        <w:t>注：以上内容需全部加盖公章，如资格证明文件中缺少其中任何一</w:t>
      </w:r>
      <w:r>
        <w:rPr>
          <w:rFonts w:hint="eastAsia" w:ascii="宋体" w:hAnsi="宋体" w:eastAsia="宋体" w:cs="宋体"/>
          <w:b/>
          <w:bCs/>
          <w:snapToGrid w:val="0"/>
          <w:kern w:val="0"/>
          <w:sz w:val="24"/>
          <w:szCs w:val="24"/>
        </w:rPr>
        <w:t>项，则视为资格后审不合格，不进入下一步评审。投标人对提供的以上资料的真实性负责，评审过程中评审委员会若对以上投标人提供的资料有异议，可要求投标人在评审阶段提供原件进行复核，若发现有不实之处，按无效投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2、技术文件</w:t>
      </w:r>
    </w:p>
    <w:p>
      <w:pPr>
        <w:numPr>
          <w:ilvl w:val="0"/>
          <w:numId w:val="2"/>
        </w:numPr>
        <w:spacing w:line="360" w:lineRule="auto"/>
        <w:rPr>
          <w:rFonts w:hint="eastAsia" w:ascii="宋体" w:hAnsi="宋体" w:eastAsia="宋体" w:cs="宋体"/>
          <w:sz w:val="24"/>
          <w:szCs w:val="24"/>
          <w:highlight w:val="none"/>
        </w:rPr>
      </w:pPr>
      <w:r>
        <w:rPr>
          <w:rFonts w:hAnsi="宋体"/>
          <w:sz w:val="24"/>
          <w:highlight w:val="none"/>
        </w:rPr>
        <w:t>证明货物的合格性和符合</w:t>
      </w:r>
      <w:r>
        <w:rPr>
          <w:rFonts w:hint="eastAsia" w:hAnsi="宋体"/>
          <w:sz w:val="24"/>
          <w:highlight w:val="none"/>
          <w:lang w:eastAsia="zh-CN"/>
        </w:rPr>
        <w:t>招标文件</w:t>
      </w:r>
      <w:r>
        <w:rPr>
          <w:rFonts w:hAnsi="宋体"/>
          <w:sz w:val="24"/>
          <w:highlight w:val="none"/>
        </w:rPr>
        <w:t>规定的技术资料</w:t>
      </w:r>
      <w:r>
        <w:rPr>
          <w:rFonts w:hint="eastAsia" w:hAnsi="宋体"/>
          <w:sz w:val="24"/>
          <w:highlight w:val="none"/>
          <w:lang w:eastAsia="zh-CN"/>
        </w:rPr>
        <w:t>；</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货物主要技术指标和性能的详细说明，包括设备规格（型号）、详细配置、主要技术参数说明、制造商（产地）等；</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服务主要内容、指标要求；</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技术服务保障措施及工作安排；</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投标人办公场所的地理位置、所有权、使用权证明、实景图片等；</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提供服务所需设施、设备一览表；</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服务团队专业人员配备情况； </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p>
      <w:pPr>
        <w:numPr>
          <w:ilvl w:val="0"/>
          <w:numId w:val="2"/>
        </w:num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技术偏离表</w:t>
      </w:r>
      <w:r>
        <w:rPr>
          <w:rFonts w:hint="eastAsia" w:ascii="宋体" w:hAnsi="宋体" w:eastAsia="宋体" w:cs="宋体"/>
          <w:sz w:val="24"/>
          <w:szCs w:val="24"/>
          <w:highlight w:val="none"/>
        </w:rPr>
        <w:t>；</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供应商在详细阐述货物的主要技术指标和性能说明时，应注意</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第三部分项目说明及技术要求中指出的工艺、材料和货物标准以及参照的品牌或文字叙述仅起说明作用，并无任何限制性，供应商可选用替代标准、品牌或文字叙述，但这些替代要实质上满足技术规格及参数要求。</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供应商必须对所提供货物知识产权方面的一切产权关系负全部责任，由此而引起的法律纠纷及费用，供应商须全部承担。</w:t>
      </w:r>
    </w:p>
    <w:p>
      <w:pPr>
        <w:autoSpaceDE w:val="0"/>
        <w:autoSpaceDN w:val="0"/>
        <w:adjustRightIn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投标人必须对所提供的服务相关的一切产权关系负全部责任，并承担由此而引起的法律纠纷以及费用。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3、商务文件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（1）报价一览表；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（2）报价明细表；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（3）2016年1月1日至今完成的类似项目业绩一览表（见附件），须附合同复印件（加盖公章）；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（4）商务偏离表；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（5）投标人的获奖证书等；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（6）投标人认为需要加以说明的其他内容。</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4、售后服务条款</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（1）对货物负责安装集成、调试；</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（2）提供及时、迅速、优质服务的承诺，迅速快捷地提供货物的备品备件，保证招标人能够及时买到货物所需的备品备件和易损件；</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（3）提供中标货物齐全的资料（进口货物必须包括中文和英文的使用说明、安装手册、维修手册、专用工具和相应质检手续证明文件）；</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（4）货物出现故障后，响应及排除故障时间；</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（5）详细培训计划：时间与地点、人数、费用、内容、次数；</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（6）供应商对提供的所有货物，明确质量保证期。质量保证期内，除人为因素损坏外，全部免费维修；</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（7）质量保证期以后的维修、维护内容及服务方式、范围和收费等情况。</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（8）优惠条款；</w:t>
      </w:r>
    </w:p>
    <w:p>
      <w:pPr>
        <w:pStyle w:val="3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（9）节能、环保产品证明材料；</w:t>
      </w:r>
    </w:p>
    <w:p>
      <w:pPr>
        <w:pStyle w:val="30"/>
        <w:spacing w:line="360" w:lineRule="auto"/>
        <w:rPr>
          <w:rFonts w:hint="eastAsia" w:eastAsia="宋体"/>
          <w:sz w:val="24"/>
          <w:szCs w:val="24"/>
          <w:lang w:val="en-US" w:eastAsia="zh-CN"/>
        </w:rPr>
      </w:pPr>
      <w:r>
        <w:rPr>
          <w:rFonts w:hint="eastAsia" w:ascii="宋体" w:hAnsi="宋体" w:cs="宋体"/>
          <w:sz w:val="24"/>
          <w:szCs w:val="24"/>
          <w:lang w:val="en-US" w:eastAsia="zh-CN"/>
        </w:rPr>
        <w:t xml:space="preserve">（10）供应商认为需要加以说明的其他内容。 </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、投标文件的装订</w:t>
      </w:r>
      <w:r>
        <w:rPr>
          <w:rFonts w:hint="eastAsia" w:ascii="宋体" w:hAnsi="宋体" w:eastAsia="宋体" w:cs="宋体"/>
          <w:sz w:val="24"/>
          <w:szCs w:val="24"/>
        </w:rPr>
        <w:cr/>
      </w:r>
      <w:r>
        <w:rPr>
          <w:rFonts w:hint="eastAsia" w:ascii="宋体" w:hAnsi="宋体" w:eastAsia="宋体" w:cs="宋体"/>
          <w:sz w:val="24"/>
          <w:szCs w:val="24"/>
        </w:rPr>
        <w:t xml:space="preserve">    投标人必须将投标文件（正本、副本）中的有关文件按上述顺序排列</w:t>
      </w:r>
      <w:r>
        <w:rPr>
          <w:rFonts w:hint="eastAsia" w:ascii="宋体" w:hAnsi="宋体" w:eastAsia="宋体" w:cs="宋体"/>
          <w:sz w:val="24"/>
          <w:szCs w:val="24"/>
          <w:lang w:eastAsia="zh-CN"/>
        </w:rPr>
        <w:t>胶</w:t>
      </w:r>
      <w:r>
        <w:rPr>
          <w:rFonts w:hint="eastAsia" w:ascii="宋体" w:hAnsi="宋体" w:eastAsia="宋体" w:cs="宋体"/>
          <w:sz w:val="24"/>
          <w:szCs w:val="24"/>
        </w:rPr>
        <w:t>装成册，并在首页按照本“招标文件目录”的格式编制“投标文件目录”。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（二）投标文件的编写方式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投标文件正本和副本用A4幅面的纸张打印。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（三）投标文件的签署</w:t>
      </w:r>
    </w:p>
    <w:p>
      <w:pPr>
        <w:pStyle w:val="33"/>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供应商必须按</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文件的规定签署响应文件（正本、副本）、报价一览表，并在响应文件封面、报价一览表上加盖供应商单位公章。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（四）投标语言及计量单位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1、投标文件及投标人和采购代理机构就招投标的来往文件，使用中文（简体）。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2、除在招标文件的技术规格中另有规定外，投标文件中所使用的计量单位应使用中华人民共和国法定计量单位。</w:t>
      </w:r>
      <w:r>
        <w:rPr>
          <w:rFonts w:hint="eastAsia" w:ascii="宋体" w:hAnsi="宋体" w:eastAsia="宋体" w:cs="宋体"/>
          <w:sz w:val="24"/>
          <w:szCs w:val="24"/>
        </w:rPr>
        <w:cr/>
      </w:r>
      <w:r>
        <w:rPr>
          <w:rFonts w:hint="eastAsia" w:ascii="宋体" w:hAnsi="宋体" w:eastAsia="宋体" w:cs="宋体"/>
          <w:sz w:val="24"/>
          <w:szCs w:val="24"/>
        </w:rPr>
        <w:t>　　（五）投标文件的密封和标记</w:t>
      </w:r>
      <w:r>
        <w:rPr>
          <w:rFonts w:hint="eastAsia" w:ascii="宋体" w:hAnsi="宋体" w:eastAsia="宋体" w:cs="宋体"/>
          <w:sz w:val="24"/>
          <w:szCs w:val="24"/>
        </w:rPr>
        <w:cr/>
      </w:r>
      <w:r>
        <w:rPr>
          <w:rFonts w:hint="eastAsia" w:ascii="宋体" w:hAnsi="宋体" w:eastAsia="宋体" w:cs="宋体"/>
          <w:sz w:val="24"/>
          <w:szCs w:val="24"/>
        </w:rPr>
        <w:t xml:space="preserve">    1、投标人应准备五份投标文件（要求胶装），一份正本和四份副本，在每一份投标文件上都要明确注明“正本”或“副本”字样，一旦正本和副本有差异，以正本为准。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2、投标人应将投标文件正本、副本用信封分别密封，并在封口处加盖投标人单位公章，在信封和投标文件封面明显处注明（密封信封格式见附件）：</w:t>
      </w:r>
      <w:r>
        <w:rPr>
          <w:rFonts w:hint="eastAsia" w:ascii="宋体" w:hAnsi="宋体" w:eastAsia="宋体" w:cs="宋体"/>
          <w:sz w:val="24"/>
          <w:szCs w:val="24"/>
        </w:rPr>
        <w:cr/>
      </w:r>
      <w:r>
        <w:rPr>
          <w:rFonts w:hint="eastAsia" w:ascii="宋体" w:hAnsi="宋体" w:eastAsia="宋体" w:cs="宋体"/>
          <w:sz w:val="24"/>
          <w:szCs w:val="24"/>
        </w:rPr>
        <w:t>　　（1）项目编号、项目名称、包号；</w:t>
      </w:r>
      <w:r>
        <w:rPr>
          <w:rFonts w:hint="eastAsia" w:ascii="宋体" w:hAnsi="宋体" w:eastAsia="宋体" w:cs="宋体"/>
          <w:sz w:val="24"/>
          <w:szCs w:val="24"/>
        </w:rPr>
        <w:cr/>
      </w:r>
      <w:r>
        <w:rPr>
          <w:rFonts w:hint="eastAsia" w:ascii="宋体" w:hAnsi="宋体" w:eastAsia="宋体" w:cs="宋体"/>
          <w:sz w:val="24"/>
          <w:szCs w:val="24"/>
        </w:rPr>
        <w:t>　　（2）投标人名称（加盖公章）、地址、电话、传真；</w:t>
      </w:r>
      <w:r>
        <w:rPr>
          <w:rFonts w:hint="eastAsia" w:ascii="宋体" w:hAnsi="宋体" w:eastAsia="宋体" w:cs="宋体"/>
          <w:sz w:val="24"/>
          <w:szCs w:val="24"/>
        </w:rPr>
        <w:cr/>
      </w:r>
      <w:r>
        <w:rPr>
          <w:rFonts w:hint="eastAsia" w:ascii="宋体" w:hAnsi="宋体" w:eastAsia="宋体" w:cs="宋体"/>
          <w:sz w:val="24"/>
          <w:szCs w:val="24"/>
        </w:rPr>
        <w:t>　　（3）正本或副本；</w:t>
      </w:r>
      <w:r>
        <w:rPr>
          <w:rFonts w:hint="eastAsia" w:ascii="宋体" w:hAnsi="宋体" w:eastAsia="宋体" w:cs="宋体"/>
          <w:sz w:val="24"/>
          <w:szCs w:val="24"/>
        </w:rPr>
        <w:cr/>
      </w:r>
      <w:r>
        <w:rPr>
          <w:rFonts w:hint="eastAsia" w:ascii="宋体" w:hAnsi="宋体" w:eastAsia="宋体" w:cs="宋体"/>
          <w:sz w:val="24"/>
          <w:szCs w:val="24"/>
        </w:rPr>
        <w:t>　　（4）每一密封信封上注明“于  年  月  日  时之前不准启封”的字样。</w:t>
      </w:r>
    </w:p>
    <w:p>
      <w:pPr>
        <w:adjustRightInd w:val="0"/>
        <w:snapToGrid w:val="0"/>
        <w:spacing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3、为方便律师检查投标人的资格，请投标人另外单独准备一</w:t>
      </w:r>
      <w:r>
        <w:rPr>
          <w:rFonts w:hint="eastAsia" w:ascii="宋体" w:hAnsi="宋体" w:eastAsia="宋体" w:cs="宋体"/>
          <w:b/>
          <w:sz w:val="24"/>
          <w:szCs w:val="24"/>
          <w:lang w:eastAsia="zh-CN"/>
        </w:rPr>
        <w:t>份</w:t>
      </w:r>
      <w:r>
        <w:rPr>
          <w:rFonts w:hint="eastAsia" w:ascii="宋体" w:hAnsi="宋体" w:eastAsia="宋体" w:cs="宋体"/>
          <w:b/>
          <w:sz w:val="24"/>
          <w:szCs w:val="24"/>
        </w:rPr>
        <w:t>资质证明文件</w:t>
      </w:r>
      <w:r>
        <w:rPr>
          <w:rFonts w:hint="eastAsia" w:ascii="宋体" w:hAnsi="宋体" w:cs="宋体"/>
          <w:b/>
          <w:sz w:val="24"/>
          <w:szCs w:val="24"/>
          <w:lang w:eastAsia="zh-CN"/>
        </w:rPr>
        <w:t>无需</w:t>
      </w:r>
      <w:r>
        <w:rPr>
          <w:rFonts w:hint="eastAsia" w:ascii="宋体" w:hAnsi="宋体" w:eastAsia="宋体" w:cs="宋体"/>
          <w:b/>
          <w:sz w:val="24"/>
          <w:szCs w:val="24"/>
        </w:rPr>
        <w:t>单独密封，在信封封</w:t>
      </w:r>
      <w:r>
        <w:rPr>
          <w:rFonts w:hint="eastAsia" w:ascii="宋体" w:hAnsi="宋体" w:cs="宋体"/>
          <w:b/>
          <w:sz w:val="24"/>
          <w:szCs w:val="24"/>
          <w:lang w:eastAsia="zh-CN"/>
        </w:rPr>
        <w:t>面</w:t>
      </w:r>
      <w:r>
        <w:rPr>
          <w:rFonts w:hint="eastAsia" w:ascii="宋体" w:hAnsi="宋体" w:eastAsia="宋体" w:cs="宋体"/>
          <w:b/>
          <w:sz w:val="24"/>
          <w:szCs w:val="24"/>
        </w:rPr>
        <w:t>处加盖投标人公章并在封面上注明“资格、资质证明文件”、投标人名称、地址、电话。在投标人投标的同时将“资格、资质证明文件”交律师备查 。</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（六）投标文件的递交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1、递交投标文件的地点和起止时间:见投标须知前附表。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2、投标人代表必须在投标截止时间前将投标文件送达指定地点。如因招标文件的修改提前或推迟投标截止日期的，则按采购代理机构通知规定的时间递交。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3、电报、电话、传真、电子邮件形式的投标概不接受。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4、对投标人提交的投标文件不予以退还。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（七）迟交的投标文件</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采购代理机构将拒绝接收在投标截止时间后送达的投标文件。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（八）投标文件的修改、补充和撤回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招标文件要求提交投标文件的截止时间前，可以补充、修改或者撤回已提交的投标文件，并以书面形式通知采购代理机构。补充、修改的内容作为投标文件的组成部分。任何补充或修改的内容必须由投标人的法定代表人或其授权人签字。经法定代表人或其授权人正式签署的修改和补充文件组成投标文件的一部分，份数和密封要求同投标文件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2、开标后不允许对投标文件做实质性修改和补充；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3、开标后在投标有效期内不得撤回投标。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五、合格的投标人</w:t>
      </w:r>
    </w:p>
    <w:p>
      <w:pPr>
        <w:spacing w:line="360" w:lineRule="auto"/>
        <w:ind w:firstLine="480" w:firstLineChars="200"/>
        <w:rPr>
          <w:rFonts w:hint="eastAsia" w:ascii="宋体" w:hAnsi="宋体" w:eastAsia="宋体" w:cs="宋体"/>
          <w:sz w:val="24"/>
          <w:szCs w:val="24"/>
        </w:rPr>
      </w:pPr>
      <w:bookmarkStart w:id="33" w:name="OLE_LINK3"/>
      <w:bookmarkStart w:id="34" w:name="OLE_LINK1"/>
      <w:r>
        <w:rPr>
          <w:rFonts w:hint="eastAsia" w:ascii="宋体" w:hAnsi="宋体" w:eastAsia="宋体" w:cs="宋体"/>
          <w:sz w:val="24"/>
          <w:szCs w:val="24"/>
        </w:rPr>
        <w:t>符合以下条件的组织，均为合格的投标人</w:t>
      </w:r>
      <w:bookmarkEnd w:id="33"/>
      <w:bookmarkEnd w:id="34"/>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1、满足招标文件投标人资格要求；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2、向采购代理机构购买招标文件并登记备案；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3、按照招标文件的规定递交了投标保证金和投标文件；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4、参与本次投标，即是承诺满足本招标文件的技术和商务要求，按照本招标文件的要求进行响应，满足招标人需求；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5、提供的资格资质文件均真实有效；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6、在以往的政府采购活动中没有违法、违规、违纪和违约行为；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7、遵守《中华人民共和国政府采购法》、《中华人民共和国招标投标法》及其他有关的中国法律、法规和规定。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六、接受和拒绝任何或所有投标的权利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为维护国家利益，招标人在授予合同之前可依法做出选择或拒绝任何或全部投标的决定。</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七、</w:t>
      </w:r>
      <w:r>
        <w:rPr>
          <w:rFonts w:hint="eastAsia" w:ascii="宋体" w:hAnsi="宋体" w:eastAsia="宋体" w:cs="宋体"/>
          <w:sz w:val="24"/>
          <w:szCs w:val="24"/>
        </w:rPr>
        <w:t>投标报价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本次报价一次性报价</w:t>
      </w:r>
      <w:r>
        <w:rPr>
          <w:rFonts w:hint="eastAsia" w:ascii="宋体" w:hAnsi="宋体" w:cs="宋体"/>
          <w:sz w:val="24"/>
          <w:szCs w:val="24"/>
          <w:lang w:eastAsia="zh-CN"/>
        </w:rPr>
        <w:t>（报单价），</w:t>
      </w:r>
      <w:r>
        <w:rPr>
          <w:rFonts w:hint="eastAsia" w:ascii="宋体" w:hAnsi="宋体" w:eastAsia="宋体" w:cs="宋体"/>
          <w:sz w:val="24"/>
          <w:szCs w:val="24"/>
        </w:rPr>
        <w:t>报价币种为人民币。报价含主件、标准附件、备品备件、专用工具、检验、运输、保险及因购买货物和服务所需缴纳的所有税费等全部费用。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除</w:t>
      </w:r>
      <w:r>
        <w:rPr>
          <w:rFonts w:hint="eastAsia" w:ascii="宋体" w:hAnsi="宋体" w:cs="宋体"/>
          <w:sz w:val="24"/>
          <w:szCs w:val="24"/>
          <w:lang w:eastAsia="zh-CN"/>
        </w:rPr>
        <w:t>招标</w:t>
      </w:r>
      <w:r>
        <w:rPr>
          <w:rFonts w:hint="eastAsia" w:ascii="宋体" w:hAnsi="宋体" w:eastAsia="宋体" w:cs="宋体"/>
          <w:sz w:val="24"/>
          <w:szCs w:val="24"/>
        </w:rPr>
        <w:t>文件另有规定外，响应文件中所使用的计量单位应使用中华人民共和国法定计量单位。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、中标</w:t>
      </w:r>
      <w:r>
        <w:rPr>
          <w:rFonts w:hint="eastAsia" w:ascii="宋体" w:hAnsi="宋体" w:eastAsia="宋体" w:cs="宋体"/>
          <w:sz w:val="24"/>
          <w:szCs w:val="24"/>
        </w:rPr>
        <w:t>供应商的最终报价为含税全包价（即交钥匙项目）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供应商对报价若有说明应在报价一览表备注处注明。采购代理机构不接受可选择的报价方案和价格。任何有选择的或可调整的报价方案和价格将被视为非响应性报价而被拒绝。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报价在合同执行过程中是固定不变的，不得以任何理由予以变更。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供应商免费提供的项目，应先填写该项目的实际价格，并注明免费。此项不计入总报价。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供应商无论中标与否，其参与投标所耗各项费用均由供应商自行承担。</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八</w:t>
      </w:r>
      <w:r>
        <w:rPr>
          <w:rFonts w:hint="eastAsia" w:ascii="宋体" w:hAnsi="宋体" w:eastAsia="宋体" w:cs="宋体"/>
          <w:sz w:val="24"/>
          <w:szCs w:val="24"/>
        </w:rPr>
        <w:t>、投标有效期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1、投标文件的有效期比本须知规定的有效期短的，将被视为非响应投标，招标人有权拒绝。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特殊情况下，在投标有效期满之前，采购代理机构可以以书面形式要求投标人同意延长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九</w:t>
      </w:r>
      <w:r>
        <w:rPr>
          <w:rFonts w:hint="eastAsia" w:ascii="宋体" w:hAnsi="宋体" w:eastAsia="宋体" w:cs="宋体"/>
          <w:sz w:val="24"/>
          <w:szCs w:val="24"/>
        </w:rPr>
        <w:t>、投标费用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1、中标服务费：入围单位在领取入围通知书前向采购代理机构交纳。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2、律师见证费：每名入围单位向见证律师事务所支付</w:t>
      </w:r>
      <w:r>
        <w:rPr>
          <w:rFonts w:hint="eastAsia" w:ascii="宋体" w:hAnsi="宋体" w:cs="宋体"/>
          <w:sz w:val="24"/>
          <w:szCs w:val="24"/>
          <w:lang w:eastAsia="zh-CN"/>
        </w:rPr>
        <w:t>相应</w:t>
      </w:r>
      <w:r>
        <w:rPr>
          <w:rFonts w:hint="eastAsia" w:ascii="宋体" w:hAnsi="宋体" w:eastAsia="宋体" w:cs="宋体"/>
          <w:sz w:val="24"/>
          <w:szCs w:val="24"/>
        </w:rPr>
        <w:t>律师见证费。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投标供应商自行承担所有与参加投标的有关费用并将以上费用综合考虑，无须单独列报。</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十</w:t>
      </w:r>
      <w:r>
        <w:rPr>
          <w:rFonts w:hint="eastAsia" w:ascii="宋体" w:hAnsi="宋体" w:eastAsia="宋体" w:cs="宋体"/>
          <w:sz w:val="24"/>
          <w:szCs w:val="24"/>
        </w:rPr>
        <w:t>、投标保证金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见投标须知前附表第4项。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投标人发生第二部分“十、（二）”项所列情况的，其投标保证金将被没收。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eastAsia="zh-CN"/>
        </w:rPr>
        <w:t>一</w:t>
      </w:r>
      <w:r>
        <w:rPr>
          <w:rFonts w:hint="eastAsia" w:ascii="宋体" w:hAnsi="宋体" w:eastAsia="宋体" w:cs="宋体"/>
          <w:sz w:val="24"/>
          <w:szCs w:val="24"/>
        </w:rPr>
        <w:t>、无效投标与废标</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（一）投标人有下列情况之一，其投标视为无效投标：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1、投标人未按规定提交投标保证金；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2、投标人提供的投标文件资格、</w:t>
      </w:r>
      <w:r>
        <w:rPr>
          <w:rFonts w:hint="eastAsia" w:ascii="宋体" w:hAnsi="宋体" w:eastAsia="宋体" w:cs="宋体"/>
          <w:sz w:val="24"/>
          <w:szCs w:val="24"/>
          <w:highlight w:val="none"/>
        </w:rPr>
        <w:t>资质证明文件</w:t>
      </w:r>
      <w:r>
        <w:rPr>
          <w:rFonts w:hint="eastAsia" w:ascii="宋体" w:hAnsi="宋体" w:eastAsia="宋体" w:cs="宋体"/>
          <w:sz w:val="24"/>
          <w:szCs w:val="24"/>
        </w:rPr>
        <w:t>不完整</w:t>
      </w:r>
      <w:r>
        <w:rPr>
          <w:rFonts w:hint="eastAsia" w:ascii="宋体" w:hAnsi="宋体" w:cs="宋体"/>
          <w:sz w:val="24"/>
          <w:szCs w:val="24"/>
          <w:lang w:eastAsia="zh-CN"/>
        </w:rPr>
        <w:t>的</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3、投标文件未按招标文件的规定签署；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4、投标报价超出招标人的预算金额；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5、投标人对招标文件的要求未做出实质性响应；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6、法律、法规规定的其他情况。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有下列情况之一，其投标不但被视为废标，而且招标人将严格依照《中华人民共和国政府采购法》、《中华人民共和国招标投标法》及有关法律、法规及规章的规定行使其权利。投标人给采购代理机构造成损失的，采购代理机构有索赔的权利；给招标人造成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1、投标人提供的有关资格、资质证明文件不真实，提供虚假投标材料；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2、投标人在投标有效期内撤回投标；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3、在整个评标过程中，投标人有企图影响招标结果的任何活动；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4、投标人串通投标；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5、投标人向招标人、采购代理机构提供不正当利益；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6、中标人不按规定的要求签订合同；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7、法律、法规规定的其他情况。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eastAsia="zh-CN"/>
        </w:rPr>
        <w:t>二</w:t>
      </w:r>
      <w:r>
        <w:rPr>
          <w:rFonts w:hint="eastAsia" w:ascii="宋体" w:hAnsi="宋体" w:eastAsia="宋体" w:cs="宋体"/>
          <w:sz w:val="24"/>
          <w:szCs w:val="24"/>
        </w:rPr>
        <w:t>、解释权</w:t>
      </w:r>
    </w:p>
    <w:p>
      <w:pPr>
        <w:tabs>
          <w:tab w:val="left" w:pos="0"/>
        </w:tabs>
        <w:adjustRightInd w:val="0"/>
        <w:snapToGrid w:val="0"/>
        <w:spacing w:line="360" w:lineRule="auto"/>
        <w:ind w:firstLine="442"/>
        <w:rPr>
          <w:rFonts w:hint="eastAsia" w:ascii="宋体" w:hAnsi="宋体" w:eastAsia="宋体" w:cs="宋体"/>
          <w:sz w:val="24"/>
          <w:szCs w:val="24"/>
        </w:rPr>
      </w:pPr>
      <w:r>
        <w:rPr>
          <w:rFonts w:hint="eastAsia" w:ascii="宋体" w:hAnsi="宋体" w:eastAsia="宋体" w:cs="宋体"/>
          <w:sz w:val="24"/>
          <w:szCs w:val="24"/>
        </w:rPr>
        <w:t>1、本招标文件的最终解释权归采购代理机构，当对一个问题有多种解释时以采购代理机构的书面解释为准。</w:t>
      </w:r>
    </w:p>
    <w:p>
      <w:pPr>
        <w:tabs>
          <w:tab w:val="left" w:pos="0"/>
        </w:tabs>
        <w:adjustRightInd w:val="0"/>
        <w:snapToGrid w:val="0"/>
        <w:spacing w:line="360" w:lineRule="auto"/>
        <w:ind w:firstLine="442"/>
        <w:rPr>
          <w:rFonts w:hint="eastAsia" w:ascii="宋体" w:hAnsi="宋体" w:eastAsia="宋体" w:cs="宋体"/>
          <w:sz w:val="24"/>
          <w:szCs w:val="24"/>
        </w:rPr>
      </w:pPr>
      <w:r>
        <w:rPr>
          <w:rFonts w:hint="eastAsia" w:ascii="宋体" w:hAnsi="宋体" w:eastAsia="宋体" w:cs="宋体"/>
          <w:sz w:val="24"/>
          <w:szCs w:val="24"/>
        </w:rPr>
        <w:t>2、招标文件未做须知明示，而又有相关法律、法规规定的，采购代理机构对此所做解释以相关的法律、法规的规定为依据。</w:t>
      </w:r>
    </w:p>
    <w:p>
      <w:pPr>
        <w:tabs>
          <w:tab w:val="left" w:pos="0"/>
        </w:tabs>
        <w:adjustRightInd w:val="0"/>
        <w:snapToGrid w:val="0"/>
        <w:spacing w:line="360" w:lineRule="auto"/>
        <w:ind w:firstLine="442"/>
        <w:rPr>
          <w:rFonts w:hint="eastAsia" w:ascii="宋体" w:hAnsi="宋体" w:eastAsia="宋体" w:cs="宋体"/>
          <w:bCs/>
          <w:sz w:val="24"/>
          <w:szCs w:val="24"/>
        </w:rPr>
      </w:pPr>
      <w:r>
        <w:rPr>
          <w:rFonts w:hint="eastAsia" w:ascii="宋体" w:hAnsi="宋体" w:eastAsia="宋体" w:cs="宋体"/>
          <w:sz w:val="24"/>
          <w:szCs w:val="24"/>
        </w:rPr>
        <w:t>3、如有不明确或不一致，由评标委员会现场依据少数服从多数确定。</w:t>
      </w:r>
    </w:p>
    <w:p>
      <w:pPr>
        <w:jc w:val="center"/>
        <w:rPr>
          <w:rFonts w:hint="eastAsia" w:ascii="宋体" w:hAnsi="宋体" w:eastAsia="宋体" w:cs="宋体"/>
          <w:b/>
          <w:bCs/>
          <w:sz w:val="24"/>
          <w:szCs w:val="24"/>
        </w:rPr>
      </w:pPr>
      <w:bookmarkStart w:id="35" w:name="_Toc525723051"/>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bidi w:val="0"/>
        <w:rPr>
          <w:rFonts w:hint="eastAsia"/>
        </w:rPr>
      </w:pPr>
    </w:p>
    <w:p>
      <w:pPr>
        <w:bidi w:val="0"/>
        <w:rPr>
          <w:rFonts w:hint="eastAsia"/>
        </w:rPr>
      </w:pPr>
    </w:p>
    <w:p>
      <w:pPr>
        <w:bidi w:val="0"/>
        <w:rPr>
          <w:rFonts w:hint="eastAsia"/>
        </w:rPr>
      </w:pPr>
    </w:p>
    <w:p>
      <w:pPr>
        <w:bidi w:val="0"/>
        <w:rPr>
          <w:rFonts w:hint="eastAsia"/>
        </w:rPr>
      </w:pPr>
    </w:p>
    <w:p>
      <w:pPr>
        <w:pStyle w:val="3"/>
        <w:jc w:val="both"/>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sz w:val="36"/>
          <w:szCs w:val="36"/>
        </w:rPr>
      </w:pPr>
    </w:p>
    <w:p>
      <w:pPr>
        <w:rPr>
          <w:rFonts w:hint="eastAsia"/>
          <w:sz w:val="36"/>
          <w:szCs w:val="36"/>
        </w:rPr>
      </w:pPr>
    </w:p>
    <w:p>
      <w:pPr>
        <w:pStyle w:val="2"/>
        <w:rPr>
          <w:rFonts w:hint="eastAsia"/>
        </w:rPr>
      </w:pPr>
    </w:p>
    <w:p>
      <w:pPr>
        <w:bidi w:val="0"/>
        <w:rPr>
          <w:rFonts w:hint="eastAsia"/>
        </w:rPr>
      </w:pPr>
    </w:p>
    <w:p>
      <w:pPr>
        <w:bidi w:val="0"/>
        <w:rPr>
          <w:rFonts w:hint="eastAsia"/>
        </w:rPr>
      </w:pPr>
    </w:p>
    <w:p>
      <w:pPr>
        <w:numPr>
          <w:ilvl w:val="0"/>
          <w:numId w:val="3"/>
        </w:numPr>
        <w:spacing w:line="360" w:lineRule="auto"/>
        <w:ind w:left="0" w:leftChars="0" w:firstLine="0" w:firstLineChars="0"/>
        <w:jc w:val="center"/>
        <w:rPr>
          <w:rFonts w:hint="eastAsia"/>
          <w:b/>
          <w:bCs/>
          <w:sz w:val="36"/>
          <w:szCs w:val="36"/>
        </w:rPr>
      </w:pPr>
      <w:bookmarkStart w:id="36" w:name="_Toc27731"/>
      <w:r>
        <w:rPr>
          <w:rFonts w:hint="eastAsia"/>
          <w:b/>
          <w:bCs/>
          <w:sz w:val="36"/>
          <w:szCs w:val="36"/>
        </w:rPr>
        <w:t>项目说明及要求</w:t>
      </w:r>
      <w:bookmarkEnd w:id="36"/>
    </w:p>
    <w:p>
      <w:pPr>
        <w:numPr>
          <w:ilvl w:val="0"/>
          <w:numId w:val="0"/>
        </w:numPr>
        <w:spacing w:line="360" w:lineRule="auto"/>
        <w:ind w:leftChars="0"/>
        <w:rPr>
          <w:rFonts w:ascii="宋体" w:hAnsi="宋体" w:cs="宋体"/>
          <w:b/>
          <w:bCs/>
          <w:kern w:val="1"/>
          <w:sz w:val="24"/>
          <w:szCs w:val="24"/>
        </w:rPr>
      </w:pPr>
      <w:r>
        <w:rPr>
          <w:rFonts w:hint="eastAsia" w:ascii="宋体" w:hAnsi="宋体" w:cs="宋体"/>
          <w:b/>
          <w:bCs/>
          <w:kern w:val="1"/>
          <w:sz w:val="24"/>
          <w:szCs w:val="24"/>
        </w:rPr>
        <w:t xml:space="preserve">一、项目概况    </w:t>
      </w:r>
    </w:p>
    <w:p>
      <w:pPr>
        <w:spacing w:line="360" w:lineRule="auto"/>
        <w:ind w:firstLine="480" w:firstLineChars="200"/>
        <w:rPr>
          <w:rFonts w:ascii="宋体" w:hAnsi="宋体" w:cs="宋体"/>
          <w:kern w:val="1"/>
          <w:sz w:val="24"/>
          <w:szCs w:val="24"/>
        </w:rPr>
      </w:pPr>
      <w:r>
        <w:rPr>
          <w:rFonts w:hint="eastAsia" w:ascii="宋体" w:hAnsi="宋体" w:cs="宋体"/>
          <w:kern w:val="1"/>
          <w:sz w:val="24"/>
          <w:szCs w:val="24"/>
        </w:rPr>
        <w:t>根据《中华人民共和国招标投标法》、《济南市公安消防支队集中采购管理规定》等法律、法规、规章制度的规定及要求，对济南市消防支队章丘区大队图文制作定点入围项目采取公开招标方式，择优选取</w:t>
      </w:r>
      <w:r>
        <w:rPr>
          <w:rFonts w:hint="eastAsia" w:ascii="宋体" w:hAnsi="宋体" w:cs="宋体"/>
          <w:kern w:val="1"/>
          <w:sz w:val="24"/>
          <w:szCs w:val="24"/>
          <w:lang w:val="en-US" w:eastAsia="zh-CN"/>
        </w:rPr>
        <w:t>2</w:t>
      </w:r>
      <w:r>
        <w:rPr>
          <w:rFonts w:hint="eastAsia" w:ascii="宋体" w:hAnsi="宋体" w:cs="宋体"/>
          <w:kern w:val="1"/>
          <w:sz w:val="24"/>
          <w:szCs w:val="24"/>
        </w:rPr>
        <w:t>名中标人。</w:t>
      </w:r>
    </w:p>
    <w:p>
      <w:pPr>
        <w:numPr>
          <w:ilvl w:val="0"/>
          <w:numId w:val="4"/>
        </w:numPr>
        <w:spacing w:line="360" w:lineRule="auto"/>
        <w:rPr>
          <w:rFonts w:hint="eastAsia" w:ascii="宋体" w:hAnsi="宋体" w:cs="宋体"/>
          <w:b/>
          <w:bCs/>
          <w:kern w:val="1"/>
          <w:sz w:val="24"/>
          <w:szCs w:val="24"/>
        </w:rPr>
      </w:pPr>
      <w:r>
        <w:rPr>
          <w:rFonts w:hint="eastAsia" w:ascii="宋体" w:hAnsi="宋体" w:cs="宋体"/>
          <w:b/>
          <w:bCs/>
          <w:kern w:val="1"/>
          <w:sz w:val="24"/>
          <w:szCs w:val="24"/>
        </w:rPr>
        <w:t>采购标的具体情况</w:t>
      </w:r>
    </w:p>
    <w:p>
      <w:pPr>
        <w:spacing w:line="360" w:lineRule="auto"/>
        <w:rPr>
          <w:rFonts w:hint="eastAsia" w:ascii="宋体" w:hAnsi="宋体" w:cs="宋体"/>
          <w:bCs/>
          <w:sz w:val="24"/>
          <w:szCs w:val="24"/>
        </w:rPr>
      </w:pPr>
      <w:r>
        <w:rPr>
          <w:rFonts w:ascii="宋体" w:hAnsi="宋体" w:cs="宋体"/>
          <w:b/>
          <w:sz w:val="24"/>
          <w:szCs w:val="24"/>
        </w:rPr>
        <w:t>1、采购标的</w:t>
      </w:r>
      <w:r>
        <w:rPr>
          <w:rFonts w:hint="eastAsia" w:ascii="宋体" w:hAnsi="宋体" w:cs="宋体"/>
          <w:b/>
          <w:sz w:val="24"/>
          <w:szCs w:val="24"/>
        </w:rPr>
        <w:t>及数量：</w:t>
      </w:r>
      <w:r>
        <w:rPr>
          <w:rFonts w:hint="eastAsia" w:ascii="宋体" w:hAnsi="宋体" w:cs="宋体"/>
          <w:kern w:val="1"/>
          <w:sz w:val="24"/>
          <w:szCs w:val="24"/>
        </w:rPr>
        <w:t>消防宣传及部分办公图文制作，择优选取2名中标人。</w:t>
      </w:r>
    </w:p>
    <w:p>
      <w:pPr>
        <w:pStyle w:val="21"/>
        <w:spacing w:after="0" w:line="360" w:lineRule="auto"/>
        <w:ind w:firstLine="0" w:firstLineChars="0"/>
        <w:rPr>
          <w:rFonts w:ascii="宋体" w:hAnsi="宋体" w:cs="宋体"/>
          <w:sz w:val="24"/>
          <w:szCs w:val="24"/>
        </w:rPr>
      </w:pPr>
      <w:r>
        <w:rPr>
          <w:rFonts w:hint="eastAsia" w:ascii="宋体" w:hAnsi="宋体" w:cs="宋体"/>
          <w:b/>
          <w:sz w:val="24"/>
          <w:szCs w:val="24"/>
        </w:rPr>
        <w:t>2</w:t>
      </w:r>
      <w:r>
        <w:rPr>
          <w:rFonts w:ascii="宋体" w:hAnsi="宋体" w:cs="宋体"/>
          <w:b/>
          <w:sz w:val="24"/>
          <w:szCs w:val="24"/>
        </w:rPr>
        <w:t>、采购目的</w:t>
      </w:r>
      <w:r>
        <w:rPr>
          <w:rFonts w:hint="eastAsia" w:ascii="宋体" w:hAnsi="宋体" w:cs="宋体"/>
          <w:b/>
          <w:sz w:val="24"/>
          <w:szCs w:val="24"/>
        </w:rPr>
        <w:t>：</w:t>
      </w:r>
      <w:r>
        <w:rPr>
          <w:rFonts w:ascii="宋体" w:hAnsi="宋体" w:cs="宋体"/>
          <w:sz w:val="24"/>
          <w:szCs w:val="24"/>
        </w:rPr>
        <w:t>通过</w:t>
      </w:r>
      <w:r>
        <w:rPr>
          <w:rFonts w:hint="eastAsia" w:ascii="宋体" w:hAnsi="宋体" w:cs="宋体"/>
          <w:sz w:val="24"/>
          <w:szCs w:val="24"/>
        </w:rPr>
        <w:t>公开招标</w:t>
      </w:r>
      <w:r>
        <w:rPr>
          <w:rFonts w:ascii="宋体" w:hAnsi="宋体" w:cs="宋体"/>
          <w:sz w:val="24"/>
          <w:szCs w:val="24"/>
        </w:rPr>
        <w:t>，评选</w:t>
      </w:r>
      <w:r>
        <w:rPr>
          <w:rFonts w:hint="eastAsia" w:ascii="宋体" w:hAnsi="宋体" w:cs="宋体"/>
          <w:sz w:val="24"/>
          <w:szCs w:val="24"/>
        </w:rPr>
        <w:t>出中标人</w:t>
      </w:r>
      <w:r>
        <w:rPr>
          <w:rFonts w:ascii="宋体" w:hAnsi="宋体" w:cs="宋体"/>
          <w:sz w:val="24"/>
          <w:szCs w:val="24"/>
        </w:rPr>
        <w:t>，负责</w:t>
      </w:r>
      <w:r>
        <w:rPr>
          <w:rFonts w:hint="eastAsia" w:ascii="宋体" w:hAnsi="宋体" w:cs="宋体"/>
          <w:sz w:val="24"/>
          <w:szCs w:val="24"/>
        </w:rPr>
        <w:t>为</w:t>
      </w:r>
      <w:r>
        <w:rPr>
          <w:rFonts w:hint="eastAsia" w:ascii="宋体" w:hAnsi="宋体" w:cs="宋体"/>
          <w:kern w:val="1"/>
          <w:sz w:val="24"/>
          <w:szCs w:val="24"/>
        </w:rPr>
        <w:t>济南市消防支队章丘区大队制作相关消防宣传册及部分办公图文制作</w:t>
      </w:r>
      <w:r>
        <w:rPr>
          <w:rFonts w:ascii="宋体" w:hAnsi="宋体" w:cs="宋体"/>
          <w:sz w:val="24"/>
          <w:szCs w:val="24"/>
        </w:rPr>
        <w:t>。</w:t>
      </w:r>
    </w:p>
    <w:p>
      <w:pPr>
        <w:spacing w:line="360" w:lineRule="auto"/>
        <w:rPr>
          <w:rFonts w:hint="eastAsia" w:ascii="宋体" w:hAnsi="宋体" w:cs="宋体"/>
          <w:b/>
          <w:kern w:val="1"/>
          <w:sz w:val="24"/>
          <w:szCs w:val="24"/>
        </w:rPr>
      </w:pPr>
      <w:r>
        <w:rPr>
          <w:rFonts w:hint="eastAsia" w:ascii="宋体" w:hAnsi="宋体" w:cs="宋体"/>
          <w:b/>
          <w:kern w:val="1"/>
          <w:sz w:val="24"/>
          <w:szCs w:val="24"/>
        </w:rPr>
        <w:t>3、需满足的国家相关标准、行业标准、地方标准或者其他标准、规范：</w:t>
      </w:r>
    </w:p>
    <w:p>
      <w:pPr>
        <w:spacing w:line="360" w:lineRule="auto"/>
        <w:rPr>
          <w:rFonts w:ascii="宋体" w:hAnsi="宋体" w:cs="宋体"/>
          <w:kern w:val="1"/>
          <w:sz w:val="24"/>
          <w:szCs w:val="24"/>
        </w:rPr>
      </w:pPr>
      <w:r>
        <w:rPr>
          <w:rFonts w:ascii="宋体" w:hAnsi="宋体" w:cs="宋体"/>
          <w:kern w:val="1"/>
          <w:sz w:val="24"/>
          <w:szCs w:val="24"/>
        </w:rPr>
        <w:t>（1）国家相关标准</w:t>
      </w:r>
      <w:r>
        <w:rPr>
          <w:rFonts w:hint="eastAsia" w:ascii="宋体" w:hAnsi="宋体" w:cs="宋体"/>
          <w:kern w:val="1"/>
          <w:sz w:val="24"/>
          <w:szCs w:val="24"/>
        </w:rPr>
        <w:t>：</w:t>
      </w:r>
      <w:r>
        <w:rPr>
          <w:rFonts w:ascii="宋体" w:hAnsi="宋体" w:cs="宋体"/>
          <w:kern w:val="1"/>
          <w:sz w:val="24"/>
          <w:szCs w:val="24"/>
        </w:rPr>
        <w:t>执行国家标准、相关规定。</w:t>
      </w:r>
    </w:p>
    <w:p>
      <w:pPr>
        <w:spacing w:line="360" w:lineRule="auto"/>
        <w:rPr>
          <w:rFonts w:ascii="宋体" w:hAnsi="宋体" w:cs="宋体"/>
          <w:kern w:val="1"/>
          <w:sz w:val="24"/>
          <w:szCs w:val="24"/>
        </w:rPr>
      </w:pPr>
      <w:r>
        <w:rPr>
          <w:rFonts w:ascii="宋体" w:hAnsi="宋体" w:cs="宋体"/>
          <w:kern w:val="1"/>
          <w:sz w:val="24"/>
          <w:szCs w:val="24"/>
        </w:rPr>
        <w:t>（2）行业标准:</w:t>
      </w:r>
      <w:r>
        <w:rPr>
          <w:rFonts w:hint="eastAsia" w:ascii="宋体" w:hAnsi="宋体" w:cs="宋体"/>
          <w:kern w:val="1"/>
          <w:sz w:val="24"/>
          <w:szCs w:val="24"/>
        </w:rPr>
        <w:t xml:space="preserve"> </w:t>
      </w:r>
      <w:r>
        <w:rPr>
          <w:rFonts w:ascii="宋体" w:hAnsi="宋体" w:cs="宋体"/>
          <w:kern w:val="1"/>
          <w:sz w:val="24"/>
          <w:szCs w:val="24"/>
        </w:rPr>
        <w:t>执行国家标准及相关规定。</w:t>
      </w:r>
    </w:p>
    <w:p>
      <w:pPr>
        <w:spacing w:line="360" w:lineRule="auto"/>
        <w:rPr>
          <w:rFonts w:ascii="宋体" w:hAnsi="宋体" w:cs="宋体"/>
          <w:kern w:val="1"/>
          <w:sz w:val="24"/>
          <w:szCs w:val="24"/>
        </w:rPr>
      </w:pPr>
      <w:r>
        <w:rPr>
          <w:rFonts w:ascii="宋体" w:hAnsi="宋体" w:cs="宋体"/>
          <w:kern w:val="1"/>
          <w:sz w:val="24"/>
          <w:szCs w:val="24"/>
        </w:rPr>
        <w:t>（3）地方标准：执行山东省济南市相关标准及规定。</w:t>
      </w:r>
    </w:p>
    <w:p>
      <w:pPr>
        <w:spacing w:line="360" w:lineRule="auto"/>
        <w:rPr>
          <w:rFonts w:ascii="宋体" w:hAnsi="宋体" w:cs="宋体"/>
          <w:kern w:val="1"/>
          <w:sz w:val="24"/>
          <w:szCs w:val="24"/>
        </w:rPr>
      </w:pPr>
      <w:r>
        <w:rPr>
          <w:rFonts w:hint="eastAsia" w:ascii="宋体" w:hAnsi="宋体" w:cs="宋体"/>
          <w:kern w:val="1"/>
          <w:sz w:val="24"/>
          <w:szCs w:val="24"/>
        </w:rPr>
        <w:t>（4）其他规定：其他有关规定。</w:t>
      </w:r>
    </w:p>
    <w:p>
      <w:pPr>
        <w:pStyle w:val="21"/>
        <w:spacing w:after="0" w:line="360" w:lineRule="auto"/>
        <w:ind w:firstLine="0" w:firstLineChars="0"/>
        <w:rPr>
          <w:rFonts w:ascii="宋体" w:hAnsi="宋体" w:cs="宋体"/>
          <w:b/>
          <w:sz w:val="24"/>
          <w:szCs w:val="24"/>
        </w:rPr>
      </w:pPr>
      <w:r>
        <w:rPr>
          <w:rFonts w:hint="eastAsia" w:ascii="宋体" w:hAnsi="宋体" w:cs="宋体"/>
          <w:b/>
          <w:sz w:val="24"/>
          <w:szCs w:val="24"/>
        </w:rPr>
        <w:t>4</w:t>
      </w:r>
      <w:r>
        <w:rPr>
          <w:rFonts w:ascii="宋体" w:hAnsi="宋体" w:cs="宋体"/>
          <w:b/>
          <w:sz w:val="24"/>
          <w:szCs w:val="24"/>
        </w:rPr>
        <w:t>、需要满足的服务标准、期限、效率要求等：</w:t>
      </w:r>
    </w:p>
    <w:p>
      <w:pPr>
        <w:pStyle w:val="21"/>
        <w:spacing w:after="0" w:line="360" w:lineRule="auto"/>
        <w:ind w:firstLine="0" w:firstLineChars="0"/>
        <w:rPr>
          <w:rFonts w:ascii="宋体" w:hAnsi="宋体" w:cs="宋体"/>
          <w:b/>
          <w:kern w:val="1"/>
          <w:sz w:val="24"/>
          <w:szCs w:val="24"/>
        </w:rPr>
      </w:pPr>
      <w:r>
        <w:rPr>
          <w:rFonts w:hint="eastAsia" w:ascii="宋体" w:hAnsi="宋体" w:cs="宋体"/>
          <w:b/>
          <w:kern w:val="1"/>
          <w:sz w:val="24"/>
          <w:szCs w:val="24"/>
        </w:rPr>
        <w:t>（1）资格要求：</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1）供应商应符合《中华人民共和国政府采购法》第二十二条规定且应为未被列入信用中国网站（www.creditchina.gov.cn ）、中国政府采购网(www.ccgp.gov.cn)、信用山东（www.creditsd.gov.cn ）等渠道信用记录失信被执行人、重大税收违法案件当事人名单、政府采购严重违法失信行为记录名单；（截图报名时须携带）</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2）供应商须为在中华人民共和国境内登记注册，具有独立法人资格，</w:t>
      </w:r>
      <w:r>
        <w:rPr>
          <w:rFonts w:hint="eastAsia" w:ascii="宋体" w:hAnsi="宋体" w:eastAsia="宋体" w:cs="宋体"/>
          <w:color w:val="auto"/>
          <w:sz w:val="24"/>
          <w:szCs w:val="24"/>
          <w:highlight w:val="none"/>
          <w:lang w:val="zh-CN"/>
        </w:rPr>
        <w:t>并在人员、设备等方面具备相应的服务能力；</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3）本项目要求有固定的经营场所；</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4）本项目不接受联合体投标；</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5）法律法规的其他要求规定。</w:t>
      </w:r>
    </w:p>
    <w:p>
      <w:pPr>
        <w:spacing w:line="360" w:lineRule="auto"/>
        <w:rPr>
          <w:rFonts w:hint="eastAsia" w:ascii="宋体" w:hAnsi="宋体" w:cs="宋体"/>
          <w:bCs/>
          <w:sz w:val="24"/>
          <w:szCs w:val="24"/>
          <w:highlight w:val="none"/>
        </w:rPr>
      </w:pPr>
      <w:r>
        <w:rPr>
          <w:rFonts w:hint="eastAsia" w:ascii="宋体" w:hAnsi="宋体"/>
          <w:bCs/>
          <w:sz w:val="24"/>
          <w:szCs w:val="24"/>
        </w:rPr>
        <w:t>注：报名时须提供营</w:t>
      </w:r>
      <w:r>
        <w:rPr>
          <w:rFonts w:hint="eastAsia" w:ascii="宋体" w:hAnsi="宋体"/>
          <w:bCs/>
          <w:sz w:val="24"/>
          <w:szCs w:val="24"/>
          <w:highlight w:val="none"/>
        </w:rPr>
        <w:t>业执照（副本）原件，信用截图（加盖公章），法人授权委托书及受托人身份证，</w:t>
      </w:r>
      <w:r>
        <w:rPr>
          <w:rFonts w:hint="eastAsia" w:ascii="宋体" w:hAnsi="宋体" w:cs="宋体"/>
          <w:bCs/>
          <w:sz w:val="24"/>
          <w:szCs w:val="24"/>
          <w:highlight w:val="none"/>
        </w:rPr>
        <w:t>以上证件均需提供原件及复印件各一份（复印件加盖公章）。</w:t>
      </w:r>
    </w:p>
    <w:p>
      <w:pPr>
        <w:pStyle w:val="21"/>
        <w:spacing w:after="0" w:line="360" w:lineRule="auto"/>
        <w:ind w:firstLine="0" w:firstLineChars="0"/>
        <w:rPr>
          <w:rFonts w:hint="eastAsia" w:ascii="宋体" w:hAnsi="宋体" w:cs="宋体"/>
          <w:b/>
          <w:kern w:val="1"/>
          <w:sz w:val="24"/>
          <w:szCs w:val="24"/>
          <w:highlight w:val="none"/>
        </w:rPr>
      </w:pPr>
      <w:r>
        <w:rPr>
          <w:rFonts w:hint="eastAsia" w:ascii="宋体" w:hAnsi="宋体" w:cs="宋体"/>
          <w:b/>
          <w:kern w:val="1"/>
          <w:sz w:val="24"/>
          <w:szCs w:val="24"/>
          <w:highlight w:val="none"/>
        </w:rPr>
        <w:t>（2）清单</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0"/>
        <w:gridCol w:w="1282"/>
        <w:gridCol w:w="4521"/>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color w:val="000000"/>
                <w:szCs w:val="24"/>
                <w:highlight w:val="none"/>
              </w:rPr>
              <w:t>名称</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color w:val="000000"/>
                <w:szCs w:val="24"/>
                <w:highlight w:val="none"/>
              </w:rPr>
              <w:t>品牌、规格型号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jc w:val="left"/>
              <w:rPr>
                <w:rFonts w:hint="eastAsia" w:ascii="宋体" w:hAnsi="宋体" w:cs="宋体"/>
                <w:sz w:val="24"/>
                <w:szCs w:val="24"/>
                <w:highlight w:val="none"/>
              </w:rPr>
            </w:pPr>
            <w:r>
              <w:rPr>
                <w:rFonts w:hint="eastAsia" w:ascii="宋体" w:hAnsi="宋体" w:cs="宋体"/>
                <w:sz w:val="24"/>
                <w:szCs w:val="24"/>
                <w:highlight w:val="none"/>
              </w:rPr>
              <w:t>规格：210*285mm</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封面：250克铜版纸 </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内页：200克铜版纸 </w:t>
            </w:r>
            <w:r>
              <w:rPr>
                <w:rFonts w:hint="eastAsia" w:ascii="宋体" w:hAnsi="宋体" w:cs="宋体"/>
                <w:sz w:val="24"/>
                <w:szCs w:val="24"/>
                <w:highlight w:val="none"/>
              </w:rPr>
              <w:br w:type="textWrapping"/>
            </w:r>
            <w:r>
              <w:rPr>
                <w:rFonts w:hint="eastAsia" w:ascii="宋体" w:hAnsi="宋体" w:cs="宋体"/>
                <w:sz w:val="24"/>
                <w:szCs w:val="24"/>
                <w:highlight w:val="none"/>
              </w:rPr>
              <w:t>页数:220P/本</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规格：210*285mm</w:t>
            </w:r>
          </w:p>
          <w:p>
            <w:pPr>
              <w:pStyle w:val="2"/>
              <w:spacing w:before="0"/>
              <w:jc w:val="left"/>
              <w:rPr>
                <w:rFonts w:hint="eastAsia" w:ascii="宋体" w:hAnsi="宋体" w:cs="宋体"/>
                <w:szCs w:val="24"/>
                <w:highlight w:val="none"/>
              </w:rPr>
            </w:pPr>
            <w:r>
              <w:rPr>
                <w:rFonts w:hint="eastAsia" w:ascii="宋体" w:hAnsi="宋体" w:cs="宋体"/>
                <w:szCs w:val="24"/>
                <w:highlight w:val="none"/>
              </w:rPr>
              <w:t>封面：250克特种纸</w:t>
            </w:r>
          </w:p>
          <w:p>
            <w:pPr>
              <w:pStyle w:val="2"/>
              <w:spacing w:before="0"/>
              <w:jc w:val="left"/>
              <w:rPr>
                <w:rFonts w:hint="eastAsia" w:ascii="宋体" w:hAnsi="宋体" w:cs="宋体"/>
                <w:szCs w:val="24"/>
                <w:highlight w:val="none"/>
              </w:rPr>
            </w:pPr>
            <w:r>
              <w:rPr>
                <w:rFonts w:hint="eastAsia" w:ascii="宋体" w:hAnsi="宋体" w:cs="宋体"/>
                <w:szCs w:val="24"/>
                <w:highlight w:val="none"/>
              </w:rPr>
              <w:t>内页：157克铜版纸</w:t>
            </w:r>
          </w:p>
          <w:p>
            <w:pPr>
              <w:pStyle w:val="2"/>
              <w:spacing w:before="0"/>
              <w:jc w:val="left"/>
              <w:rPr>
                <w:rFonts w:hint="eastAsia" w:ascii="宋体" w:hAnsi="宋体" w:cs="宋体"/>
                <w:szCs w:val="24"/>
                <w:highlight w:val="none"/>
              </w:rPr>
            </w:pPr>
            <w:r>
              <w:rPr>
                <w:rFonts w:hint="eastAsia" w:ascii="宋体" w:hAnsi="宋体" w:cs="宋体"/>
                <w:szCs w:val="24"/>
                <w:highlight w:val="none"/>
              </w:rPr>
              <w:t>页数: 220P/本</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 xml:space="preserve">规格：210*285mm  </w:t>
            </w:r>
            <w:r>
              <w:rPr>
                <w:rFonts w:hint="eastAsia" w:ascii="宋体" w:hAnsi="宋体" w:cs="宋体"/>
                <w:szCs w:val="24"/>
                <w:highlight w:val="none"/>
              </w:rPr>
              <w:br w:type="textWrapping"/>
            </w:r>
            <w:r>
              <w:rPr>
                <w:rFonts w:hint="eastAsia" w:ascii="宋体" w:hAnsi="宋体" w:cs="宋体"/>
                <w:szCs w:val="24"/>
                <w:highlight w:val="none"/>
              </w:rPr>
              <w:t xml:space="preserve">封面：270克特种纸 </w:t>
            </w:r>
            <w:r>
              <w:rPr>
                <w:rFonts w:hint="eastAsia" w:ascii="宋体" w:hAnsi="宋体" w:cs="宋体"/>
                <w:szCs w:val="24"/>
                <w:highlight w:val="none"/>
              </w:rPr>
              <w:br w:type="textWrapping"/>
            </w:r>
            <w:r>
              <w:rPr>
                <w:rFonts w:hint="eastAsia" w:ascii="宋体" w:hAnsi="宋体" w:cs="宋体"/>
                <w:szCs w:val="24"/>
                <w:highlight w:val="none"/>
              </w:rPr>
              <w:t>内页：175克特种纸</w:t>
            </w:r>
          </w:p>
          <w:p>
            <w:pPr>
              <w:jc w:val="left"/>
              <w:rPr>
                <w:rFonts w:hint="eastAsia" w:ascii="宋体" w:hAnsi="宋体" w:cs="宋体"/>
                <w:sz w:val="24"/>
                <w:szCs w:val="24"/>
                <w:highlight w:val="none"/>
              </w:rPr>
            </w:pPr>
            <w:r>
              <w:rPr>
                <w:rFonts w:hint="eastAsia" w:ascii="宋体" w:hAnsi="宋体" w:cs="宋体"/>
                <w:sz w:val="24"/>
                <w:szCs w:val="24"/>
                <w:highlight w:val="none"/>
              </w:rPr>
              <w:t>页数: 220P/本</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333333"/>
                <w:sz w:val="24"/>
                <w:szCs w:val="24"/>
                <w:highlight w:val="none"/>
                <w:shd w:val="clear" w:color="auto" w:fill="FFFFFF"/>
              </w:rPr>
            </w:pPr>
            <w:r>
              <w:rPr>
                <w:rFonts w:hint="eastAsia" w:ascii="宋体" w:hAnsi="宋体" w:cs="宋体"/>
                <w:sz w:val="24"/>
                <w:szCs w:val="24"/>
                <w:highlight w:val="none"/>
              </w:rPr>
              <w:t>画册</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20P画册  210*285mm  160g-300g铜板纸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333333"/>
                <w:sz w:val="24"/>
                <w:szCs w:val="24"/>
                <w:highlight w:val="none"/>
                <w:shd w:val="clear" w:color="auto" w:fill="FFFFFF"/>
              </w:rPr>
            </w:pPr>
            <w:r>
              <w:rPr>
                <w:rFonts w:hint="eastAsia" w:ascii="宋体" w:hAnsi="宋体" w:cs="宋体"/>
                <w:sz w:val="24"/>
                <w:szCs w:val="24"/>
                <w:highlight w:val="none"/>
              </w:rPr>
              <w:t>活动简介</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210*290mm  40页/本  A4纸 彩色</w:t>
            </w:r>
          </w:p>
          <w:p>
            <w:pPr>
              <w:jc w:val="left"/>
              <w:rPr>
                <w:rFonts w:hint="eastAsia" w:ascii="宋体" w:hAnsi="宋体" w:cs="宋体"/>
                <w:sz w:val="24"/>
                <w:szCs w:val="24"/>
                <w:highlight w:val="none"/>
              </w:rPr>
            </w:pPr>
            <w:r>
              <w:rPr>
                <w:rFonts w:hint="eastAsia" w:ascii="宋体" w:hAnsi="宋体" w:cs="宋体"/>
                <w:sz w:val="24"/>
                <w:szCs w:val="24"/>
                <w:highlight w:val="none"/>
              </w:rPr>
              <w:t>骑马钉装订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手册1</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A4四色印刷  150克  铜板纸</w:t>
            </w:r>
          </w:p>
          <w:p>
            <w:pPr>
              <w:jc w:val="left"/>
              <w:rPr>
                <w:rFonts w:hint="eastAsia" w:ascii="宋体" w:hAnsi="宋体" w:cs="宋体"/>
                <w:sz w:val="24"/>
                <w:szCs w:val="24"/>
                <w:highlight w:val="none"/>
              </w:rPr>
            </w:pPr>
            <w:r>
              <w:rPr>
                <w:rFonts w:hint="eastAsia" w:ascii="宋体" w:hAnsi="宋体" w:cs="宋体"/>
                <w:sz w:val="24"/>
                <w:szCs w:val="24"/>
                <w:highlight w:val="none"/>
              </w:rPr>
              <w:t>复膜  UV   烫金  压纹  20页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1282" w:type="dxa"/>
            <w:vMerge w:val="restart"/>
            <w:tcBorders>
              <w:top w:val="single" w:color="auto" w:sz="4" w:space="0"/>
              <w:left w:val="single" w:color="auto" w:sz="4" w:space="0"/>
              <w:right w:val="single" w:color="auto" w:sz="4" w:space="0"/>
            </w:tcBorders>
            <w:noWrap w:val="0"/>
            <w:vAlign w:val="center"/>
          </w:tcPr>
          <w:p>
            <w:pPr>
              <w:pStyle w:val="2"/>
              <w:spacing w:before="0"/>
              <w:jc w:val="left"/>
              <w:rPr>
                <w:rFonts w:hint="eastAsia" w:ascii="宋体" w:hAnsi="宋体" w:cs="宋体"/>
                <w:color w:val="333333"/>
                <w:szCs w:val="24"/>
                <w:highlight w:val="none"/>
                <w:shd w:val="clear" w:color="auto" w:fill="FFFFFF"/>
              </w:rPr>
            </w:pPr>
            <w:r>
              <w:rPr>
                <w:rFonts w:hint="eastAsia" w:ascii="宋体" w:hAnsi="宋体" w:cs="宋体"/>
                <w:szCs w:val="24"/>
                <w:highlight w:val="none"/>
              </w:rPr>
              <w:t>荣誉证书</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毛绒面 封面尺寸16K  加红色内芯页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p>
            <w:pPr>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jc w:val="center"/>
        </w:trPr>
        <w:tc>
          <w:tcPr>
            <w:tcW w:w="116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1282" w:type="dxa"/>
            <w:vMerge w:val="continue"/>
            <w:tcBorders>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特种纸面，边框压纹，封面浮雕烫金16k</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信封</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尺寸：1号-8号165*102mm信封120g高白双胶纸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宣传扑克</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固定规格带包装盒</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笔记本</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笔记本B5办公软面抄</w:t>
            </w:r>
          </w:p>
          <w:p>
            <w:pPr>
              <w:jc w:val="left"/>
              <w:rPr>
                <w:rFonts w:hint="eastAsia" w:ascii="宋体" w:hAnsi="宋体" w:cs="宋体"/>
                <w:sz w:val="24"/>
                <w:szCs w:val="24"/>
                <w:highlight w:val="none"/>
              </w:rPr>
            </w:pPr>
            <w:r>
              <w:rPr>
                <w:rFonts w:hint="eastAsia" w:ascii="宋体" w:hAnsi="宋体" w:cs="宋体"/>
                <w:sz w:val="24"/>
                <w:szCs w:val="24"/>
                <w:highlight w:val="none"/>
              </w:rPr>
              <w:t>179*252mm  70g 道林纸60页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黑皮本</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仿皮本18K   70g 道林纸</w:t>
            </w:r>
          </w:p>
          <w:p>
            <w:pPr>
              <w:pStyle w:val="2"/>
              <w:spacing w:before="0"/>
              <w:jc w:val="left"/>
              <w:rPr>
                <w:rFonts w:hint="eastAsia" w:ascii="宋体" w:hAnsi="宋体" w:cs="宋体"/>
                <w:szCs w:val="24"/>
                <w:highlight w:val="none"/>
              </w:rPr>
            </w:pPr>
            <w:r>
              <w:rPr>
                <w:rFonts w:hint="eastAsia" w:ascii="宋体" w:hAnsi="宋体" w:cs="宋体"/>
                <w:szCs w:val="24"/>
                <w:highlight w:val="none"/>
              </w:rPr>
              <w:t>长：26厘米</w:t>
            </w:r>
          </w:p>
          <w:p>
            <w:pPr>
              <w:pStyle w:val="2"/>
              <w:spacing w:before="0"/>
              <w:jc w:val="left"/>
              <w:rPr>
                <w:rFonts w:hint="eastAsia" w:ascii="宋体" w:hAnsi="宋体" w:cs="宋体"/>
                <w:szCs w:val="24"/>
                <w:highlight w:val="none"/>
              </w:rPr>
            </w:pPr>
            <w:r>
              <w:rPr>
                <w:rFonts w:hint="eastAsia" w:ascii="宋体" w:hAnsi="宋体" w:cs="宋体"/>
                <w:szCs w:val="24"/>
                <w:highlight w:val="none"/>
              </w:rPr>
              <w:t>宽：17.6厘米</w:t>
            </w:r>
          </w:p>
          <w:p>
            <w:pPr>
              <w:pStyle w:val="2"/>
              <w:spacing w:before="0"/>
              <w:jc w:val="left"/>
              <w:rPr>
                <w:rFonts w:hint="eastAsia" w:ascii="宋体" w:hAnsi="宋体" w:cs="宋体"/>
                <w:szCs w:val="24"/>
                <w:highlight w:val="none"/>
              </w:rPr>
            </w:pPr>
            <w:r>
              <w:rPr>
                <w:rFonts w:hint="eastAsia" w:ascii="宋体" w:hAnsi="宋体" w:cs="宋体"/>
                <w:szCs w:val="24"/>
                <w:highlight w:val="none"/>
              </w:rPr>
              <w:t>产品净重：280g</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黑皮本</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仿皮本32k  70g 道林纸</w:t>
            </w:r>
          </w:p>
          <w:p>
            <w:pPr>
              <w:pStyle w:val="2"/>
              <w:spacing w:before="0"/>
              <w:jc w:val="left"/>
              <w:rPr>
                <w:rFonts w:hint="eastAsia" w:ascii="宋体" w:hAnsi="宋体" w:cs="宋体"/>
                <w:szCs w:val="24"/>
                <w:highlight w:val="none"/>
              </w:rPr>
            </w:pPr>
            <w:r>
              <w:rPr>
                <w:rFonts w:hint="eastAsia" w:ascii="宋体" w:hAnsi="宋体" w:cs="宋体"/>
                <w:szCs w:val="24"/>
                <w:highlight w:val="none"/>
              </w:rPr>
              <w:t>长：19.7厘米</w:t>
            </w:r>
          </w:p>
          <w:p>
            <w:pPr>
              <w:pStyle w:val="2"/>
              <w:spacing w:before="0"/>
              <w:jc w:val="left"/>
              <w:rPr>
                <w:rFonts w:hint="eastAsia" w:ascii="宋体" w:hAnsi="宋体" w:cs="宋体"/>
                <w:szCs w:val="24"/>
                <w:highlight w:val="none"/>
              </w:rPr>
            </w:pPr>
            <w:r>
              <w:rPr>
                <w:rFonts w:hint="eastAsia" w:ascii="宋体" w:hAnsi="宋体" w:cs="宋体"/>
                <w:szCs w:val="24"/>
                <w:highlight w:val="none"/>
              </w:rPr>
              <w:t>宽：13.2厘米</w:t>
            </w:r>
          </w:p>
          <w:p>
            <w:pPr>
              <w:pStyle w:val="2"/>
              <w:spacing w:before="0"/>
              <w:jc w:val="left"/>
              <w:rPr>
                <w:rFonts w:hint="eastAsia" w:ascii="宋体" w:hAnsi="宋体" w:cs="宋体"/>
                <w:szCs w:val="24"/>
                <w:highlight w:val="none"/>
              </w:rPr>
            </w:pPr>
            <w:r>
              <w:rPr>
                <w:rFonts w:hint="eastAsia" w:ascii="宋体" w:hAnsi="宋体" w:cs="宋体"/>
                <w:szCs w:val="24"/>
                <w:highlight w:val="none"/>
              </w:rPr>
              <w:t>产品净重：180g</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手提袋</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eastAsia="zh-CN"/>
              </w:rPr>
              <w:t>纯棉帆布</w:t>
            </w:r>
            <w:r>
              <w:rPr>
                <w:rFonts w:hint="eastAsia" w:ascii="宋体" w:hAnsi="宋体" w:cs="宋体"/>
                <w:sz w:val="24"/>
                <w:szCs w:val="24"/>
                <w:highlight w:val="none"/>
              </w:rPr>
              <w:t>袋 32*44*11cm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手提袋</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eastAsia="zh-CN"/>
              </w:rPr>
              <w:t>纯棉帆布</w:t>
            </w:r>
            <w:r>
              <w:rPr>
                <w:rFonts w:hint="eastAsia" w:ascii="宋体" w:hAnsi="宋体" w:cs="宋体"/>
                <w:sz w:val="24"/>
                <w:szCs w:val="24"/>
                <w:highlight w:val="none"/>
              </w:rPr>
              <w:t>袋 14*15*7cm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15</w:t>
            </w:r>
          </w:p>
        </w:tc>
        <w:tc>
          <w:tcPr>
            <w:tcW w:w="1282" w:type="dxa"/>
            <w:tcBorders>
              <w:top w:val="single" w:color="auto" w:sz="4" w:space="0"/>
              <w:left w:val="single" w:color="auto" w:sz="4" w:space="0"/>
              <w:bottom w:val="single" w:color="auto" w:sz="4" w:space="0"/>
              <w:right w:val="single" w:color="auto" w:sz="4" w:space="0"/>
            </w:tcBorders>
            <w:noWrap w:val="0"/>
            <w:vAlign w:val="bottom"/>
          </w:tcPr>
          <w:p>
            <w:pPr>
              <w:pStyle w:val="8"/>
              <w:jc w:val="left"/>
              <w:rPr>
                <w:rFonts w:hint="eastAsia" w:ascii="宋体" w:hAnsi="宋体" w:cs="宋体"/>
                <w:sz w:val="24"/>
                <w:szCs w:val="24"/>
                <w:highlight w:val="none"/>
              </w:rPr>
            </w:pPr>
            <w:r>
              <w:rPr>
                <w:rFonts w:hint="eastAsia" w:ascii="宋体" w:hAnsi="宋体" w:cs="宋体"/>
                <w:kern w:val="2"/>
                <w:sz w:val="24"/>
                <w:szCs w:val="24"/>
                <w:highlight w:val="none"/>
              </w:rPr>
              <w:t>包装盒</w:t>
            </w:r>
          </w:p>
        </w:tc>
        <w:tc>
          <w:tcPr>
            <w:tcW w:w="4521"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sz w:val="24"/>
                <w:szCs w:val="24"/>
                <w:highlight w:val="none"/>
              </w:rPr>
            </w:pPr>
            <w:r>
              <w:rPr>
                <w:rFonts w:hint="eastAsia" w:ascii="宋体" w:hAnsi="宋体" w:cs="宋体"/>
                <w:sz w:val="24"/>
                <w:szCs w:val="24"/>
                <w:highlight w:val="none"/>
              </w:rPr>
              <w:t>22*15*9.5cm  白卡纸    300G</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16</w:t>
            </w:r>
          </w:p>
        </w:tc>
        <w:tc>
          <w:tcPr>
            <w:tcW w:w="1282" w:type="dxa"/>
            <w:tcBorders>
              <w:top w:val="single" w:color="auto" w:sz="4" w:space="0"/>
              <w:left w:val="single" w:color="auto" w:sz="4" w:space="0"/>
              <w:bottom w:val="single" w:color="auto" w:sz="4" w:space="0"/>
              <w:right w:val="single" w:color="auto" w:sz="4" w:space="0"/>
            </w:tcBorders>
            <w:noWrap w:val="0"/>
            <w:vAlign w:val="bottom"/>
          </w:tcPr>
          <w:p>
            <w:pPr>
              <w:pStyle w:val="8"/>
              <w:rPr>
                <w:rFonts w:hint="eastAsia" w:ascii="宋体" w:hAnsi="宋体" w:cs="宋体"/>
                <w:sz w:val="24"/>
                <w:szCs w:val="24"/>
                <w:highlight w:val="none"/>
              </w:rPr>
            </w:pPr>
            <w:r>
              <w:rPr>
                <w:rFonts w:hint="eastAsia" w:ascii="宋体" w:hAnsi="宋体" w:cs="宋体"/>
                <w:sz w:val="24"/>
                <w:szCs w:val="24"/>
                <w:highlight w:val="none"/>
              </w:rPr>
              <w:t>包装盒</w:t>
            </w:r>
          </w:p>
        </w:tc>
        <w:tc>
          <w:tcPr>
            <w:tcW w:w="4521"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sz w:val="24"/>
                <w:szCs w:val="24"/>
                <w:highlight w:val="none"/>
              </w:rPr>
            </w:pPr>
            <w:r>
              <w:rPr>
                <w:rFonts w:hint="eastAsia" w:ascii="宋体" w:hAnsi="宋体" w:cs="宋体"/>
                <w:sz w:val="24"/>
                <w:szCs w:val="24"/>
                <w:highlight w:val="none"/>
              </w:rPr>
              <w:t>23*13*16cm   瓦楞纸板   3层特硬</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书签</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环保卡纸  4.5*16cm  330克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不干胶打印纸</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A4不干胶 打印纸100张/包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ind w:firstLine="960" w:firstLineChars="400"/>
              <w:jc w:val="left"/>
              <w:rPr>
                <w:rFonts w:hint="eastAsia" w:ascii="宋体" w:hAnsi="宋体" w:cs="宋体"/>
                <w:sz w:val="24"/>
                <w:szCs w:val="24"/>
                <w:highlight w:val="none"/>
              </w:rPr>
            </w:pPr>
            <w:r>
              <w:rPr>
                <w:rFonts w:hint="eastAsia" w:ascii="宋体" w:hAnsi="宋体" w:cs="宋体"/>
                <w:sz w:val="24"/>
                <w:szCs w:val="24"/>
                <w:highlight w:val="none"/>
              </w:rPr>
              <w:t xml:space="preserve"> 不干胶印刷</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不干胶尺寸9-5.4厘米之间1000张 覆膜模切100张/包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宋体" w:hAnsi="宋体" w:cs="宋体"/>
                <w:sz w:val="24"/>
                <w:szCs w:val="24"/>
                <w:highlight w:val="none"/>
              </w:rPr>
            </w:pPr>
            <w:r>
              <w:rPr>
                <w:rFonts w:hint="eastAsia" w:ascii="宋体" w:hAnsi="宋体" w:cs="宋体"/>
                <w:sz w:val="24"/>
                <w:szCs w:val="24"/>
                <w:highlight w:val="none"/>
              </w:rPr>
              <w:t>工作证</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A7竖</w:t>
            </w:r>
            <w:r>
              <w:rPr>
                <w:rFonts w:hint="eastAsia" w:ascii="宋体" w:hAnsi="宋体" w:cs="宋体"/>
                <w:sz w:val="24"/>
                <w:szCs w:val="24"/>
                <w:highlight w:val="none"/>
              </w:rPr>
              <w:tab/>
            </w:r>
            <w:r>
              <w:rPr>
                <w:rFonts w:hint="eastAsia" w:ascii="宋体" w:hAnsi="宋体" w:cs="宋体"/>
                <w:sz w:val="24"/>
                <w:szCs w:val="24"/>
                <w:highlight w:val="none"/>
              </w:rPr>
              <w:t>外边规格120*82MM</w:t>
            </w:r>
          </w:p>
          <w:p>
            <w:pPr>
              <w:rPr>
                <w:rFonts w:hint="eastAsia" w:ascii="宋体" w:hAnsi="宋体" w:cs="宋体"/>
                <w:sz w:val="24"/>
                <w:szCs w:val="24"/>
                <w:highlight w:val="none"/>
              </w:rPr>
            </w:pPr>
            <w:r>
              <w:rPr>
                <w:rFonts w:hint="eastAsia" w:ascii="宋体" w:hAnsi="宋体" w:cs="宋体"/>
                <w:sz w:val="24"/>
                <w:szCs w:val="24"/>
                <w:highlight w:val="none"/>
              </w:rPr>
              <w:t>内芯规格105*71MM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工作证</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B7证件卡套  横版 外边规格 140*96MM</w:t>
            </w:r>
            <w:r>
              <w:rPr>
                <w:rFonts w:hint="eastAsia" w:ascii="宋体" w:hAnsi="宋体" w:cs="宋体"/>
                <w:sz w:val="24"/>
                <w:szCs w:val="24"/>
                <w:highlight w:val="none"/>
              </w:rPr>
              <w:tab/>
            </w:r>
            <w:r>
              <w:rPr>
                <w:rFonts w:hint="eastAsia" w:ascii="宋体" w:hAnsi="宋体" w:cs="宋体"/>
                <w:sz w:val="24"/>
                <w:szCs w:val="24"/>
                <w:highlight w:val="none"/>
              </w:rPr>
              <w:t>内芯规格125*86MM  100张/项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单色印刷 纸杯</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一次性纸杯 定做 印LOGO  商务杯子 9盎司  1000只/项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双色印刷 纸杯</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一次性纸杯 定做 印LOGO  商务杯子 9盎司 2000只/项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挂历</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A3挂历制作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挂历</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A4挂历制作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台历</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竖款8寸台历定制 单面印刷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台历</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竖款8寸台历定制 双面印刷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广告福字</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广告福字 28cm*28cm  500张/项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席签</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横/竖款，双面印刷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旗帜布喷绘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800mm*1200mm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旗帜布喷绘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1200mm*1500mm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写真喷绘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pvc灯箱片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写真喷绘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背胶海报纸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72 dpi(5m)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户外喷绘</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200 dpi(3.2m)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宣传栏1</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室内移动铝合金宣传栏1200mm*2400mm</w:t>
            </w:r>
          </w:p>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4cm银色边框（翻开式）+立柱，带轮子，亮砂铝材</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宣传栏2</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户外不锈钢白板宣传栏，镀锌板+202不锈钢</w:t>
            </w:r>
            <w:r>
              <w:rPr>
                <w:rFonts w:hint="eastAsia" w:ascii="宋体" w:hAnsi="宋体" w:cs="宋体"/>
                <w:color w:val="auto"/>
                <w:sz w:val="24"/>
                <w:szCs w:val="24"/>
                <w:highlight w:val="none"/>
                <w:lang w:eastAsia="zh-CN"/>
              </w:rPr>
              <w:t>，厚度：≥</w:t>
            </w:r>
            <w:r>
              <w:rPr>
                <w:rFonts w:hint="eastAsia" w:ascii="宋体" w:hAnsi="宋体" w:cs="宋体"/>
                <w:color w:val="auto"/>
                <w:sz w:val="24"/>
                <w:szCs w:val="24"/>
                <w:highlight w:val="none"/>
                <w:lang w:val="en-US" w:eastAsia="zh-CN"/>
              </w:rPr>
              <w:t>1mm</w:t>
            </w:r>
            <w:r>
              <w:rPr>
                <w:rFonts w:hint="eastAsia" w:ascii="宋体" w:hAnsi="宋体" w:cs="宋体"/>
                <w:color w:val="auto"/>
                <w:sz w:val="24"/>
                <w:szCs w:val="24"/>
                <w:highlight w:val="none"/>
              </w:rPr>
              <w:t>，1200mm*2400mm，带轮子</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条幅</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幅宽 带绳 条幅布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39</w:t>
            </w:r>
          </w:p>
        </w:tc>
        <w:tc>
          <w:tcPr>
            <w:tcW w:w="1282" w:type="dxa"/>
            <w:vMerge w:val="restart"/>
            <w:tcBorders>
              <w:top w:val="single" w:color="auto" w:sz="4" w:space="0"/>
              <w:left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道旗</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600mm*1900mm 铁方管喷绘布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1282"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800mm*2400mm 铁方管喷绘布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立式喷绘展架附KT板</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800mm*1000mm 铁管</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41</w:t>
            </w:r>
          </w:p>
        </w:tc>
        <w:tc>
          <w:tcPr>
            <w:tcW w:w="1282"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X展架</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800mm*2000mm  铁管写真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1282"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1500mm*2000mm  铝合金写真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restart"/>
            <w:tcBorders>
              <w:top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灯箱片</w:t>
            </w:r>
          </w:p>
          <w:p>
            <w:pPr>
              <w:jc w:val="left"/>
              <w:rPr>
                <w:rFonts w:hint="eastAsia" w:ascii="宋体" w:hAnsi="宋体" w:cs="宋体"/>
                <w:sz w:val="24"/>
                <w:szCs w:val="24"/>
                <w:highlight w:val="none"/>
              </w:rPr>
            </w:pPr>
            <w:r>
              <w:rPr>
                <w:rFonts w:hint="eastAsia" w:ascii="宋体" w:hAnsi="宋体" w:cs="宋体"/>
                <w:sz w:val="24"/>
                <w:szCs w:val="24"/>
                <w:highlight w:val="none"/>
              </w:rPr>
              <w:t>制作</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600mm*800mm灯箱片写真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vMerge w:val="continue"/>
            <w:tcBorders>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灯箱片</w:t>
            </w:r>
          </w:p>
          <w:p>
            <w:pPr>
              <w:jc w:val="left"/>
              <w:rPr>
                <w:rFonts w:hint="eastAsia" w:ascii="宋体" w:hAnsi="宋体" w:cs="宋体"/>
                <w:sz w:val="24"/>
                <w:szCs w:val="24"/>
                <w:highlight w:val="none"/>
              </w:rPr>
            </w:pPr>
            <w:r>
              <w:rPr>
                <w:rFonts w:hint="eastAsia" w:ascii="宋体" w:hAnsi="宋体" w:cs="宋体"/>
                <w:sz w:val="24"/>
                <w:szCs w:val="24"/>
                <w:highlight w:val="none"/>
              </w:rPr>
              <w:t>制作</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800mm*1000mm灯箱片写真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1160" w:type="dxa"/>
            <w:vMerge w:val="restart"/>
            <w:tcBorders>
              <w:top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43</w:t>
            </w:r>
          </w:p>
        </w:tc>
        <w:tc>
          <w:tcPr>
            <w:tcW w:w="1282"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易拉宝</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800mm*2000mm   塑钢易拉宝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160" w:type="dxa"/>
            <w:vMerge w:val="continue"/>
            <w:tcBorders>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1282"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800mm*2000mm  铝合金易拉宝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不锈钢包边亚克力发光字</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不锈钢包边亚克力发光字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m2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亚克力板</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高透明有机玻璃板</w:t>
            </w:r>
          </w:p>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定制PMMA亚克力板</w:t>
            </w:r>
          </w:p>
          <w:p>
            <w:pPr>
              <w:pStyle w:val="8"/>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厚度：≥</w:t>
            </w:r>
            <w:r>
              <w:rPr>
                <w:rFonts w:hint="eastAsia" w:ascii="宋体" w:hAnsi="宋体" w:cs="宋体"/>
                <w:color w:val="auto"/>
                <w:sz w:val="24"/>
                <w:szCs w:val="24"/>
                <w:highlight w:val="none"/>
                <w:lang w:val="en-US" w:eastAsia="zh-CN"/>
              </w:rPr>
              <w:t>1cm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m2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背景布</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9200mm*2400mm，喷绘布，单面四色，打孔，安装。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户外海报/展板</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大型喷绘及灯箱</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便签</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柔性粘胶90g木浆纸  75mm*75mm*10mm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原始凭证粘贴单</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21cm*10.5cm 35K</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报销单据粘贴单</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12*21厘米（通）</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借据凭证单</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商品包装：一本45张     100本/包 商品尺寸：105mm*190mm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记账凭证</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21cm*10.5cm 35K     100本</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档案袋</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牛皮纸长30厘米,宽23厘米,折叠部分2.5厘米  150G混浆牛皮纸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档案盒</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牛皮纸档案盒  5.5mm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档案盒</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无酸纸档案盒3.5mm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PVC</w:t>
            </w:r>
          </w:p>
          <w:p>
            <w:pPr>
              <w:jc w:val="left"/>
              <w:rPr>
                <w:rFonts w:hint="eastAsia" w:ascii="宋体" w:hAnsi="宋体" w:cs="宋体"/>
                <w:sz w:val="24"/>
                <w:szCs w:val="24"/>
                <w:highlight w:val="none"/>
              </w:rPr>
            </w:pPr>
            <w:r>
              <w:rPr>
                <w:rFonts w:hint="eastAsia" w:ascii="宋体" w:hAnsi="宋体" w:cs="宋体"/>
                <w:sz w:val="24"/>
                <w:szCs w:val="24"/>
                <w:highlight w:val="none"/>
              </w:rPr>
              <w:t>392*285*0.2mm</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PVC透明文件袋/公文袋/资料袋(10个装) 白色</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PVC</w:t>
            </w:r>
          </w:p>
          <w:p>
            <w:pPr>
              <w:jc w:val="left"/>
              <w:rPr>
                <w:rFonts w:hint="eastAsia" w:ascii="宋体" w:hAnsi="宋体" w:cs="宋体"/>
                <w:sz w:val="24"/>
                <w:szCs w:val="24"/>
                <w:highlight w:val="none"/>
              </w:rPr>
            </w:pPr>
            <w:r>
              <w:rPr>
                <w:rFonts w:hint="eastAsia" w:ascii="宋体" w:hAnsi="宋体" w:cs="宋体"/>
                <w:sz w:val="24"/>
                <w:szCs w:val="24"/>
                <w:highlight w:val="none"/>
              </w:rPr>
              <w:t>325*250*0.15mm</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PVC透明文件袋/公文袋/资料袋(10个装) 白色</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模切</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color w:val="auto"/>
                <w:szCs w:val="24"/>
                <w:highlight w:val="none"/>
              </w:rPr>
            </w:pPr>
            <w:r>
              <w:rPr>
                <w:rFonts w:hint="eastAsia" w:ascii="宋体" w:hAnsi="宋体" w:cs="宋体"/>
                <w:color w:val="auto"/>
                <w:szCs w:val="24"/>
                <w:highlight w:val="none"/>
              </w:rPr>
              <w:t>A4版模切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模切</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color w:val="auto"/>
                <w:szCs w:val="24"/>
                <w:highlight w:val="none"/>
              </w:rPr>
            </w:pPr>
            <w:r>
              <w:rPr>
                <w:rFonts w:hint="eastAsia" w:ascii="宋体" w:hAnsi="宋体" w:cs="宋体"/>
                <w:color w:val="auto"/>
                <w:szCs w:val="24"/>
                <w:highlight w:val="none"/>
              </w:rPr>
              <w:t>A3版模切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覆膜</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A4版覆膜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覆膜</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A3版覆膜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骑马订</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2个钉</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折页</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压痕一次/二次/三次</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烫银</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1cm烫银版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烫</w:t>
            </w:r>
            <w:r>
              <w:rPr>
                <w:rFonts w:hint="eastAsia" w:ascii="宋体" w:hAnsi="宋体" w:cs="宋体"/>
                <w:sz w:val="24"/>
                <w:szCs w:val="24"/>
                <w:highlight w:val="none"/>
                <w:lang w:eastAsia="zh-CN"/>
              </w:rPr>
              <w:t>金</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1cm烫</w:t>
            </w:r>
            <w:r>
              <w:rPr>
                <w:rFonts w:hint="eastAsia" w:ascii="宋体" w:hAnsi="宋体" w:cs="宋体"/>
                <w:color w:val="auto"/>
                <w:sz w:val="24"/>
                <w:szCs w:val="24"/>
                <w:highlight w:val="none"/>
                <w:lang w:eastAsia="zh-CN"/>
              </w:rPr>
              <w:t>金</w:t>
            </w:r>
            <w:r>
              <w:rPr>
                <w:rFonts w:hint="eastAsia" w:ascii="宋体" w:hAnsi="宋体" w:cs="宋体"/>
                <w:color w:val="auto"/>
                <w:sz w:val="24"/>
                <w:szCs w:val="24"/>
                <w:highlight w:val="none"/>
              </w:rPr>
              <w:t>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装订</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A4胶装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装订</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A4线装</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排版</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文件排版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r>
              <w:rPr>
                <w:rFonts w:ascii="宋体" w:hAnsi="宋体" w:cs="宋体"/>
                <w:color w:val="000000"/>
                <w:sz w:val="24"/>
                <w:szCs w:val="24"/>
                <w:highlight w:val="none"/>
              </w:rPr>
              <w:t>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展牌设计</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冷板设计</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彩印</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A3版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en-US" w:eastAsia="zh-CN"/>
              </w:rPr>
              <w:t>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彩印</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A4版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封条</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长：1m，宽：10cm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L</w:t>
            </w:r>
            <w:r>
              <w:rPr>
                <w:rFonts w:ascii="宋体" w:hAnsi="宋体" w:cs="宋体"/>
                <w:sz w:val="24"/>
                <w:szCs w:val="24"/>
                <w:highlight w:val="none"/>
              </w:rPr>
              <w:t>ED</w:t>
            </w:r>
            <w:r>
              <w:rPr>
                <w:rFonts w:hint="eastAsia" w:ascii="宋体" w:hAnsi="宋体" w:cs="宋体"/>
                <w:sz w:val="24"/>
                <w:szCs w:val="24"/>
                <w:highlight w:val="none"/>
              </w:rPr>
              <w:t>宣传屏幕租用</w:t>
            </w:r>
            <w:r>
              <w:rPr>
                <w:rFonts w:hint="eastAsia" w:ascii="宋体" w:hAnsi="宋体" w:cs="宋体"/>
                <w:sz w:val="24"/>
                <w:szCs w:val="24"/>
                <w:highlight w:val="none"/>
                <w:lang w:eastAsia="zh-CN"/>
              </w:rPr>
              <w:t>（室内）</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lang w:val="en-US" w:eastAsia="zh-CN"/>
              </w:rPr>
              <w:t>屏幕范围：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，屏幕清晰度≥</w:t>
            </w:r>
            <w:r>
              <w:rPr>
                <w:rFonts w:hint="eastAsia" w:ascii="宋体" w:hAnsi="宋体" w:cs="宋体"/>
                <w:sz w:val="24"/>
                <w:szCs w:val="24"/>
                <w:highlight w:val="none"/>
                <w:lang w:val="en-US" w:eastAsia="zh-CN"/>
              </w:rPr>
              <w:t>P3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L</w:t>
            </w:r>
            <w:r>
              <w:rPr>
                <w:rFonts w:ascii="宋体" w:hAnsi="宋体" w:cs="宋体"/>
                <w:sz w:val="24"/>
                <w:szCs w:val="24"/>
                <w:highlight w:val="none"/>
              </w:rPr>
              <w:t>ED</w:t>
            </w:r>
            <w:r>
              <w:rPr>
                <w:rFonts w:hint="eastAsia" w:ascii="宋体" w:hAnsi="宋体" w:cs="宋体"/>
                <w:sz w:val="24"/>
                <w:szCs w:val="24"/>
                <w:highlight w:val="none"/>
              </w:rPr>
              <w:t>宣传屏幕租用</w:t>
            </w:r>
            <w:r>
              <w:rPr>
                <w:rFonts w:hint="eastAsia" w:ascii="宋体" w:hAnsi="宋体" w:cs="宋体"/>
                <w:sz w:val="24"/>
                <w:szCs w:val="24"/>
                <w:highlight w:val="none"/>
                <w:lang w:eastAsia="zh-CN"/>
              </w:rPr>
              <w:t>（室外）</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屏幕范围：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，屏幕清晰度≥</w:t>
            </w:r>
            <w:r>
              <w:rPr>
                <w:rFonts w:hint="eastAsia" w:ascii="宋体" w:hAnsi="宋体" w:cs="宋体"/>
                <w:sz w:val="24"/>
                <w:szCs w:val="24"/>
                <w:highlight w:val="none"/>
                <w:lang w:val="en-US" w:eastAsia="zh-CN"/>
              </w:rPr>
              <w:t>P3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宣传灯箱租用</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面积≥</w:t>
            </w:r>
            <w:r>
              <w:rPr>
                <w:rFonts w:hint="eastAsia" w:ascii="宋体" w:hAnsi="宋体" w:cs="宋体"/>
                <w:sz w:val="24"/>
                <w:szCs w:val="24"/>
                <w:highlight w:val="none"/>
                <w:lang w:val="en-US" w:eastAsia="zh-CN"/>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76</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流动音响</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满足</w:t>
            </w:r>
            <w:r>
              <w:rPr>
                <w:rFonts w:hint="eastAsia" w:ascii="宋体" w:hAnsi="宋体" w:cs="宋体"/>
                <w:sz w:val="24"/>
                <w:szCs w:val="24"/>
                <w:highlight w:val="none"/>
                <w:lang w:val="en-US" w:eastAsia="zh-CN"/>
              </w:rPr>
              <w:t>50人以上需要</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固定平面宣传版面</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面积≥</w:t>
            </w:r>
            <w:r>
              <w:rPr>
                <w:rFonts w:hint="eastAsia" w:ascii="宋体" w:hAnsi="宋体" w:cs="宋体"/>
                <w:sz w:val="24"/>
                <w:szCs w:val="24"/>
                <w:highlight w:val="none"/>
                <w:lang w:val="en-US" w:eastAsia="zh-CN"/>
              </w:rPr>
              <w:t>5㎡，厚度≥2cm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78</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流动宣传车</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普通小型货车</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宣传工作台及台布租赁</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工作台长：</w:t>
            </w:r>
            <w:r>
              <w:rPr>
                <w:rFonts w:hint="eastAsia" w:ascii="宋体" w:hAnsi="宋体" w:cs="宋体"/>
                <w:sz w:val="24"/>
                <w:szCs w:val="24"/>
                <w:highlight w:val="none"/>
                <w:lang w:val="en-US" w:eastAsia="zh-CN"/>
              </w:rPr>
              <w:t>20米，宽：0.5米，可拆卸折叠式，配备椅子20把</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160"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80</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宣传单</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A4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张</w:t>
            </w:r>
          </w:p>
        </w:tc>
      </w:tr>
    </w:tbl>
    <w:p>
      <w:pPr>
        <w:spacing w:line="360" w:lineRule="auto"/>
        <w:rPr>
          <w:rFonts w:hint="eastAsia" w:ascii="宋体" w:hAnsi="宋体" w:cs="宋体"/>
          <w:sz w:val="24"/>
          <w:szCs w:val="24"/>
        </w:rPr>
      </w:pPr>
      <w:r>
        <w:rPr>
          <w:rFonts w:hint="eastAsia" w:ascii="宋体" w:hAnsi="宋体" w:cs="宋体"/>
          <w:sz w:val="24"/>
          <w:szCs w:val="24"/>
        </w:rPr>
        <w:t>备注：本项目中相关海报、雕刻展板、喷绘、亚克力板、发光字等产品，均要求质量保证不低于两年。</w:t>
      </w:r>
    </w:p>
    <w:p>
      <w:pPr>
        <w:spacing w:line="360" w:lineRule="auto"/>
        <w:rPr>
          <w:rFonts w:hint="eastAsia" w:ascii="宋体" w:hAnsi="宋体" w:cs="宋体"/>
          <w:b/>
          <w:bCs/>
          <w:sz w:val="24"/>
          <w:szCs w:val="24"/>
        </w:rPr>
      </w:pPr>
      <w:r>
        <w:rPr>
          <w:rFonts w:hint="eastAsia" w:ascii="宋体" w:hAnsi="宋体" w:cs="宋体"/>
          <w:b/>
          <w:bCs/>
          <w:sz w:val="24"/>
          <w:szCs w:val="24"/>
        </w:rPr>
        <w:t>（3）其他要求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1）年度预算：30万元。</w:t>
      </w:r>
    </w:p>
    <w:p>
      <w:pPr>
        <w:spacing w:line="360" w:lineRule="auto"/>
        <w:rPr>
          <w:rFonts w:hint="eastAsia" w:hAnsi="宋体"/>
          <w:sz w:val="24"/>
          <w:highlight w:val="none"/>
        </w:rPr>
      </w:pPr>
      <w:r>
        <w:rPr>
          <w:rFonts w:hint="eastAsia" w:ascii="宋体" w:hAnsi="宋体" w:cs="宋体"/>
          <w:color w:val="000000"/>
          <w:sz w:val="24"/>
          <w:szCs w:val="24"/>
          <w:highlight w:val="none"/>
        </w:rPr>
        <w:t>2）付款方式：合同签订后，根据采购人实际需求，相关宣传广告材料制作完成经采购人验收合格后，按季度据实结算相关费用。</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3）交货期：</w:t>
      </w:r>
      <w:r>
        <w:rPr>
          <w:rFonts w:hint="eastAsia" w:ascii="宋体" w:hAnsi="宋体" w:cs="宋体"/>
          <w:sz w:val="24"/>
          <w:szCs w:val="24"/>
          <w:highlight w:val="none"/>
        </w:rPr>
        <w:t>接到甲方通知后，24小时内供货。</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4）交货地点：甲方指定地点</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5）合同期限：本次招标的入围服务期为一年，自合同签订之日起12个月。（或自合同签订后根据实际项目情况审批预算费用已用完，则服务期限结束。）</w:t>
      </w:r>
    </w:p>
    <w:p>
      <w:pPr>
        <w:spacing w:line="360" w:lineRule="auto"/>
        <w:rPr>
          <w:rFonts w:hint="eastAsia" w:ascii="宋体" w:hAnsi="宋体" w:eastAsia="宋体" w:cs="宋体"/>
          <w:b w:val="0"/>
          <w:bCs w:val="0"/>
          <w:color w:val="000000"/>
          <w:sz w:val="24"/>
          <w:szCs w:val="24"/>
        </w:rPr>
      </w:pPr>
    </w:p>
    <w:p>
      <w:pPr>
        <w:adjustRightInd w:val="0"/>
        <w:snapToGrid w:val="0"/>
        <w:spacing w:line="360" w:lineRule="auto"/>
        <w:ind w:firstLine="460"/>
        <w:jc w:val="center"/>
        <w:rPr>
          <w:rFonts w:hint="eastAsia" w:ascii="宋体" w:hAnsi="宋体"/>
          <w:bCs/>
          <w:sz w:val="36"/>
          <w:szCs w:val="36"/>
        </w:rPr>
      </w:pPr>
      <w:r>
        <w:rPr>
          <w:rFonts w:hint="eastAsia" w:ascii="宋体" w:hAnsi="宋体"/>
          <w:sz w:val="24"/>
          <w:szCs w:val="24"/>
        </w:rPr>
        <w:br w:type="page"/>
      </w:r>
      <w:bookmarkEnd w:id="35"/>
      <w:bookmarkStart w:id="37" w:name="_Toc525723064"/>
    </w:p>
    <w:p>
      <w:pPr>
        <w:pStyle w:val="3"/>
        <w:spacing w:before="0" w:after="0" w:line="360" w:lineRule="auto"/>
        <w:jc w:val="center"/>
        <w:rPr>
          <w:rFonts w:ascii="宋体" w:hAnsi="宋体"/>
          <w:bCs/>
          <w:sz w:val="36"/>
          <w:szCs w:val="36"/>
        </w:rPr>
      </w:pPr>
      <w:bookmarkStart w:id="38" w:name="_Toc28650"/>
      <w:r>
        <w:rPr>
          <w:rFonts w:hint="eastAsia" w:ascii="宋体" w:hAnsi="宋体"/>
          <w:bCs/>
          <w:sz w:val="36"/>
          <w:szCs w:val="36"/>
        </w:rPr>
        <w:t>第四部分 开标、评标、定标</w:t>
      </w:r>
      <w:bookmarkEnd w:id="38"/>
    </w:p>
    <w:p>
      <w:pPr>
        <w:pStyle w:val="2"/>
        <w:tabs>
          <w:tab w:val="left" w:pos="3000"/>
        </w:tabs>
        <w:adjustRightInd w:val="0"/>
        <w:snapToGrid w:val="0"/>
        <w:spacing w:before="0" w:line="360" w:lineRule="auto"/>
        <w:outlineLvl w:val="1"/>
        <w:rPr>
          <w:rFonts w:hint="eastAsia" w:ascii="宋体" w:hAnsi="宋体" w:eastAsia="宋体" w:cs="宋体"/>
          <w:bCs/>
          <w:szCs w:val="24"/>
        </w:rPr>
      </w:pPr>
      <w:bookmarkStart w:id="39" w:name="_Toc525723053"/>
      <w:bookmarkStart w:id="40" w:name="_Toc17103"/>
      <w:r>
        <w:rPr>
          <w:rFonts w:hint="eastAsia" w:ascii="宋体" w:hAnsi="宋体" w:eastAsia="宋体" w:cs="宋体"/>
          <w:b/>
          <w:bCs w:val="0"/>
          <w:szCs w:val="24"/>
        </w:rPr>
        <w:t>一、开标</w:t>
      </w:r>
      <w:bookmarkEnd w:id="39"/>
      <w:bookmarkEnd w:id="40"/>
      <w:r>
        <w:rPr>
          <w:rFonts w:hint="eastAsia" w:ascii="宋体" w:hAnsi="宋体" w:eastAsia="宋体" w:cs="宋体"/>
          <w:bCs/>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1、开标地点：详见投标人须知前附表。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2、开标时间：详见投标人须知前附表。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3、开标由采购代理机构主持，邀请所有投标人参加。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4、检查密封情况：开标时，由投标人的法定代表人或其授权人和采购代理机构委托的见证机构检查投标文件的密封情况，见证机构对投标文件的密封情况进行见证。</w:t>
      </w:r>
    </w:p>
    <w:p>
      <w:pPr>
        <w:pStyle w:val="2"/>
        <w:tabs>
          <w:tab w:val="left" w:pos="735"/>
        </w:tabs>
        <w:adjustRightInd w:val="0"/>
        <w:snapToGrid w:val="0"/>
        <w:spacing w:before="0" w:line="360" w:lineRule="auto"/>
        <w:outlineLvl w:val="1"/>
        <w:rPr>
          <w:rFonts w:hint="eastAsia" w:ascii="宋体" w:hAnsi="宋体" w:eastAsia="宋体" w:cs="宋体"/>
          <w:b/>
          <w:bCs w:val="0"/>
          <w:szCs w:val="24"/>
        </w:rPr>
      </w:pPr>
      <w:bookmarkStart w:id="41" w:name="_Toc525723054"/>
      <w:bookmarkStart w:id="42" w:name="_Toc4755"/>
      <w:r>
        <w:rPr>
          <w:rFonts w:hint="eastAsia" w:ascii="宋体" w:hAnsi="宋体" w:eastAsia="宋体" w:cs="宋体"/>
          <w:b/>
          <w:bCs w:val="0"/>
          <w:szCs w:val="24"/>
        </w:rPr>
        <w:t>二、评标委员会</w:t>
      </w:r>
      <w:bookmarkEnd w:id="41"/>
      <w:bookmarkEnd w:id="42"/>
    </w:p>
    <w:p>
      <w:pPr>
        <w:tabs>
          <w:tab w:val="left" w:pos="84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招标人将根据本项目的特点依法组建评标委员会，评标委员会负责对投标文件进行审查、质疑、评审，确定入围投标人、中标人。</w:t>
      </w:r>
    </w:p>
    <w:p>
      <w:pPr>
        <w:pStyle w:val="2"/>
        <w:adjustRightInd w:val="0"/>
        <w:snapToGrid w:val="0"/>
        <w:spacing w:before="0" w:line="360" w:lineRule="auto"/>
        <w:outlineLvl w:val="1"/>
        <w:rPr>
          <w:rFonts w:hint="eastAsia" w:ascii="宋体" w:hAnsi="宋体" w:eastAsia="宋体" w:cs="宋体"/>
          <w:b/>
          <w:bCs w:val="0"/>
          <w:szCs w:val="24"/>
        </w:rPr>
      </w:pPr>
      <w:bookmarkStart w:id="43" w:name="_Toc26015"/>
      <w:bookmarkStart w:id="44" w:name="_Toc525723055"/>
      <w:r>
        <w:rPr>
          <w:rFonts w:hint="eastAsia" w:ascii="宋体" w:hAnsi="宋体" w:eastAsia="宋体" w:cs="宋体"/>
          <w:b/>
          <w:bCs w:val="0"/>
          <w:szCs w:val="24"/>
        </w:rPr>
        <w:t>三、评标委员会审查投标文件的响应性</w:t>
      </w:r>
      <w:bookmarkEnd w:id="43"/>
      <w:bookmarkEnd w:id="4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1、开标后，评标委员会将组织审查投标文件是否完整；招标文件要求提交的投标保证金是否已提交；投标文件是否已按招标文件的要求签署。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2、评标委员会将依据投标人提供的投标文件审查投标人的财务、技术和供货能力。如果确定投标人无资格或无能力履行合同，其投标将被拒绝。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将确定每一投标人是否对招标文件的要求做出了实质性的响应而没有重大偏离。实质性响应的投标是指投标符合招标文件的所有条款、条件和规定且没有重大偏离或保留。评标委员会判断投标文件的响应性仅基于投标文件本身而不靠外部证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4、评标委员会将拒绝被确定为非实质性响应的投标文件，投标人不能通过修正或撤销投标文件中的不符之处而使其投标成为实质性响应的投标。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5、评标委员会允许投标人修改投标文件中不构成重大偏离的、微小的、非正规、不一致或不规则的地方。但是修改和补充的内容不能改变投标文件的实质性内容，投标人修改和补充的内容以书面承诺材料为准。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6、投标文件对招标文件构成偏离的，应单独注明。</w:t>
      </w:r>
    </w:p>
    <w:p>
      <w:pPr>
        <w:pStyle w:val="2"/>
        <w:adjustRightInd w:val="0"/>
        <w:snapToGrid w:val="0"/>
        <w:spacing w:before="0" w:line="360" w:lineRule="auto"/>
        <w:outlineLvl w:val="1"/>
        <w:rPr>
          <w:rFonts w:hint="eastAsia" w:ascii="宋体" w:hAnsi="宋体" w:eastAsia="宋体" w:cs="宋体"/>
          <w:b/>
          <w:bCs w:val="0"/>
          <w:szCs w:val="24"/>
        </w:rPr>
      </w:pPr>
      <w:bookmarkStart w:id="45" w:name="_Toc4710"/>
      <w:bookmarkStart w:id="46" w:name="_Toc525723056"/>
      <w:r>
        <w:rPr>
          <w:rFonts w:hint="eastAsia" w:ascii="宋体" w:hAnsi="宋体" w:eastAsia="宋体" w:cs="宋体"/>
          <w:b/>
          <w:bCs w:val="0"/>
          <w:szCs w:val="24"/>
        </w:rPr>
        <w:t>四、评标委员会进行询标及投标人对投标文件的澄清</w:t>
      </w:r>
      <w:bookmarkEnd w:id="45"/>
      <w:bookmarkEnd w:id="4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1、开标后，评标委员会将对投标文件进行审查、质疑、评估和比较，并对投标文件中存在的问题向投标人进行询问。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2、询标是评标中的重要环节，投标人的法定代表人或其授权人在评标委员会认为需要的时候必须接受评标委员会的询标。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5、澄清的内容将构成投标文件的组成部分。</w:t>
      </w:r>
    </w:p>
    <w:p>
      <w:pPr>
        <w:pStyle w:val="2"/>
        <w:tabs>
          <w:tab w:val="left" w:pos="735"/>
        </w:tabs>
        <w:adjustRightInd w:val="0"/>
        <w:snapToGrid w:val="0"/>
        <w:spacing w:before="0" w:line="360" w:lineRule="auto"/>
        <w:outlineLvl w:val="1"/>
        <w:rPr>
          <w:rFonts w:hint="eastAsia" w:ascii="宋体" w:hAnsi="宋体" w:eastAsia="宋体" w:cs="宋体"/>
          <w:b/>
          <w:bCs w:val="0"/>
          <w:szCs w:val="24"/>
        </w:rPr>
      </w:pPr>
      <w:bookmarkStart w:id="47" w:name="_Toc4988"/>
      <w:bookmarkStart w:id="48" w:name="_Toc525723057"/>
      <w:r>
        <w:rPr>
          <w:rFonts w:hint="eastAsia" w:ascii="宋体" w:hAnsi="宋体" w:eastAsia="宋体" w:cs="宋体"/>
          <w:b/>
          <w:bCs w:val="0"/>
          <w:szCs w:val="24"/>
        </w:rPr>
        <w:t>五、评标原则</w:t>
      </w:r>
      <w:bookmarkEnd w:id="47"/>
      <w:bookmarkEnd w:id="4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“公平、公正、科学、择优、效益”为本次评标的基本原则，评标委员会将按照这一原则的要求，公正、平等地对待各投标人。同时，在评标时恪守以下原则：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1、客观性原则：评标委员会将严格按照招标文件的要求，对各投标人的投标文件进行认真评审；评标委员会对投标文件的评审仅依靠投标文件本身，而不依靠投标文件以外的任何因素。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2、统一性原则：评标委员会将按照统一的评标原则和评标方法，用同一标准进行评标。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3、独立性原则：评标工作在评标委员会内部独立进行，不受外界任何因素的干扰和影响。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4、保密性原则：评委及熟知情况的有关工作人员将保守投标人的商业秘密。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5、综合性原则：评标委员会将综合分析、评审投标人的各项指标，而不以单项指标的优劣评定出中标人。</w:t>
      </w:r>
    </w:p>
    <w:p>
      <w:pPr>
        <w:pStyle w:val="2"/>
        <w:tabs>
          <w:tab w:val="left" w:pos="735"/>
        </w:tabs>
        <w:adjustRightInd w:val="0"/>
        <w:snapToGrid w:val="0"/>
        <w:spacing w:before="0" w:line="360" w:lineRule="auto"/>
        <w:outlineLvl w:val="1"/>
        <w:rPr>
          <w:rFonts w:hint="eastAsia" w:ascii="宋体" w:hAnsi="宋体" w:eastAsia="宋体" w:cs="宋体"/>
          <w:b/>
          <w:bCs w:val="0"/>
          <w:szCs w:val="24"/>
        </w:rPr>
      </w:pPr>
      <w:bookmarkStart w:id="49" w:name="_Toc20075"/>
      <w:bookmarkStart w:id="50" w:name="_Toc525723058"/>
      <w:r>
        <w:rPr>
          <w:rFonts w:hint="eastAsia" w:ascii="宋体" w:hAnsi="宋体" w:eastAsia="宋体" w:cs="宋体"/>
          <w:b/>
          <w:bCs w:val="0"/>
          <w:szCs w:val="24"/>
        </w:rPr>
        <w:t>六、评标方法</w:t>
      </w:r>
      <w:bookmarkEnd w:id="49"/>
      <w:bookmarkEnd w:id="50"/>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本项目均采用综合评分法。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评标委员会成员综合评定各投标人提交的投标文件，由评标委员会综合各评委意见，确定入围中标人。</w:t>
      </w:r>
    </w:p>
    <w:p>
      <w:pPr>
        <w:pStyle w:val="16"/>
        <w:tabs>
          <w:tab w:val="right" w:leader="dot" w:pos="8302"/>
        </w:tabs>
        <w:spacing w:line="360" w:lineRule="auto"/>
        <w:rPr>
          <w:rFonts w:hint="eastAsia" w:ascii="宋体" w:hAnsi="宋体" w:eastAsia="宋体" w:cs="宋体"/>
        </w:rPr>
      </w:pPr>
      <w:r>
        <w:rPr>
          <w:rFonts w:hint="eastAsia" w:ascii="宋体" w:hAnsi="宋体" w:eastAsia="宋体" w:cs="宋体"/>
        </w:rPr>
        <w:t>（一）初步评审。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1、评标委员会根据招标文件规定，详细审阅投标文件是否对招标文件提出的所有要求和条件做出实质性响应。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（1）评标委员会组织审查投标文件是否完整；招标文件要求提交的投标保证金是否已提交；投标文件是否已按招标文件的要求签署。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（2）评标委员会将依据投标人提供的资格、资质证明文件，对投标人的财务、技术和服务能力进行审查，确定投标人有无资格或能力履行合同。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（3）评标委员会对投标文件中含义不明确、对同类问题表述不一致或有明显文字和计算错误的内容，要求投标人以书面形式予以澄清、说明或纠正，但不得超出投标文件的范围或改变投标文件的实质性内容。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投标文件的明显文字和计算错误按以下原则进行修正：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①投标文件中的大写金额和小写金额不一致的，以大写金额为准。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②单价乘数量不等于总价的，以单价为准修正总价，但单价小数点有明显错误的除外。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③文字表述的数据与数字表述的有差别的，以文字为准修正数字。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2、评标委员会根据详细审阅结果，逐项列出投标文件的全部投标偏差。投标偏差分为重大偏差和细微偏差。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重大偏差包括以下内容：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（1）未按招标文件要求提交投标保证金；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（2）投标人提供的投标文件不完整；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（3）投标文件未按招标文件要求签署；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（4）投标文件载明的服务时间不能被招标人接受；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（5）投标文件附有招标人不能接受的条件；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（6）投标文件不能响应招标文件的商务或技术要求；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（7）不符合招标文件中规定的其他实质性要求。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投标文件有上述情况之一的，将做无效投标或废标处理。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细微偏差是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（二）综合评审，确定入围中标人。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评标委员会成员对各包通过初步评审的投标人的投标文件进行综合评价并量化打分，依据投标人得分高低确定中标人。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一投标人的最终得分为所有评委评分的算术平均值。当综合评议得分相同时，以技术部分得分高低确定排名先后，如仍相同，以评标委员会经过讨论按照少数服从多数的原则确定排名先后。按入围投标人数量要求排名靠前的确定为入围中标人。</w:t>
      </w:r>
    </w:p>
    <w:p>
      <w:pPr>
        <w:pStyle w:val="17"/>
        <w:adjustRightInd w:val="0"/>
        <w:snapToGrid w:val="0"/>
        <w:spacing w:line="360" w:lineRule="auto"/>
        <w:ind w:firstLine="460"/>
        <w:rPr>
          <w:rFonts w:hint="eastAsia" w:ascii="宋体" w:hAnsi="宋体" w:eastAsia="宋体" w:cs="宋体"/>
          <w:kern w:val="0"/>
          <w:szCs w:val="24"/>
        </w:rPr>
      </w:pPr>
      <w:r>
        <w:rPr>
          <w:rFonts w:hint="eastAsia" w:ascii="宋体" w:hAnsi="宋体" w:eastAsia="宋体" w:cs="宋体"/>
          <w:kern w:val="0"/>
          <w:szCs w:val="24"/>
        </w:rPr>
        <w:t>如出现投标人达不到法定要求数量、均未对招标文件做出实质性响应、全部落标、串通投标以及投标人互相诋毁，导致评标委员会无法评标或投标人报价均超出项目预算时，评标委员会有权停止招标，否决所有投标，招标人有权改用其他招标人式进行采购。</w:t>
      </w:r>
    </w:p>
    <w:p>
      <w:pPr>
        <w:pStyle w:val="2"/>
        <w:tabs>
          <w:tab w:val="left" w:pos="735"/>
        </w:tabs>
        <w:adjustRightInd w:val="0"/>
        <w:snapToGrid w:val="0"/>
        <w:spacing w:before="0" w:line="360" w:lineRule="auto"/>
        <w:outlineLvl w:val="1"/>
        <w:rPr>
          <w:rFonts w:hint="eastAsia" w:ascii="宋体" w:hAnsi="宋体" w:eastAsia="宋体" w:cs="宋体"/>
          <w:b/>
          <w:bCs w:val="0"/>
          <w:szCs w:val="24"/>
        </w:rPr>
      </w:pPr>
      <w:bookmarkStart w:id="51" w:name="_Toc9660"/>
      <w:bookmarkStart w:id="52" w:name="_Toc525723059"/>
      <w:r>
        <w:rPr>
          <w:rFonts w:hint="eastAsia" w:ascii="宋体" w:hAnsi="宋体" w:eastAsia="宋体" w:cs="宋体"/>
          <w:b/>
          <w:bCs w:val="0"/>
          <w:szCs w:val="24"/>
        </w:rPr>
        <w:t>七、评标纪律</w:t>
      </w:r>
      <w:bookmarkEnd w:id="51"/>
      <w:bookmarkEnd w:id="52"/>
    </w:p>
    <w:p>
      <w:pPr>
        <w:adjustRightInd w:val="0"/>
        <w:snapToGrid w:val="0"/>
        <w:spacing w:line="360" w:lineRule="auto"/>
        <w:ind w:firstLine="460"/>
        <w:rPr>
          <w:rFonts w:hint="eastAsia" w:ascii="宋体" w:hAnsi="宋体" w:eastAsia="宋体" w:cs="宋体"/>
          <w:b/>
          <w:sz w:val="24"/>
          <w:szCs w:val="24"/>
        </w:rPr>
      </w:pPr>
      <w:r>
        <w:rPr>
          <w:rFonts w:hint="eastAsia" w:ascii="宋体" w:hAnsi="宋体" w:eastAsia="宋体" w:cs="宋体"/>
          <w:sz w:val="24"/>
          <w:szCs w:val="24"/>
        </w:rPr>
        <w:t>1、评标是招标工作的重要环节，评标工作在评标委员会内部独立进行。评标委员会将按照评标原则的要求，公正、平等地对待所有投标人。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2、所有评标人员应忠于职守、廉洁自律、秉公办事、不徇私情。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3、评标人员不得接受或参加投标人或与投标有关的单位、组织或个人的有碍公务的宴请、娱乐等，不得以任何形式弄虚作假。</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4、评标期间，评标人员不得随意出入评标地点、与外界通讯、会客等。</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5、在投标文件的审查、澄清、评价和比较以及授予合同的过程中，投标人对招标人、采购代理机构及评标委员会其他成员施加影响的任何行为，都将导致被取消投标资格。</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6、为保证定标的公正性，在评标过程中，评委不得与任何投标人或与招标结果有利害关系的人员进行私下接触。在评标工作结束后，凡与评标情况有接触的任何人，不得将评标情况扩散出评标委员会以外。</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7、评标结束后，各评标人员应将全部资料整理上交采购代理机构，严禁将评标过程中的任何资料带出评标现场向投标人或其他单位提供。</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8、招标人与采购代理机构应对评标委员会成员名单、项目资金预算、已购买招标文件的潜在投标人名单、评标过程予以保密。</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9、评标委员会对各投标人的商业秘密予以保密。</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10、评标委员会成员应当客观、公正地履行职责，遵守职业道德，对所提出的评审意见承担个人责任。</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11、整个评标过程中，投标人企图影响招标结果的任何活动，可能导致投标失败。如有违法行为，将依法追究其法律责任。</w:t>
      </w:r>
    </w:p>
    <w:p>
      <w:pPr>
        <w:pStyle w:val="4"/>
        <w:numPr>
          <w:ilvl w:val="0"/>
          <w:numId w:val="0"/>
        </w:numPr>
        <w:spacing w:before="0" w:after="0" w:line="360" w:lineRule="auto"/>
        <w:rPr>
          <w:rFonts w:hint="eastAsia" w:ascii="宋体" w:hAnsi="宋体" w:eastAsia="宋体" w:cs="宋体"/>
          <w:sz w:val="24"/>
          <w:szCs w:val="24"/>
        </w:rPr>
      </w:pPr>
      <w:bookmarkStart w:id="53" w:name="_Toc32608"/>
      <w:bookmarkStart w:id="54" w:name="_Toc525723060"/>
      <w:r>
        <w:rPr>
          <w:rFonts w:hint="eastAsia" w:ascii="宋体" w:hAnsi="宋体" w:eastAsia="宋体" w:cs="宋体"/>
          <w:sz w:val="24"/>
          <w:szCs w:val="24"/>
        </w:rPr>
        <w:t>八、中标通知书</w:t>
      </w:r>
      <w:bookmarkEnd w:id="53"/>
      <w:bookmarkEnd w:id="54"/>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在投标有效期内，招标人将依据评标委员会确定的中标结果向中标人签发《中标通知书》。</w:t>
      </w:r>
    </w:p>
    <w:p>
      <w:pPr>
        <w:pStyle w:val="4"/>
        <w:numPr>
          <w:ilvl w:val="0"/>
          <w:numId w:val="0"/>
        </w:numPr>
        <w:spacing w:before="0" w:after="0" w:line="360" w:lineRule="auto"/>
        <w:rPr>
          <w:rFonts w:hint="eastAsia" w:ascii="宋体" w:hAnsi="宋体" w:eastAsia="宋体" w:cs="宋体"/>
          <w:kern w:val="2"/>
          <w:sz w:val="24"/>
          <w:szCs w:val="24"/>
        </w:rPr>
      </w:pPr>
      <w:bookmarkStart w:id="55" w:name="_Toc11228"/>
      <w:bookmarkStart w:id="56" w:name="_Toc525723061"/>
      <w:r>
        <w:rPr>
          <w:rFonts w:hint="eastAsia" w:ascii="宋体" w:hAnsi="宋体" w:eastAsia="宋体" w:cs="宋体"/>
          <w:kern w:val="2"/>
          <w:sz w:val="24"/>
          <w:szCs w:val="24"/>
        </w:rPr>
        <w:t>九、评标过程保密</w:t>
      </w:r>
      <w:bookmarkEnd w:id="55"/>
      <w:bookmarkEnd w:id="56"/>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开标之后，直到签订合同止，凡是属于审查、澄清、评价和比较的有关资料等，均不向投标人或者其他与评标无关的人员透露。</w:t>
      </w:r>
    </w:p>
    <w:p>
      <w:pPr>
        <w:pStyle w:val="4"/>
        <w:numPr>
          <w:ilvl w:val="0"/>
          <w:numId w:val="0"/>
        </w:numPr>
        <w:spacing w:before="0" w:after="0" w:line="360" w:lineRule="auto"/>
        <w:rPr>
          <w:rFonts w:hint="eastAsia" w:ascii="宋体" w:hAnsi="宋体" w:eastAsia="宋体" w:cs="宋体"/>
          <w:kern w:val="2"/>
          <w:sz w:val="24"/>
          <w:szCs w:val="24"/>
        </w:rPr>
      </w:pPr>
      <w:bookmarkStart w:id="57" w:name="_Toc12706"/>
      <w:bookmarkStart w:id="58" w:name="_Toc525723062"/>
      <w:r>
        <w:rPr>
          <w:rFonts w:hint="eastAsia" w:ascii="宋体" w:hAnsi="宋体" w:eastAsia="宋体" w:cs="宋体"/>
          <w:kern w:val="2"/>
          <w:sz w:val="24"/>
          <w:szCs w:val="24"/>
        </w:rPr>
        <w:t>十、投标人瑕疵滞后的处理</w:t>
      </w:r>
      <w:bookmarkEnd w:id="57"/>
      <w:bookmarkEnd w:id="58"/>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1、 无论基于何种原因，各项本应作拒绝处理的情形即便未被及时发现而使该投标人进入初审、综合评标或其它后续程序，包括已经签订合同的情形，一旦在任何时间被发现存在上述情形，则代理招标人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2、 若已经超过质疑期限而没有被发现且已经签订了相关的合同，之后才发现存在上述情形，经评标委员会/代理招标人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代理招标人有权要求该存在瑕疵的投标人提供特别担保金用以承担可能产生的赔偿责任，若其拒绝提供该等担保或所实际提供的担保金额不足要求金额，评标委员会/代理招标人有权并且应当决定取消投标人的此前评议结果或采取类似效果的措施。</w:t>
      </w:r>
    </w:p>
    <w:p>
      <w:pPr>
        <w:pStyle w:val="4"/>
        <w:numPr>
          <w:ilvl w:val="0"/>
          <w:numId w:val="0"/>
        </w:numPr>
        <w:spacing w:before="0" w:after="0" w:line="360" w:lineRule="auto"/>
        <w:rPr>
          <w:rFonts w:hint="eastAsia" w:ascii="宋体" w:hAnsi="宋体" w:eastAsia="宋体" w:cs="宋体"/>
          <w:kern w:val="2"/>
          <w:sz w:val="24"/>
          <w:szCs w:val="24"/>
        </w:rPr>
      </w:pPr>
      <w:bookmarkStart w:id="59" w:name="_Toc6225"/>
      <w:bookmarkStart w:id="60" w:name="_Toc525723063"/>
      <w:r>
        <w:rPr>
          <w:rFonts w:hint="eastAsia" w:ascii="宋体" w:hAnsi="宋体" w:eastAsia="宋体" w:cs="宋体"/>
          <w:kern w:val="2"/>
          <w:sz w:val="24"/>
          <w:szCs w:val="24"/>
        </w:rPr>
        <w:t>十一、废标</w:t>
      </w:r>
      <w:bookmarkEnd w:id="59"/>
      <w:bookmarkEnd w:id="60"/>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根据政府采购法律法规的有关规定，出现下列情形之一的，评标委员会将否决所有投标人的投标。</w:t>
      </w:r>
    </w:p>
    <w:p>
      <w:pPr>
        <w:adjustRightInd w:val="0"/>
        <w:snapToGrid w:val="0"/>
        <w:spacing w:line="360" w:lineRule="auto"/>
        <w:ind w:firstLine="460"/>
        <w:rPr>
          <w:rFonts w:hint="eastAsia" w:ascii="宋体" w:hAnsi="宋体" w:eastAsia="宋体" w:cs="宋体"/>
          <w:sz w:val="24"/>
          <w:szCs w:val="24"/>
        </w:rPr>
      </w:pPr>
      <w:r>
        <w:rPr>
          <w:rFonts w:hint="eastAsia" w:ascii="宋体" w:hAnsi="宋体" w:eastAsia="宋体" w:cs="宋体"/>
          <w:sz w:val="24"/>
          <w:szCs w:val="24"/>
        </w:rPr>
        <w:t xml:space="preserve">1)符合专业条件的投标人或者对招标文件作实质响应的投标人不足三家的； </w:t>
      </w:r>
    </w:p>
    <w:p>
      <w:pPr>
        <w:adjustRightInd w:val="0"/>
        <w:snapToGrid w:val="0"/>
        <w:spacing w:line="360" w:lineRule="auto"/>
        <w:ind w:left="460" w:leftChars="23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r>
        <w:rPr>
          <w:rFonts w:hint="eastAsia" w:ascii="宋体" w:hAnsi="宋体" w:eastAsia="宋体" w:cs="宋体"/>
          <w:sz w:val="24"/>
          <w:szCs w:val="24"/>
        </w:rPr>
        <w:br w:type="textWrapping"/>
      </w:r>
      <w:r>
        <w:rPr>
          <w:rFonts w:hint="eastAsia" w:ascii="宋体" w:hAnsi="宋体" w:eastAsia="宋体" w:cs="宋体"/>
          <w:sz w:val="24"/>
          <w:szCs w:val="24"/>
        </w:rPr>
        <w:t>3)因重大变故，采购任务取消的；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4)采购人、评标小组一致认为本项目明显不具备竞争性，由采购人或评标小组根据情况，有权作出废标决定。</w:t>
      </w:r>
    </w:p>
    <w:p>
      <w:pPr>
        <w:pStyle w:val="3"/>
        <w:spacing w:line="360" w:lineRule="auto"/>
        <w:jc w:val="center"/>
        <w:rPr>
          <w:rFonts w:ascii="宋体" w:hAnsi="宋体"/>
          <w:bCs/>
          <w:sz w:val="36"/>
          <w:szCs w:val="36"/>
        </w:rPr>
      </w:pPr>
      <w:bookmarkStart w:id="61" w:name="_Toc28468"/>
      <w:r>
        <w:rPr>
          <w:rFonts w:hint="eastAsia" w:ascii="宋体" w:hAnsi="宋体"/>
          <w:bCs/>
          <w:sz w:val="36"/>
          <w:szCs w:val="36"/>
        </w:rPr>
        <w:t>第五部分 授予合同</w:t>
      </w:r>
      <w:bookmarkEnd w:id="37"/>
      <w:bookmarkEnd w:id="61"/>
    </w:p>
    <w:p>
      <w:pPr>
        <w:pStyle w:val="4"/>
        <w:numPr>
          <w:ilvl w:val="0"/>
          <w:numId w:val="0"/>
        </w:numPr>
        <w:spacing w:line="360" w:lineRule="auto"/>
        <w:rPr>
          <w:rFonts w:hint="eastAsia" w:ascii="宋体" w:hAnsi="宋体" w:eastAsia="宋体" w:cs="宋体"/>
          <w:bCs/>
          <w:sz w:val="24"/>
          <w:szCs w:val="24"/>
        </w:rPr>
      </w:pPr>
      <w:bookmarkStart w:id="62" w:name="_Toc12523"/>
      <w:bookmarkStart w:id="63" w:name="_Toc525723065"/>
      <w:r>
        <w:rPr>
          <w:rFonts w:hint="eastAsia" w:ascii="宋体" w:hAnsi="宋体" w:eastAsia="宋体" w:cs="宋体"/>
          <w:bCs/>
          <w:sz w:val="24"/>
          <w:szCs w:val="24"/>
        </w:rPr>
        <w:t>一、签订合同</w:t>
      </w:r>
      <w:bookmarkEnd w:id="62"/>
      <w:bookmarkEnd w:id="63"/>
      <w:r>
        <w:rPr>
          <w:rFonts w:hint="eastAsia" w:ascii="宋体" w:hAnsi="宋体" w:eastAsia="宋体" w:cs="宋体"/>
          <w:bCs/>
          <w:sz w:val="24"/>
          <w:szCs w:val="24"/>
        </w:rPr>
        <w:t xml:space="preserve"> </w:t>
      </w:r>
    </w:p>
    <w:p>
      <w:pPr>
        <w:tabs>
          <w:tab w:val="left" w:pos="900"/>
        </w:tabs>
        <w:adjustRightInd w:val="0"/>
        <w:snapToGrid w:val="0"/>
        <w:spacing w:before="100" w:beforeAutospacing="1" w:after="100" w:afterAutospacing="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中标通知书发出之日起三十日内，由招标人和中标人签订合同。合同签订的内容不能超出招标文件和投标文件的实质性内容。</w:t>
      </w:r>
    </w:p>
    <w:p>
      <w:pPr>
        <w:pStyle w:val="4"/>
        <w:numPr>
          <w:ilvl w:val="0"/>
          <w:numId w:val="0"/>
        </w:numPr>
        <w:spacing w:line="360" w:lineRule="auto"/>
        <w:rPr>
          <w:rFonts w:hint="eastAsia" w:ascii="宋体" w:hAnsi="宋体" w:eastAsia="宋体" w:cs="宋体"/>
          <w:bCs/>
          <w:sz w:val="24"/>
          <w:szCs w:val="24"/>
        </w:rPr>
      </w:pPr>
      <w:bookmarkStart w:id="64" w:name="_Toc525723066"/>
      <w:bookmarkStart w:id="65" w:name="_Toc8982"/>
      <w:r>
        <w:rPr>
          <w:rFonts w:hint="eastAsia" w:ascii="宋体" w:hAnsi="宋体" w:eastAsia="宋体" w:cs="宋体"/>
          <w:bCs/>
          <w:sz w:val="24"/>
          <w:szCs w:val="24"/>
        </w:rPr>
        <w:t>二、合同格式</w:t>
      </w:r>
      <w:bookmarkEnd w:id="64"/>
      <w:bookmarkEnd w:id="65"/>
    </w:p>
    <w:p>
      <w:pPr>
        <w:pStyle w:val="9"/>
        <w:tabs>
          <w:tab w:val="left" w:pos="1260"/>
          <w:tab w:val="left" w:pos="6400"/>
        </w:tabs>
        <w:adjustRightInd w:val="0"/>
        <w:snapToGrid w:val="0"/>
        <w:spacing w:before="100" w:beforeAutospacing="1" w:after="100" w:afterAutospacing="1" w:line="360" w:lineRule="auto"/>
        <w:ind w:left="0" w:firstLine="0"/>
        <w:jc w:val="center"/>
        <w:rPr>
          <w:rFonts w:hAnsi="宋体"/>
          <w:b/>
          <w:sz w:val="24"/>
        </w:rPr>
      </w:pPr>
    </w:p>
    <w:p>
      <w:pPr>
        <w:pStyle w:val="9"/>
        <w:tabs>
          <w:tab w:val="left" w:pos="1260"/>
          <w:tab w:val="left" w:pos="6400"/>
        </w:tabs>
        <w:adjustRightInd w:val="0"/>
        <w:snapToGrid w:val="0"/>
        <w:spacing w:before="100" w:beforeAutospacing="1" w:after="100" w:afterAutospacing="1"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pStyle w:val="9"/>
        <w:tabs>
          <w:tab w:val="left" w:pos="1260"/>
          <w:tab w:val="left" w:pos="6400"/>
        </w:tabs>
        <w:snapToGrid w:val="0"/>
        <w:spacing w:line="360" w:lineRule="auto"/>
        <w:ind w:left="0" w:firstLine="0"/>
        <w:jc w:val="center"/>
        <w:rPr>
          <w:rFonts w:ascii="Times New Roman" w:hAnsi="宋体"/>
          <w:b/>
          <w:sz w:val="24"/>
        </w:rPr>
      </w:pPr>
    </w:p>
    <w:p>
      <w:pPr>
        <w:snapToGrid w:val="0"/>
        <w:spacing w:line="360" w:lineRule="auto"/>
        <w:jc w:val="both"/>
        <w:rPr>
          <w:rFonts w:hint="eastAsia" w:ascii="宋体" w:hAnsi="宋体"/>
          <w:bCs/>
          <w:sz w:val="56"/>
          <w:szCs w:val="56"/>
        </w:rPr>
      </w:pPr>
      <w:bookmarkStart w:id="66" w:name="_Toc15752_WPSOffice_Level2"/>
    </w:p>
    <w:p>
      <w:pPr>
        <w:snapToGrid w:val="0"/>
        <w:spacing w:line="360" w:lineRule="auto"/>
        <w:jc w:val="center"/>
        <w:rPr>
          <w:rFonts w:ascii="宋体" w:hAnsi="宋体"/>
          <w:bCs/>
          <w:sz w:val="52"/>
          <w:szCs w:val="52"/>
        </w:rPr>
      </w:pPr>
      <w:r>
        <w:rPr>
          <w:rFonts w:hint="eastAsia" w:ascii="宋体" w:hAnsi="宋体"/>
          <w:bCs/>
          <w:sz w:val="52"/>
          <w:szCs w:val="52"/>
        </w:rPr>
        <w:t>政府采购入围合同</w:t>
      </w:r>
      <w:bookmarkEnd w:id="66"/>
    </w:p>
    <w:p>
      <w:pPr>
        <w:snapToGrid w:val="0"/>
        <w:spacing w:line="360" w:lineRule="auto"/>
        <w:jc w:val="center"/>
        <w:rPr>
          <w:rFonts w:ascii="宋体" w:hAnsi="宋体"/>
          <w:bCs/>
          <w:sz w:val="48"/>
          <w:szCs w:val="48"/>
        </w:rPr>
      </w:pPr>
      <w:bookmarkStart w:id="67" w:name="_Toc5542_WPSOffice_Level2"/>
      <w:r>
        <w:rPr>
          <w:rFonts w:hint="eastAsia" w:ascii="宋体" w:hAnsi="宋体"/>
          <w:bCs/>
          <w:sz w:val="52"/>
          <w:szCs w:val="52"/>
        </w:rPr>
        <w:t>（参考格式）</w:t>
      </w:r>
      <w:bookmarkEnd w:id="67"/>
    </w:p>
    <w:p>
      <w:pPr>
        <w:tabs>
          <w:tab w:val="left" w:pos="7360"/>
        </w:tabs>
        <w:snapToGrid w:val="0"/>
        <w:spacing w:line="360" w:lineRule="auto"/>
        <w:jc w:val="center"/>
        <w:rPr>
          <w:rFonts w:ascii="宋体" w:hAnsi="宋体"/>
          <w:b/>
          <w:sz w:val="48"/>
          <w:szCs w:val="48"/>
        </w:rPr>
      </w:pPr>
    </w:p>
    <w:p>
      <w:pPr>
        <w:snapToGrid w:val="0"/>
        <w:spacing w:line="360" w:lineRule="auto"/>
        <w:jc w:val="center"/>
        <w:rPr>
          <w:rFonts w:ascii="宋体" w:hAnsi="宋体"/>
          <w:b/>
          <w:sz w:val="72"/>
          <w:szCs w:val="72"/>
        </w:rPr>
      </w:pPr>
    </w:p>
    <w:p>
      <w:pPr>
        <w:snapToGrid w:val="0"/>
        <w:spacing w:line="360" w:lineRule="auto"/>
        <w:ind w:left="3150" w:leftChars="775" w:hanging="1600" w:hangingChars="500"/>
        <w:rPr>
          <w:rFonts w:ascii="宋体" w:hAnsi="宋体"/>
          <w:bCs/>
          <w:sz w:val="32"/>
          <w:szCs w:val="32"/>
        </w:rPr>
      </w:pPr>
      <w:bookmarkStart w:id="68" w:name="_Toc1991_WPSOffice_Level2"/>
      <w:r>
        <w:rPr>
          <w:rFonts w:hint="eastAsia" w:ascii="宋体" w:hAnsi="宋体"/>
          <w:bCs/>
          <w:sz w:val="32"/>
          <w:szCs w:val="32"/>
        </w:rPr>
        <w:t>项目名称：</w:t>
      </w:r>
      <w:bookmarkEnd w:id="68"/>
      <w:r>
        <w:rPr>
          <w:rFonts w:hint="eastAsia" w:ascii="宋体" w:hAnsi="宋体"/>
          <w:bCs/>
          <w:sz w:val="32"/>
          <w:szCs w:val="32"/>
          <w:u w:val="single"/>
        </w:rPr>
        <w:t xml:space="preserve">                </w:t>
      </w:r>
    </w:p>
    <w:p>
      <w:pPr>
        <w:snapToGrid w:val="0"/>
        <w:spacing w:beforeLines="100" w:line="360" w:lineRule="auto"/>
        <w:ind w:firstLine="1590" w:firstLineChars="497"/>
        <w:rPr>
          <w:rFonts w:ascii="宋体" w:hAnsi="宋体"/>
          <w:bCs/>
          <w:sz w:val="32"/>
          <w:szCs w:val="32"/>
          <w:u w:val="single"/>
        </w:rPr>
      </w:pPr>
      <w:bookmarkStart w:id="69" w:name="_Toc6756_WPSOffice_Level2"/>
      <w:r>
        <w:rPr>
          <w:rFonts w:hint="eastAsia" w:ascii="宋体" w:hAnsi="宋体"/>
          <w:bCs/>
          <w:sz w:val="32"/>
          <w:szCs w:val="32"/>
        </w:rPr>
        <w:t>合同编号：</w:t>
      </w:r>
      <w:bookmarkEnd w:id="69"/>
      <w:r>
        <w:rPr>
          <w:rFonts w:hint="eastAsia" w:ascii="宋体" w:hAnsi="宋体"/>
          <w:bCs/>
          <w:sz w:val="32"/>
          <w:szCs w:val="32"/>
          <w:u w:val="single"/>
        </w:rPr>
        <w:t xml:space="preserve">                </w:t>
      </w:r>
    </w:p>
    <w:p>
      <w:pPr>
        <w:snapToGrid w:val="0"/>
        <w:spacing w:line="360" w:lineRule="auto"/>
        <w:rPr>
          <w:rFonts w:ascii="宋体" w:hAnsi="宋体"/>
          <w:bCs/>
          <w:sz w:val="32"/>
          <w:szCs w:val="32"/>
        </w:rPr>
      </w:pPr>
    </w:p>
    <w:p>
      <w:pPr>
        <w:snapToGrid w:val="0"/>
        <w:spacing w:line="360" w:lineRule="auto"/>
        <w:rPr>
          <w:rFonts w:ascii="宋体" w:hAnsi="宋体"/>
          <w:bCs/>
          <w:sz w:val="32"/>
          <w:szCs w:val="32"/>
        </w:rPr>
      </w:pPr>
    </w:p>
    <w:p>
      <w:pPr>
        <w:snapToGrid w:val="0"/>
        <w:spacing w:line="360" w:lineRule="auto"/>
        <w:rPr>
          <w:rFonts w:ascii="宋体" w:hAnsi="宋体"/>
          <w:bCs/>
          <w:sz w:val="32"/>
          <w:szCs w:val="32"/>
        </w:rPr>
      </w:pPr>
    </w:p>
    <w:p>
      <w:pPr>
        <w:snapToGrid w:val="0"/>
        <w:spacing w:line="360" w:lineRule="auto"/>
        <w:rPr>
          <w:rFonts w:ascii="宋体" w:hAnsi="宋体"/>
          <w:bCs/>
          <w:sz w:val="32"/>
          <w:szCs w:val="32"/>
        </w:rPr>
      </w:pPr>
    </w:p>
    <w:p>
      <w:pPr>
        <w:snapToGrid w:val="0"/>
        <w:spacing w:line="360" w:lineRule="auto"/>
        <w:ind w:left="3150" w:leftChars="775" w:hanging="1600" w:hangingChars="500"/>
        <w:rPr>
          <w:rFonts w:hint="eastAsia" w:ascii="宋体" w:hAnsi="宋体" w:cs="宋体"/>
          <w:kern w:val="0"/>
          <w:sz w:val="24"/>
          <w:szCs w:val="24"/>
          <w:u w:val="single"/>
          <w:lang w:val="en-US" w:eastAsia="zh-CN"/>
        </w:rPr>
      </w:pPr>
      <w:bookmarkStart w:id="70" w:name="_Toc24132_WPSOffice_Level2"/>
      <w:r>
        <w:rPr>
          <w:rFonts w:hint="eastAsia" w:ascii="宋体" w:hAnsi="宋体"/>
          <w:bCs/>
          <w:sz w:val="32"/>
          <w:szCs w:val="32"/>
        </w:rPr>
        <w:t>甲方：</w:t>
      </w:r>
      <w:bookmarkEnd w:id="70"/>
      <w:r>
        <w:rPr>
          <w:rFonts w:hint="eastAsia" w:ascii="宋体" w:hAnsi="宋体" w:cs="宋体"/>
          <w:kern w:val="0"/>
          <w:sz w:val="24"/>
          <w:szCs w:val="24"/>
          <w:u w:val="single"/>
          <w:lang w:val="en-US" w:eastAsia="zh-CN"/>
        </w:rPr>
        <w:t xml:space="preserve">                         </w:t>
      </w:r>
    </w:p>
    <w:p>
      <w:pPr>
        <w:snapToGrid w:val="0"/>
        <w:spacing w:line="360" w:lineRule="auto"/>
        <w:ind w:left="3150" w:leftChars="775" w:hanging="1600" w:hangingChars="500"/>
        <w:rPr>
          <w:rFonts w:ascii="宋体" w:hAnsi="宋体"/>
          <w:bCs/>
          <w:sz w:val="32"/>
          <w:szCs w:val="32"/>
          <w:u w:val="single"/>
        </w:rPr>
      </w:pPr>
      <w:bookmarkStart w:id="71" w:name="_Toc15216_WPSOffice_Level2"/>
      <w:r>
        <w:rPr>
          <w:rFonts w:hint="eastAsia" w:ascii="宋体" w:hAnsi="宋体"/>
          <w:bCs/>
          <w:sz w:val="32"/>
          <w:szCs w:val="32"/>
        </w:rPr>
        <w:t>乙方：</w:t>
      </w:r>
      <w:bookmarkEnd w:id="71"/>
      <w:r>
        <w:rPr>
          <w:rFonts w:hint="eastAsia" w:ascii="宋体" w:hAnsi="宋体"/>
          <w:bCs/>
          <w:sz w:val="32"/>
          <w:szCs w:val="32"/>
          <w:u w:val="single"/>
        </w:rPr>
        <w:t xml:space="preserve">                    </w:t>
      </w:r>
    </w:p>
    <w:p>
      <w:pPr>
        <w:snapToGrid w:val="0"/>
        <w:spacing w:beforeLines="100" w:line="360" w:lineRule="auto"/>
        <w:ind w:firstLine="1120" w:firstLineChars="350"/>
        <w:rPr>
          <w:rFonts w:ascii="宋体" w:hAnsi="宋体"/>
          <w:bCs/>
          <w:sz w:val="32"/>
          <w:szCs w:val="32"/>
          <w:u w:val="single"/>
        </w:rPr>
      </w:pPr>
    </w:p>
    <w:p>
      <w:pPr>
        <w:adjustRightInd w:val="0"/>
        <w:snapToGrid w:val="0"/>
        <w:spacing w:line="360" w:lineRule="auto"/>
        <w:ind w:firstLine="480" w:firstLineChars="200"/>
        <w:rPr>
          <w:rFonts w:ascii="黑体" w:hAnsi="黑体" w:eastAsia="黑体"/>
          <w:snapToGrid w:val="0"/>
          <w:kern w:val="0"/>
          <w:sz w:val="24"/>
          <w:szCs w:val="24"/>
        </w:rPr>
      </w:pPr>
    </w:p>
    <w:p>
      <w:pPr>
        <w:adjustRightInd w:val="0"/>
        <w:snapToGrid w:val="0"/>
        <w:spacing w:line="360" w:lineRule="auto"/>
        <w:ind w:firstLine="480" w:firstLineChars="200"/>
        <w:rPr>
          <w:rFonts w:ascii="黑体" w:hAnsi="黑体" w:eastAsia="黑体"/>
          <w:snapToGrid w:val="0"/>
          <w:kern w:val="0"/>
          <w:sz w:val="24"/>
          <w:szCs w:val="24"/>
        </w:rPr>
      </w:pPr>
    </w:p>
    <w:p>
      <w:pPr>
        <w:pStyle w:val="30"/>
      </w:pPr>
    </w:p>
    <w:p>
      <w:pPr>
        <w:adjustRightInd w:val="0"/>
        <w:snapToGrid w:val="0"/>
        <w:spacing w:line="360" w:lineRule="auto"/>
        <w:ind w:firstLine="480" w:firstLineChars="200"/>
        <w:rPr>
          <w:rFonts w:ascii="黑体" w:hAnsi="黑体" w:eastAsia="黑体"/>
          <w:snapToGrid w:val="0"/>
          <w:kern w:val="0"/>
          <w:sz w:val="24"/>
          <w:szCs w:val="24"/>
        </w:rPr>
      </w:pPr>
    </w:p>
    <w:p>
      <w:pPr>
        <w:adjustRightInd w:val="0"/>
        <w:snapToGrid w:val="0"/>
        <w:spacing w:line="360" w:lineRule="auto"/>
        <w:ind w:firstLine="480" w:firstLineChars="200"/>
        <w:rPr>
          <w:rFonts w:hint="eastAsia" w:ascii="黑体" w:hAnsi="黑体" w:eastAsia="黑体"/>
          <w:snapToGrid w:val="0"/>
          <w:kern w:val="0"/>
          <w:sz w:val="24"/>
          <w:szCs w:val="24"/>
        </w:rPr>
      </w:pPr>
    </w:p>
    <w:p>
      <w:pPr>
        <w:pStyle w:val="30"/>
        <w:rPr>
          <w:rFonts w:hint="eastAsia" w:ascii="黑体" w:hAnsi="黑体" w:eastAsia="黑体"/>
          <w:snapToGrid w:val="0"/>
          <w:kern w:val="0"/>
          <w:sz w:val="24"/>
          <w:szCs w:val="24"/>
        </w:rPr>
      </w:pPr>
    </w:p>
    <w:p>
      <w:pPr>
        <w:pStyle w:val="30"/>
        <w:rPr>
          <w:rFonts w:hint="eastAsia" w:ascii="黑体" w:hAnsi="黑体" w:eastAsia="黑体"/>
          <w:snapToGrid w:val="0"/>
          <w:kern w:val="0"/>
          <w:sz w:val="24"/>
          <w:szCs w:val="24"/>
        </w:rPr>
      </w:pP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甲方：</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乙方：                  </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济南市消防支队章丘区大队图文制作定点入围项目</w:t>
      </w:r>
      <w:r>
        <w:rPr>
          <w:rFonts w:hint="eastAsia" w:ascii="宋体" w:hAnsi="宋体" w:eastAsia="宋体" w:cs="宋体"/>
          <w:snapToGrid w:val="0"/>
          <w:kern w:val="0"/>
          <w:sz w:val="24"/>
          <w:szCs w:val="24"/>
        </w:rPr>
        <w:t>(项目编号</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 xml:space="preserve">        )，由济南市消防支队章丘区大队委托</w:t>
      </w:r>
      <w:r>
        <w:rPr>
          <w:rFonts w:hint="eastAsia" w:ascii="宋体" w:hAnsi="宋体" w:eastAsia="宋体" w:cs="宋体"/>
          <w:snapToGrid w:val="0"/>
          <w:kern w:val="0"/>
          <w:sz w:val="24"/>
          <w:szCs w:val="24"/>
          <w:lang w:eastAsia="zh-CN"/>
        </w:rPr>
        <w:t>山东蓝盾招标代理有限公司</w:t>
      </w:r>
      <w:r>
        <w:rPr>
          <w:rFonts w:hint="eastAsia" w:ascii="宋体" w:hAnsi="宋体" w:eastAsia="宋体" w:cs="宋体"/>
          <w:snapToGrid w:val="0"/>
          <w:kern w:val="0"/>
          <w:sz w:val="24"/>
          <w:szCs w:val="24"/>
        </w:rPr>
        <w:t>在国内以公开招标的方式进行采购。经评标委员会确定乙方为入围单位。根据甲方招标文件、乙方的投标文件及其承诺等，双方依据《中华人民共和国合同法》、《中华人民共和国政府采购法》、《中华人民共和国招标投标法》和其他法律、法规的规定，在平等协商的基础上签订本合同。</w:t>
      </w:r>
    </w:p>
    <w:p>
      <w:pPr>
        <w:adjustRightInd w:val="0"/>
        <w:snapToGrid w:val="0"/>
        <w:spacing w:line="360" w:lineRule="auto"/>
        <w:ind w:firstLine="482" w:firstLineChars="2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一、合同文件组成</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1、本合同中所列各项条款</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2、中标通知书</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3、甲方的招标文件及附件</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4、乙方的投标文件及附件、承诺(包括但不限于报价清单、人员配备、服务承诺等)</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二、服务的名称、内容</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1、服务名称：</w:t>
      </w:r>
      <w:r>
        <w:rPr>
          <w:rFonts w:hint="eastAsia" w:ascii="宋体" w:hAnsi="宋体" w:cs="宋体"/>
          <w:snapToGrid w:val="0"/>
          <w:kern w:val="0"/>
          <w:sz w:val="24"/>
          <w:szCs w:val="24"/>
          <w:lang w:eastAsia="zh-CN"/>
        </w:rPr>
        <w:t>济南市消防支队章丘区大队图文制作定点入围项目</w:t>
      </w:r>
      <w:r>
        <w:rPr>
          <w:rFonts w:hint="eastAsia" w:ascii="宋体" w:hAnsi="宋体" w:eastAsia="宋体" w:cs="宋体"/>
          <w:snapToGrid w:val="0"/>
          <w:kern w:val="0"/>
          <w:sz w:val="24"/>
          <w:szCs w:val="24"/>
        </w:rPr>
        <w:t>。</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rPr>
        <w:t xml:space="preserve">2、服务内容: </w:t>
      </w:r>
      <w:r>
        <w:rPr>
          <w:rFonts w:hint="eastAsia" w:ascii="宋体" w:hAnsi="宋体" w:cs="宋体"/>
          <w:snapToGrid w:val="0"/>
          <w:kern w:val="0"/>
          <w:sz w:val="24"/>
          <w:szCs w:val="24"/>
          <w:lang w:eastAsia="zh-CN"/>
        </w:rPr>
        <w:t>济南市消防支</w:t>
      </w:r>
      <w:r>
        <w:rPr>
          <w:rFonts w:hint="eastAsia" w:ascii="宋体" w:hAnsi="宋体" w:cs="宋体"/>
          <w:snapToGrid w:val="0"/>
          <w:kern w:val="0"/>
          <w:sz w:val="24"/>
          <w:szCs w:val="24"/>
          <w:highlight w:val="none"/>
          <w:lang w:eastAsia="zh-CN"/>
        </w:rPr>
        <w:t>队章丘区大队提供</w:t>
      </w:r>
      <w:r>
        <w:rPr>
          <w:rFonts w:hint="eastAsia" w:ascii="宋体" w:hAnsi="宋体" w:eastAsia="宋体" w:cs="宋体"/>
          <w:snapToGrid w:val="0"/>
          <w:kern w:val="0"/>
          <w:sz w:val="24"/>
          <w:szCs w:val="24"/>
          <w:highlight w:val="none"/>
        </w:rPr>
        <w:t>相关消防宣传册及部分办公图文制作</w:t>
      </w:r>
      <w:r>
        <w:rPr>
          <w:rFonts w:hint="eastAsia" w:ascii="宋体" w:hAnsi="宋体" w:cs="宋体"/>
          <w:snapToGrid w:val="0"/>
          <w:kern w:val="0"/>
          <w:sz w:val="24"/>
          <w:szCs w:val="24"/>
          <w:highlight w:val="none"/>
          <w:lang w:eastAsia="zh-CN"/>
        </w:rPr>
        <w:t>的服务。</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三</w:t>
      </w:r>
      <w:r>
        <w:rPr>
          <w:rFonts w:hint="eastAsia" w:ascii="宋体" w:hAnsi="宋体" w:eastAsia="宋体" w:cs="宋体"/>
          <w:snapToGrid w:val="0"/>
          <w:kern w:val="0"/>
          <w:sz w:val="24"/>
          <w:szCs w:val="24"/>
          <w:highlight w:val="none"/>
        </w:rPr>
        <w:t>、付 款</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付款方式</w:t>
      </w:r>
      <w:r>
        <w:rPr>
          <w:rFonts w:hint="eastAsia" w:ascii="宋体" w:hAnsi="宋体" w:cs="宋体"/>
          <w:snapToGrid w:val="0"/>
          <w:kern w:val="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四</w:t>
      </w:r>
      <w:r>
        <w:rPr>
          <w:rFonts w:hint="eastAsia" w:ascii="宋体" w:hAnsi="宋体" w:eastAsia="宋体" w:cs="宋体"/>
          <w:snapToGrid w:val="0"/>
          <w:kern w:val="0"/>
          <w:sz w:val="24"/>
          <w:szCs w:val="24"/>
          <w:highlight w:val="none"/>
        </w:rPr>
        <w:t>、服务期限、地点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1、服务期限：本次招标的入围服务期为一年，自合同签订之日起12个月。服务有效期满，招标人可根据服务情况，决定是否续约。续约的双方应另行签订合同。</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2、服务地点：</w:t>
      </w:r>
      <w:r>
        <w:rPr>
          <w:rFonts w:hint="eastAsia" w:ascii="宋体" w:hAnsi="宋体" w:cs="宋体"/>
          <w:snapToGrid w:val="0"/>
          <w:kern w:val="0"/>
          <w:sz w:val="24"/>
          <w:szCs w:val="24"/>
          <w:highlight w:val="none"/>
          <w:lang w:eastAsia="zh-CN"/>
        </w:rPr>
        <w:t>甲方指定地点。</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五</w:t>
      </w:r>
      <w:r>
        <w:rPr>
          <w:rFonts w:hint="eastAsia" w:ascii="宋体" w:hAnsi="宋体" w:eastAsia="宋体" w:cs="宋体"/>
          <w:snapToGrid w:val="0"/>
          <w:kern w:val="0"/>
          <w:sz w:val="24"/>
          <w:szCs w:val="24"/>
        </w:rPr>
        <w:t>、服务标准和验收</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执行招标文件的相关规定。</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六</w:t>
      </w:r>
      <w:r>
        <w:rPr>
          <w:rFonts w:hint="eastAsia" w:ascii="宋体" w:hAnsi="宋体" w:eastAsia="宋体" w:cs="宋体"/>
          <w:snapToGrid w:val="0"/>
          <w:kern w:val="0"/>
          <w:sz w:val="24"/>
          <w:szCs w:val="24"/>
        </w:rPr>
        <w:t>、入围资格的取消</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执行招标文件的相关规定。</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七</w:t>
      </w:r>
      <w:r>
        <w:rPr>
          <w:rFonts w:hint="eastAsia" w:ascii="宋体" w:hAnsi="宋体" w:eastAsia="宋体" w:cs="宋体"/>
          <w:snapToGrid w:val="0"/>
          <w:kern w:val="0"/>
          <w:sz w:val="24"/>
          <w:szCs w:val="24"/>
        </w:rPr>
        <w:t>、违约责任</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1、甲方无正当理由逾期付款超过   工作日的，应以应付而未付的款项为基数，以人民银行同期贷款利率按日支付违约金。</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2、乙方逾期交付车辆的，甲方有权拒绝支付当季度全部维修款项。同时乙方应当向甲方支付违约金，违约金以本次维修费用的20%计算。</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3、乙方维修不合格的，甲方有权拒收维修车辆并拒绝支付本次维修款，直至乙方无偿继续维修达到甲方要求或符合相关标准为止。因此而造成乙方逾期交付车辆的，双方同意按本条第二项的规定处理。</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八</w:t>
      </w:r>
      <w:r>
        <w:rPr>
          <w:rFonts w:hint="eastAsia" w:ascii="宋体" w:hAnsi="宋体" w:eastAsia="宋体" w:cs="宋体"/>
          <w:snapToGrid w:val="0"/>
          <w:kern w:val="0"/>
          <w:sz w:val="24"/>
          <w:szCs w:val="24"/>
        </w:rPr>
        <w:t>、不可抗力条款</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合同任何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2、遭受不可抗力一方应在不可抗力事故发生后尽快以书面形式通知对方，并于事故发生后14天内将有关部门出具的证明文件、详细情况报告以及不可抗力对履行合同影响程度的说明用特快专递寄给对方。</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4、一旦不可抗力事故的影响持续120天以上，甲乙双方通过友好协商，在合理的时间内达成进一步履行合同或终止合同的协议。</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九</w:t>
      </w:r>
      <w:r>
        <w:rPr>
          <w:rFonts w:hint="eastAsia" w:ascii="宋体" w:hAnsi="宋体" w:eastAsia="宋体" w:cs="宋体"/>
          <w:snapToGrid w:val="0"/>
          <w:kern w:val="0"/>
          <w:sz w:val="24"/>
          <w:szCs w:val="24"/>
        </w:rPr>
        <w:t>、在履行本合同过程中发生纠纷时，双方应协商解决。协商不成时，由甲方住所地人民法院管辖。</w:t>
      </w:r>
    </w:p>
    <w:p>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十、本合同一式</w:t>
      </w:r>
      <w:r>
        <w:rPr>
          <w:rFonts w:hint="eastAsia" w:ascii="宋体" w:hAnsi="宋体" w:cs="宋体"/>
          <w:snapToGrid w:val="0"/>
          <w:kern w:val="0"/>
          <w:sz w:val="24"/>
          <w:szCs w:val="24"/>
          <w:lang w:eastAsia="zh-CN"/>
        </w:rPr>
        <w:t>六</w:t>
      </w:r>
      <w:r>
        <w:rPr>
          <w:rFonts w:hint="eastAsia" w:ascii="宋体" w:hAnsi="宋体" w:eastAsia="宋体" w:cs="宋体"/>
          <w:snapToGrid w:val="0"/>
          <w:kern w:val="0"/>
          <w:sz w:val="24"/>
          <w:szCs w:val="24"/>
        </w:rPr>
        <w:t>份，甲乙双方各执二份，</w:t>
      </w:r>
      <w:r>
        <w:rPr>
          <w:rFonts w:hint="eastAsia" w:ascii="宋体" w:hAnsi="宋体" w:eastAsia="宋体" w:cs="宋体"/>
          <w:sz w:val="24"/>
          <w:szCs w:val="24"/>
        </w:rPr>
        <w:t>招标代理公司</w:t>
      </w:r>
      <w:r>
        <w:rPr>
          <w:rFonts w:hint="eastAsia" w:ascii="宋体" w:hAnsi="宋体" w:cs="宋体"/>
          <w:sz w:val="24"/>
          <w:szCs w:val="24"/>
          <w:lang w:eastAsia="zh-CN"/>
        </w:rPr>
        <w:t>二</w:t>
      </w:r>
      <w:r>
        <w:rPr>
          <w:rFonts w:hint="eastAsia" w:ascii="宋体" w:hAnsi="宋体" w:eastAsia="宋体" w:cs="宋体"/>
          <w:sz w:val="24"/>
          <w:szCs w:val="24"/>
        </w:rPr>
        <w:t>份，</w:t>
      </w:r>
      <w:r>
        <w:rPr>
          <w:rFonts w:hint="eastAsia" w:ascii="宋体" w:hAnsi="宋体" w:eastAsia="宋体" w:cs="宋体"/>
          <w:snapToGrid w:val="0"/>
          <w:kern w:val="0"/>
          <w:sz w:val="24"/>
          <w:szCs w:val="24"/>
        </w:rPr>
        <w:t>具有同等法律效力。经甲乙双方盖章、签字后生效。</w:t>
      </w:r>
    </w:p>
    <w:p>
      <w:pPr>
        <w:adjustRightInd w:val="0"/>
        <w:snapToGrid w:val="0"/>
        <w:spacing w:before="100" w:beforeAutospacing="1" w:after="100" w:afterAutospacing="1" w:line="360" w:lineRule="auto"/>
        <w:ind w:left="362" w:leftChars="181" w:firstLine="460"/>
        <w:rPr>
          <w:rFonts w:hint="eastAsia" w:ascii="宋体" w:hAnsi="宋体" w:eastAsia="宋体" w:cs="宋体"/>
          <w:sz w:val="24"/>
          <w:szCs w:val="24"/>
        </w:rPr>
      </w:pPr>
      <w:bookmarkStart w:id="72" w:name="_Toc5556_WPSOffice_Level2"/>
      <w:r>
        <w:rPr>
          <w:rFonts w:hint="eastAsia" w:ascii="宋体" w:hAnsi="宋体" w:eastAsia="宋体" w:cs="宋体"/>
          <w:sz w:val="24"/>
          <w:szCs w:val="24"/>
        </w:rPr>
        <w:t>甲    方：                             乙    方：</w:t>
      </w:r>
      <w:bookmarkEnd w:id="72"/>
    </w:p>
    <w:p>
      <w:pPr>
        <w:adjustRightInd w:val="0"/>
        <w:snapToGrid w:val="0"/>
        <w:spacing w:before="100" w:beforeAutospacing="1" w:after="100" w:afterAutospacing="1" w:line="360" w:lineRule="auto"/>
        <w:ind w:left="362" w:leftChars="181" w:firstLine="480" w:firstLineChars="200"/>
        <w:rPr>
          <w:rFonts w:hint="eastAsia" w:ascii="宋体" w:hAnsi="宋体" w:eastAsia="宋体" w:cs="宋体"/>
          <w:sz w:val="24"/>
          <w:szCs w:val="24"/>
        </w:rPr>
      </w:pPr>
      <w:r>
        <w:rPr>
          <w:rFonts w:hint="eastAsia" w:ascii="宋体" w:hAnsi="宋体" w:eastAsia="宋体" w:cs="宋体"/>
          <w:sz w:val="24"/>
          <w:szCs w:val="24"/>
        </w:rPr>
        <w:t>盖    章                               盖    章</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全权代表：（签字或盖章）                全权代表：（签字或盖章）</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地    址：                             地    址：</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邮政编码：                             邮政编码：</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电    话：                             电    话：</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开户单位：                             开户单位：</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开户银行：                             开户银行：</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rPr>
      </w:pPr>
      <w:r>
        <w:rPr>
          <w:rFonts w:hint="eastAsia" w:ascii="宋体" w:hAnsi="宋体" w:eastAsia="宋体" w:cs="宋体"/>
          <w:sz w:val="24"/>
          <w:szCs w:val="24"/>
        </w:rPr>
        <w:t xml:space="preserve">帐    号：                             帐    号： </w:t>
      </w:r>
    </w:p>
    <w:p>
      <w:pPr>
        <w:adjustRightInd w:val="0"/>
        <w:snapToGrid w:val="0"/>
        <w:spacing w:before="100" w:beforeAutospacing="1" w:after="100" w:afterAutospacing="1" w:line="360" w:lineRule="auto"/>
        <w:ind w:left="362" w:leftChars="181" w:firstLine="482"/>
        <w:rPr>
          <w:rFonts w:hint="eastAsia"/>
          <w:lang w:eastAsia="zh-CN"/>
        </w:rPr>
        <w:sectPr>
          <w:footerReference r:id="rId6" w:type="default"/>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z w:val="24"/>
          <w:szCs w:val="24"/>
        </w:rPr>
        <w:t>本合同签订时间：                       本合同签订时间：</w:t>
      </w:r>
    </w:p>
    <w:p>
      <w:pPr>
        <w:pStyle w:val="3"/>
        <w:spacing w:line="360" w:lineRule="auto"/>
        <w:jc w:val="center"/>
        <w:rPr>
          <w:rFonts w:hint="eastAsia" w:ascii="宋体" w:hAnsi="宋体" w:eastAsia="宋体" w:cs="宋体"/>
          <w:b/>
          <w:bCs/>
          <w:color w:val="auto"/>
          <w:sz w:val="36"/>
          <w:szCs w:val="36"/>
          <w:highlight w:val="none"/>
          <w:lang w:val="en-US" w:eastAsia="zh-CN"/>
        </w:rPr>
      </w:pPr>
      <w:bookmarkStart w:id="73" w:name="_Toc18258"/>
      <w:r>
        <w:rPr>
          <w:rFonts w:hint="eastAsia" w:ascii="宋体" w:hAnsi="宋体" w:cs="宋体"/>
          <w:b/>
          <w:bCs/>
          <w:color w:val="auto"/>
          <w:sz w:val="36"/>
          <w:szCs w:val="36"/>
          <w:highlight w:val="none"/>
          <w:lang w:eastAsia="zh-CN"/>
        </w:rPr>
        <w:t>第六部分</w:t>
      </w:r>
      <w:r>
        <w:rPr>
          <w:rFonts w:hint="eastAsia" w:ascii="宋体" w:hAnsi="宋体" w:cs="宋体"/>
          <w:b/>
          <w:bCs/>
          <w:color w:val="auto"/>
          <w:sz w:val="36"/>
          <w:szCs w:val="36"/>
          <w:highlight w:val="none"/>
          <w:lang w:val="en-US" w:eastAsia="zh-CN"/>
        </w:rPr>
        <w:t xml:space="preserve"> 附件</w:t>
      </w:r>
      <w:bookmarkEnd w:id="73"/>
    </w:p>
    <w:p>
      <w:pPr>
        <w:pStyle w:val="3"/>
        <w:spacing w:line="360" w:lineRule="auto"/>
        <w:jc w:val="center"/>
        <w:rPr>
          <w:rFonts w:hint="eastAsia" w:ascii="宋体" w:hAnsi="宋体" w:eastAsia="宋体" w:cs="宋体"/>
          <w:b/>
          <w:bCs/>
          <w:color w:val="auto"/>
          <w:sz w:val="24"/>
          <w:szCs w:val="24"/>
          <w:highlight w:val="none"/>
        </w:rPr>
      </w:pPr>
      <w:bookmarkStart w:id="74" w:name="_Toc18515"/>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一、投  标  函</w:t>
      </w:r>
      <w:bookmarkEnd w:id="74"/>
    </w:p>
    <w:p>
      <w:pPr>
        <w:pStyle w:val="13"/>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bookmarkStart w:id="75" w:name="_Toc11257"/>
      <w:bookmarkStart w:id="76" w:name="_Toc23301"/>
      <w:bookmarkStart w:id="77" w:name="_Toc183264346"/>
      <w:bookmarkStart w:id="78" w:name="_Toc740"/>
      <w:bookmarkStart w:id="79" w:name="_Toc6430"/>
      <w:bookmarkStart w:id="80" w:name="_Toc10451"/>
      <w:bookmarkStart w:id="81" w:name="_Toc1499"/>
      <w:bookmarkStart w:id="82" w:name="_Toc9805"/>
      <w:bookmarkStart w:id="83" w:name="_Toc17009"/>
      <w:bookmarkStart w:id="84" w:name="_Toc9563"/>
      <w:bookmarkStart w:id="85" w:name="_Toc13445"/>
      <w:bookmarkStart w:id="86" w:name="_Toc15853"/>
      <w:bookmarkStart w:id="87" w:name="_Toc806"/>
      <w:r>
        <w:rPr>
          <w:rFonts w:hint="eastAsia" w:ascii="宋体" w:hAnsi="宋体" w:eastAsia="宋体" w:cs="宋体"/>
          <w:color w:val="auto"/>
          <w:sz w:val="24"/>
          <w:szCs w:val="24"/>
          <w:u w:val="single"/>
        </w:rPr>
        <w:t>山东</w:t>
      </w:r>
      <w:r>
        <w:rPr>
          <w:rFonts w:hint="eastAsia" w:ascii="宋体" w:hAnsi="宋体" w:eastAsia="宋体" w:cs="宋体"/>
          <w:color w:val="auto"/>
          <w:sz w:val="24"/>
          <w:szCs w:val="24"/>
          <w:u w:val="single"/>
          <w:lang w:eastAsia="zh-CN"/>
        </w:rPr>
        <w:t>蓝盾招标代理有限公司</w:t>
      </w:r>
      <w:r>
        <w:rPr>
          <w:rFonts w:hint="eastAsia" w:ascii="宋体" w:hAnsi="宋体" w:eastAsia="宋体" w:cs="宋体"/>
          <w:color w:val="auto"/>
          <w:sz w:val="24"/>
          <w:szCs w:val="24"/>
        </w:rPr>
        <w:t>：</w:t>
      </w:r>
    </w:p>
    <w:p>
      <w:pPr>
        <w:pStyle w:val="13"/>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经研究，我们决定参加项目编号为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（项目名称）的投标活动并提交</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。为此，我方郑重声明以下诸点，并负法律责任。</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1、我方提交的</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，纸质</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份，正本一份，副本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份，开标一览表三份；</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电子版一份。</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被接受，我们将履行</w:t>
      </w:r>
      <w:r>
        <w:rPr>
          <w:rFonts w:hint="eastAsia" w:ascii="宋体" w:hAnsi="宋体" w:cs="宋体"/>
          <w:color w:val="auto"/>
          <w:sz w:val="24"/>
          <w:szCs w:val="24"/>
          <w:lang w:eastAsia="zh-CN"/>
        </w:rPr>
        <w:t>招标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中规定的每一项要求，并按我们</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中的承诺按期、保质、保量的完成本项目监理工作。</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3、我们理解，最低报价不是中标的唯一条件，你们有选择中标人的权力。</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4、我方愿按《中华人民共和国合同法》履行自己的全部责任。</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5、我们同意按</w:t>
      </w:r>
      <w:r>
        <w:rPr>
          <w:rFonts w:hint="eastAsia" w:ascii="宋体" w:hAnsi="宋体" w:cs="宋体"/>
          <w:color w:val="auto"/>
          <w:sz w:val="24"/>
          <w:szCs w:val="24"/>
          <w:lang w:eastAsia="zh-CN"/>
        </w:rPr>
        <w:t>招标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规定交纳投标保证金、中标服务费、公证费/见证费，遵守贵机构有关招标的各项规定。</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6、我方若未成为中标人，贵机构有权不做任何解释。</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7、我方的</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自开标之日起有效期为</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日。</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8、与本投标有关的一切正式往来通讯请寄：</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地    址：                            邮政编码：</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电    话：                            传    真：</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开户单位：                            开户银行：</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帐    号：</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投标单位（公章）</w:t>
      </w:r>
    </w:p>
    <w:p>
      <w:pPr>
        <w:pStyle w:val="13"/>
        <w:spacing w:line="56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                                 年   月   日</w:t>
      </w:r>
    </w:p>
    <w:p>
      <w:pPr>
        <w:pStyle w:val="8"/>
        <w:spacing w:line="500" w:lineRule="atLeast"/>
        <w:rPr>
          <w:rFonts w:hint="eastAsia" w:ascii="宋体" w:hAnsi="宋体" w:eastAsia="宋体" w:cs="宋体"/>
          <w:color w:val="auto"/>
          <w:sz w:val="24"/>
          <w:szCs w:val="24"/>
          <w:highlight w:val="none"/>
        </w:rPr>
      </w:pPr>
    </w:p>
    <w:p>
      <w:pPr>
        <w:pStyle w:val="3"/>
        <w:jc w:val="center"/>
        <w:rPr>
          <w:rFonts w:hint="eastAsia" w:ascii="宋体" w:hAnsi="宋体" w:eastAsia="宋体" w:cs="宋体"/>
          <w:b/>
          <w:bCs/>
          <w:color w:val="auto"/>
          <w:sz w:val="24"/>
          <w:szCs w:val="24"/>
          <w:highlight w:val="none"/>
          <w:lang w:eastAsia="zh-CN"/>
        </w:rPr>
      </w:pPr>
      <w:bookmarkStart w:id="88" w:name="_Toc30752"/>
      <w:bookmarkStart w:id="89" w:name="_Toc18722"/>
      <w:bookmarkStart w:id="90" w:name="_Toc8803"/>
      <w:r>
        <w:rPr>
          <w:rFonts w:hint="eastAsia" w:ascii="宋体" w:hAnsi="宋体" w:eastAsia="宋体" w:cs="宋体"/>
          <w:b/>
          <w:bCs/>
          <w:color w:val="auto"/>
          <w:sz w:val="24"/>
          <w:szCs w:val="24"/>
          <w:highlight w:val="none"/>
          <w:lang w:eastAsia="zh-CN"/>
        </w:rPr>
        <w:t>附件二、法定代表人身份证明</w:t>
      </w:r>
      <w:bookmarkEnd w:id="88"/>
      <w:bookmarkEnd w:id="89"/>
      <w:bookmarkEnd w:id="90"/>
    </w:p>
    <w:p>
      <w:pPr>
        <w:spacing w:line="440" w:lineRule="exact"/>
        <w:rPr>
          <w:rFonts w:hint="eastAsia" w:ascii="宋体" w:hAnsi="宋体" w:eastAsia="宋体" w:cs="宋体"/>
          <w:sz w:val="24"/>
          <w:szCs w:val="24"/>
        </w:rPr>
      </w:pPr>
    </w:p>
    <w:p>
      <w:pPr>
        <w:topLinePunct/>
        <w:snapToGrid w:val="0"/>
        <w:spacing w:line="440" w:lineRule="exact"/>
        <w:rPr>
          <w:rFonts w:hint="eastAsia" w:ascii="宋体" w:hAnsi="宋体" w:eastAsia="宋体" w:cs="宋体"/>
          <w:bCs/>
          <w:sz w:val="24"/>
          <w:szCs w:val="24"/>
          <w:u w:val="single"/>
        </w:rPr>
      </w:pPr>
      <w:r>
        <w:rPr>
          <w:rFonts w:hint="eastAsia" w:ascii="宋体" w:hAnsi="宋体" w:eastAsia="宋体" w:cs="宋体"/>
          <w:bCs/>
          <w:sz w:val="24"/>
          <w:szCs w:val="24"/>
        </w:rPr>
        <w:t>供应商名称：</w:t>
      </w:r>
      <w:r>
        <w:rPr>
          <w:rFonts w:hint="eastAsia" w:ascii="宋体" w:hAnsi="宋体" w:eastAsia="宋体" w:cs="宋体"/>
          <w:bCs/>
          <w:sz w:val="24"/>
          <w:szCs w:val="24"/>
          <w:u w:val="single"/>
        </w:rPr>
        <w:t xml:space="preserve">                         </w:t>
      </w:r>
    </w:p>
    <w:p>
      <w:pPr>
        <w:topLinePunct/>
        <w:snapToGrid w:val="0"/>
        <w:spacing w:line="440" w:lineRule="exact"/>
        <w:rPr>
          <w:rFonts w:hint="eastAsia" w:ascii="宋体" w:hAnsi="宋体" w:eastAsia="宋体" w:cs="宋体"/>
          <w:bCs/>
          <w:sz w:val="24"/>
          <w:szCs w:val="24"/>
        </w:rPr>
      </w:pPr>
      <w:r>
        <w:rPr>
          <w:rFonts w:hint="eastAsia" w:ascii="宋体" w:hAnsi="宋体" w:eastAsia="宋体" w:cs="宋体"/>
          <w:bCs/>
          <w:sz w:val="24"/>
          <w:szCs w:val="24"/>
        </w:rPr>
        <w:t>单位性质：</w:t>
      </w:r>
      <w:r>
        <w:rPr>
          <w:rFonts w:hint="eastAsia" w:ascii="宋体" w:hAnsi="宋体" w:eastAsia="宋体" w:cs="宋体"/>
          <w:bCs/>
          <w:sz w:val="24"/>
          <w:szCs w:val="24"/>
          <w:u w:val="single"/>
        </w:rPr>
        <w:t xml:space="preserve">                           </w:t>
      </w:r>
    </w:p>
    <w:p>
      <w:pPr>
        <w:topLinePunct/>
        <w:snapToGrid w:val="0"/>
        <w:spacing w:line="440" w:lineRule="exact"/>
        <w:rPr>
          <w:rFonts w:hint="eastAsia"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topLinePunct/>
        <w:snapToGrid w:val="0"/>
        <w:spacing w:line="440" w:lineRule="exact"/>
        <w:rPr>
          <w:rFonts w:hint="eastAsia" w:ascii="宋体" w:hAnsi="宋体" w:eastAsia="宋体" w:cs="宋体"/>
          <w:bCs/>
          <w:sz w:val="24"/>
          <w:szCs w:val="24"/>
        </w:rPr>
      </w:pPr>
      <w:r>
        <w:rPr>
          <w:rFonts w:hint="eastAsia" w:ascii="宋体" w:hAnsi="宋体" w:eastAsia="宋体" w:cs="宋体"/>
          <w:bCs/>
          <w:sz w:val="24"/>
          <w:szCs w:val="24"/>
        </w:rPr>
        <w:t>经营期限：</w:t>
      </w:r>
      <w:r>
        <w:rPr>
          <w:rFonts w:hint="eastAsia" w:ascii="宋体" w:hAnsi="宋体" w:eastAsia="宋体" w:cs="宋体"/>
          <w:bCs/>
          <w:sz w:val="24"/>
          <w:szCs w:val="24"/>
          <w:u w:val="single"/>
        </w:rPr>
        <w:t xml:space="preserve">            </w:t>
      </w:r>
    </w:p>
    <w:p>
      <w:pPr>
        <w:topLinePunct/>
        <w:snapToGrid w:val="0"/>
        <w:spacing w:line="440" w:lineRule="exact"/>
        <w:rPr>
          <w:rFonts w:hint="eastAsia"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职务：</w:t>
      </w:r>
      <w:r>
        <w:rPr>
          <w:rFonts w:hint="eastAsia" w:ascii="宋体" w:hAnsi="宋体" w:eastAsia="宋体" w:cs="宋体"/>
          <w:bCs/>
          <w:sz w:val="24"/>
          <w:szCs w:val="24"/>
          <w:u w:val="single"/>
        </w:rPr>
        <w:t xml:space="preserve">         </w:t>
      </w:r>
    </w:p>
    <w:p>
      <w:pPr>
        <w:topLinePunct/>
        <w:snapToGrid w:val="0"/>
        <w:spacing w:line="440" w:lineRule="exact"/>
        <w:rPr>
          <w:rFonts w:hint="eastAsia"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（供应商名称）的法定代表人。</w:t>
      </w:r>
    </w:p>
    <w:p>
      <w:pPr>
        <w:topLinePunct/>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特此证明。</w:t>
      </w:r>
    </w:p>
    <w:p>
      <w:pPr>
        <w:topLinePunct/>
        <w:snapToGrid w:val="0"/>
        <w:spacing w:line="440" w:lineRule="exact"/>
        <w:ind w:firstLine="480" w:firstLineChars="200"/>
        <w:rPr>
          <w:rFonts w:hint="eastAsia" w:ascii="宋体" w:hAnsi="宋体" w:eastAsia="宋体" w:cs="宋体"/>
          <w:bCs/>
          <w:sz w:val="24"/>
          <w:szCs w:val="24"/>
        </w:rPr>
      </w:pPr>
    </w:p>
    <w:p>
      <w:pPr>
        <w:topLinePunct/>
        <w:snapToGrid w:val="0"/>
        <w:spacing w:line="440" w:lineRule="exact"/>
        <w:rPr>
          <w:rFonts w:hint="eastAsia" w:ascii="宋体" w:hAnsi="宋体" w:eastAsia="宋体" w:cs="宋体"/>
          <w:sz w:val="24"/>
          <w:szCs w:val="24"/>
        </w:rPr>
      </w:pPr>
      <w:r>
        <w:rPr>
          <w:rFonts w:hint="eastAsia" w:ascii="宋体" w:hAnsi="宋体" w:eastAsia="宋体" w:cs="宋体"/>
          <w:sz w:val="24"/>
          <w:szCs w:val="24"/>
        </w:rPr>
        <w:t>附：法定代表人身份证复印件</w:t>
      </w:r>
      <w:r>
        <w:rPr>
          <w:rFonts w:hint="eastAsia" w:ascii="宋体" w:hAnsi="宋体" w:eastAsia="宋体" w:cs="宋体"/>
          <w:bCs/>
          <w:sz w:val="24"/>
          <w:szCs w:val="24"/>
        </w:rPr>
        <w:t>(需同时提供正面及背面)</w:t>
      </w:r>
    </w:p>
    <w:p>
      <w:pPr>
        <w:spacing w:line="5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314960</wp:posOffset>
                </wp:positionV>
                <wp:extent cx="2969895" cy="1863725"/>
                <wp:effectExtent l="4445" t="4445" r="16510" b="1778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both"/>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pt;margin-top:24.8pt;height:146.75pt;width:233.85pt;z-index:251662336;mso-width-relative:page;mso-height-relative:page;" fillcolor="#FFFFFF" filled="t" stroked="t" coordsize="21600,21600" o:gfxdata="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ZYPZ1wAAAAkBAAAPAAAAAAAAAAEA&#10;IAAAACIAAABkcnMvZG93bnJldi54bWxQSwECFAAUAAAACACHTuJAFIKuCUkCAABhBAAADgAAAAAA&#10;AAABACAAAAAmAQAAZHJzL2Uyb0RvYy54bWxQSwUGAAAAAAYABgBZAQAA4QUAAAAA&#10;">
                <v:fill on="t" focussize="0,0"/>
                <v:stroke color="#000000" miterlimit="8" joinstyle="miter"/>
                <v:imagedata o:title=""/>
                <o:lock v:ext="edit" aspectratio="f"/>
                <v:textbox>
                  <w:txbxContent>
                    <w:p>
                      <w:pPr>
                        <w:jc w:val="both"/>
                        <w:rPr>
                          <w:szCs w:val="21"/>
                        </w:rPr>
                      </w:pPr>
                      <w:r>
                        <w:rPr>
                          <w:rFonts w:hint="eastAsia"/>
                          <w:szCs w:val="21"/>
                        </w:rPr>
                        <w:t>法定代表人身份证正面复印件贴于此处</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3221990</wp:posOffset>
                </wp:positionH>
                <wp:positionV relativeFrom="paragraph">
                  <wp:posOffset>264160</wp:posOffset>
                </wp:positionV>
                <wp:extent cx="2994660" cy="1848485"/>
                <wp:effectExtent l="4445" t="5080" r="10795" b="1333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3.7pt;margin-top:20.8pt;height:145.55pt;width:235.8pt;z-index:251663360;mso-width-relative:page;mso-height-relative:page;" fillcolor="#FFFFFF" filled="t" stroked="t" coordsize="21600,21600" o:gfxdata="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1bPTtkAAAAKAQAADwAAAAAA&#10;AAABACAAAAAiAAAAZHJzL2Rvd25yZXYueG1sUEsBAhQAFAAAAAgAh07iQG14ufxLAgAAYQQAAA4A&#10;AAAAAAAAAQAgAAAAKAEAAGRycy9lMm9Eb2MueG1sUEsFBgAAAAAGAAYAWQEAAOU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p>
    <w:p>
      <w:pPr>
        <w:spacing w:line="50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50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p>
    <w:p>
      <w:pPr>
        <w:pStyle w:val="30"/>
        <w:jc w:val="right"/>
        <w:rPr>
          <w:rFonts w:hint="eastAsia" w:ascii="宋体" w:hAnsi="宋体" w:eastAsia="宋体" w:cs="宋体"/>
          <w:spacing w:val="6"/>
          <w:sz w:val="24"/>
          <w:szCs w:val="24"/>
        </w:rPr>
      </w:pPr>
      <w:r>
        <w:rPr>
          <w:rFonts w:hint="eastAsia" w:ascii="宋体" w:hAnsi="宋体" w:eastAsia="宋体" w:cs="宋体"/>
          <w:sz w:val="24"/>
          <w:szCs w:val="24"/>
        </w:rPr>
        <w:t xml:space="preserve">                                                  </w:t>
      </w:r>
      <w:r>
        <w:rPr>
          <w:rFonts w:hint="eastAsia" w:ascii="宋体" w:hAnsi="宋体" w:eastAsia="宋体" w:cs="宋体"/>
          <w:spacing w:val="6"/>
          <w:sz w:val="24"/>
          <w:szCs w:val="24"/>
        </w:rPr>
        <w:t xml:space="preserve"> </w:t>
      </w:r>
    </w:p>
    <w:p>
      <w:pPr>
        <w:pStyle w:val="30"/>
        <w:jc w:val="right"/>
        <w:rPr>
          <w:rFonts w:hint="eastAsia" w:ascii="宋体" w:hAnsi="宋体" w:eastAsia="宋体" w:cs="宋体"/>
          <w:spacing w:val="6"/>
          <w:sz w:val="24"/>
          <w:szCs w:val="24"/>
        </w:rPr>
      </w:pPr>
    </w:p>
    <w:p>
      <w:pPr>
        <w:pStyle w:val="30"/>
        <w:jc w:val="right"/>
        <w:rPr>
          <w:rFonts w:hint="eastAsia" w:ascii="宋体" w:hAnsi="宋体" w:eastAsia="宋体" w:cs="宋体"/>
          <w:spacing w:val="6"/>
          <w:sz w:val="24"/>
          <w:szCs w:val="24"/>
        </w:rPr>
      </w:pPr>
    </w:p>
    <w:p>
      <w:pPr>
        <w:pStyle w:val="30"/>
        <w:jc w:val="right"/>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pStyle w:val="34"/>
        <w:spacing w:line="360" w:lineRule="auto"/>
        <w:outlineLvl w:val="1"/>
        <w:rPr>
          <w:rFonts w:hint="eastAsia" w:ascii="宋体" w:hAnsi="宋体" w:eastAsia="宋体" w:cs="宋体"/>
          <w:b/>
          <w:bCs/>
          <w:sz w:val="24"/>
          <w:szCs w:val="24"/>
        </w:rPr>
        <w:sectPr>
          <w:pgSz w:w="11906" w:h="16838"/>
          <w:pgMar w:top="1440" w:right="1080" w:bottom="1440" w:left="1080" w:header="851" w:footer="992" w:gutter="0"/>
          <w:pgNumType w:fmt="decimal"/>
          <w:cols w:space="425" w:num="1"/>
          <w:docGrid w:type="lines" w:linePitch="312" w:charSpace="0"/>
        </w:sectPr>
      </w:pPr>
    </w:p>
    <w:p>
      <w:pPr>
        <w:pStyle w:val="3"/>
        <w:jc w:val="center"/>
        <w:rPr>
          <w:rFonts w:hint="eastAsia" w:ascii="宋体" w:hAnsi="宋体" w:eastAsia="宋体" w:cs="宋体"/>
          <w:color w:val="auto"/>
          <w:sz w:val="24"/>
          <w:szCs w:val="24"/>
          <w:highlight w:val="none"/>
        </w:rPr>
      </w:pPr>
      <w:bookmarkStart w:id="91" w:name="_Toc13290"/>
      <w:bookmarkStart w:id="92" w:name="_Toc19046"/>
      <w:r>
        <w:rPr>
          <w:rFonts w:hint="eastAsia" w:ascii="宋体" w:hAnsi="宋体" w:eastAsia="宋体" w:cs="宋体"/>
          <w:b/>
          <w:bCs/>
          <w:color w:val="auto"/>
          <w:sz w:val="24"/>
          <w:szCs w:val="24"/>
          <w:highlight w:val="none"/>
          <w:lang w:eastAsia="zh-CN"/>
        </w:rPr>
        <w:t>附件三、法定代表人授权委托书</w:t>
      </w:r>
      <w:bookmarkEnd w:id="75"/>
      <w:bookmarkEnd w:id="76"/>
      <w:bookmarkEnd w:id="77"/>
      <w:bookmarkEnd w:id="78"/>
      <w:bookmarkEnd w:id="79"/>
      <w:bookmarkEnd w:id="80"/>
      <w:bookmarkEnd w:id="81"/>
      <w:bookmarkEnd w:id="82"/>
      <w:bookmarkEnd w:id="83"/>
      <w:bookmarkEnd w:id="84"/>
      <w:bookmarkEnd w:id="85"/>
      <w:bookmarkEnd w:id="86"/>
      <w:bookmarkEnd w:id="87"/>
      <w:bookmarkEnd w:id="91"/>
      <w:bookmarkEnd w:id="92"/>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（职务或职称）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（姓名）为我单位本次授权代理人，全权办理此次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）的一切事宜。代理人在该项目活动中所签署的一切文件，我（单位）均予承认。</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特此授权。</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p>
    <w:tbl>
      <w:tblPr>
        <w:tblStyle w:val="2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atLeast"/>
          <w:jc w:val="center"/>
        </w:trPr>
        <w:tc>
          <w:tcPr>
            <w:tcW w:w="9071" w:type="dxa"/>
            <w:vAlign w:val="center"/>
          </w:tcPr>
          <w:p>
            <w:pPr>
              <w:pStyle w:val="8"/>
              <w:pageBreakBefore w:val="0"/>
              <w:kinsoku/>
              <w:wordWrap/>
              <w:overflowPunct/>
              <w:topLinePunct w:val="0"/>
              <w:bidi w:val="0"/>
              <w:spacing w:line="360" w:lineRule="auto"/>
              <w:ind w:left="-2"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被授权人身份证复印件粘贴处（正反两面）</w:t>
            </w:r>
          </w:p>
        </w:tc>
      </w:tr>
    </w:tbl>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授权单位（公章）：</w:t>
      </w:r>
      <w:r>
        <w:rPr>
          <w:rFonts w:hint="eastAsia" w:ascii="宋体" w:hAnsi="宋体" w:eastAsia="宋体" w:cs="宋体"/>
          <w:color w:val="auto"/>
          <w:sz w:val="24"/>
          <w:szCs w:val="24"/>
          <w:highlight w:val="none"/>
          <w:u w:val="single"/>
        </w:rPr>
        <w:t xml:space="preserve">                        </w:t>
      </w: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eastAsia="zh-CN"/>
        </w:rPr>
        <w:t>被授权人（签字）：</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before="240" w:line="360" w:lineRule="auto"/>
        <w:ind w:left="-126" w:leftChars="-287" w:hanging="448" w:hangingChars="178"/>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bookmarkStart w:id="93" w:name="_Toc1045"/>
    </w:p>
    <w:p>
      <w:pPr>
        <w:pStyle w:val="34"/>
        <w:pageBreakBefore w:val="0"/>
        <w:kinsoku/>
        <w:wordWrap/>
        <w:overflowPunct/>
        <w:topLinePunct w:val="0"/>
        <w:bidi w:val="0"/>
        <w:spacing w:line="360" w:lineRule="auto"/>
        <w:textAlignment w:val="auto"/>
        <w:outlineLvl w:val="1"/>
        <w:rPr>
          <w:rFonts w:hint="eastAsia" w:ascii="宋体" w:hAnsi="宋体" w:eastAsia="宋体" w:cs="宋体"/>
          <w:b/>
          <w:bCs/>
          <w:color w:val="auto"/>
          <w:sz w:val="24"/>
          <w:szCs w:val="24"/>
          <w:highlight w:val="none"/>
        </w:rPr>
        <w:sectPr>
          <w:pgSz w:w="11900" w:h="16840"/>
          <w:pgMar w:top="1191" w:right="1304" w:bottom="1020" w:left="1304" w:header="567" w:footer="567" w:gutter="0"/>
          <w:pgNumType w:fmt="decimal"/>
          <w:cols w:equalWidth="0" w:num="1">
            <w:col w:w="8860"/>
          </w:cols>
          <w:rtlGutter w:val="0"/>
          <w:docGrid w:linePitch="360" w:charSpace="0"/>
        </w:sectPr>
      </w:pPr>
      <w:bookmarkStart w:id="94" w:name="_Toc29541"/>
      <w:bookmarkStart w:id="95" w:name="_Toc19766"/>
      <w:bookmarkStart w:id="96" w:name="_Toc22430"/>
      <w:bookmarkStart w:id="97" w:name="_Toc7927"/>
      <w:bookmarkStart w:id="98" w:name="_Toc7267"/>
      <w:bookmarkStart w:id="99" w:name="_Toc20128"/>
      <w:bookmarkStart w:id="100" w:name="_Toc16985"/>
      <w:bookmarkStart w:id="101" w:name="_Toc11259"/>
      <w:bookmarkStart w:id="102" w:name="_Toc14899"/>
      <w:bookmarkStart w:id="103" w:name="_Toc20455"/>
      <w:bookmarkStart w:id="104" w:name="_Toc6472"/>
    </w:p>
    <w:p>
      <w:pPr>
        <w:pStyle w:val="3"/>
        <w:jc w:val="center"/>
        <w:rPr>
          <w:rFonts w:hint="eastAsia" w:ascii="宋体" w:hAnsi="宋体" w:eastAsia="宋体" w:cs="宋体"/>
          <w:b/>
          <w:bCs/>
          <w:color w:val="auto"/>
          <w:sz w:val="24"/>
          <w:szCs w:val="24"/>
          <w:highlight w:val="none"/>
          <w:lang w:eastAsia="zh-CN"/>
        </w:rPr>
      </w:pPr>
      <w:bookmarkStart w:id="105" w:name="_Toc29449"/>
      <w:bookmarkStart w:id="106" w:name="_Toc1910"/>
      <w:r>
        <w:rPr>
          <w:rFonts w:hint="eastAsia" w:ascii="宋体" w:hAnsi="宋体" w:eastAsia="宋体" w:cs="宋体"/>
          <w:b/>
          <w:bCs/>
          <w:color w:val="auto"/>
          <w:sz w:val="24"/>
          <w:szCs w:val="24"/>
          <w:highlight w:val="none"/>
          <w:lang w:eastAsia="zh-CN"/>
        </w:rPr>
        <w:t>附件四、投标保证金</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33"/>
        <w:pageBreakBefore w:val="0"/>
        <w:kinsoku/>
        <w:wordWrap/>
        <w:overflowPunct/>
        <w:topLinePunct w:val="0"/>
        <w:bidi w:val="0"/>
        <w:spacing w:beforeLines="5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（下称“投标人”）于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日参加（下称“采购人”）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项目。投标人在此承担向采购人支付总金额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w:t>
      </w:r>
    </w:p>
    <w:p>
      <w:pPr>
        <w:pStyle w:val="33"/>
        <w:pageBreakBefore w:val="0"/>
        <w:kinsoku/>
        <w:wordWrap/>
        <w:overflowPunct/>
        <w:topLinePunct w:val="0"/>
        <w:bidi w:val="0"/>
        <w:spacing w:beforeLines="5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投标保证金在报价有效期内保持有效。</w:t>
      </w:r>
    </w:p>
    <w:p>
      <w:pPr>
        <w:pageBreakBefore w:val="0"/>
        <w:kinsoku/>
        <w:wordWrap/>
        <w:overflowPunct/>
        <w:topLinePunct w:val="0"/>
        <w:bidi w:val="0"/>
        <w:spacing w:before="240" w:line="360" w:lineRule="auto"/>
        <w:ind w:left="546"/>
        <w:textAlignment w:val="auto"/>
        <w:rPr>
          <w:rFonts w:hint="eastAsia" w:ascii="宋体" w:hAnsi="宋体" w:eastAsia="宋体" w:cs="宋体"/>
          <w:color w:val="auto"/>
          <w:spacing w:val="6"/>
          <w:sz w:val="24"/>
          <w:szCs w:val="24"/>
          <w:highlight w:val="none"/>
        </w:rPr>
      </w:pPr>
    </w:p>
    <w:tbl>
      <w:tblPr>
        <w:tblStyle w:val="23"/>
        <w:tblW w:w="86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26" w:hRule="atLeast"/>
          <w:jc w:val="center"/>
        </w:trPr>
        <w:tc>
          <w:tcPr>
            <w:tcW w:w="8610" w:type="dxa"/>
            <w:vAlign w:val="center"/>
          </w:tcPr>
          <w:p>
            <w:pPr>
              <w:pageBreakBefore w:val="0"/>
              <w:widowControl w:val="0"/>
              <w:kinsoku/>
              <w:wordWrap/>
              <w:overflowPunct/>
              <w:topLinePunct w:val="0"/>
              <w:bidi w:val="0"/>
              <w:spacing w:before="240" w:line="360" w:lineRule="auto"/>
              <w:jc w:val="center"/>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投标保证金证明</w:t>
            </w:r>
          </w:p>
          <w:p>
            <w:pPr>
              <w:pageBreakBefore w:val="0"/>
              <w:widowControl w:val="0"/>
              <w:kinsoku/>
              <w:wordWrap/>
              <w:overflowPunct/>
              <w:topLinePunct w:val="0"/>
              <w:bidi w:val="0"/>
              <w:spacing w:before="24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pacing w:val="6"/>
                <w:sz w:val="24"/>
                <w:szCs w:val="24"/>
                <w:highlight w:val="none"/>
              </w:rPr>
              <w:t>（粘贴处）</w:t>
            </w:r>
          </w:p>
        </w:tc>
      </w:tr>
    </w:tbl>
    <w:p>
      <w:pPr>
        <w:pageBreakBefore w:val="0"/>
        <w:kinsoku/>
        <w:wordWrap/>
        <w:overflowPunct/>
        <w:topLinePunct w:val="0"/>
        <w:bidi w:val="0"/>
        <w:spacing w:before="240" w:line="360" w:lineRule="auto"/>
        <w:ind w:firstLine="486" w:firstLineChars="200"/>
        <w:textAlignment w:val="auto"/>
        <w:rPr>
          <w:rFonts w:hint="eastAsia" w:ascii="宋体" w:hAnsi="宋体" w:eastAsia="宋体" w:cs="宋体"/>
          <w:color w:val="auto"/>
          <w:spacing w:val="6"/>
          <w:sz w:val="24"/>
          <w:szCs w:val="24"/>
          <w:highlight w:val="none"/>
        </w:rPr>
      </w:pPr>
    </w:p>
    <w:p>
      <w:pPr>
        <w:pStyle w:val="33"/>
        <w:pageBreakBefore w:val="0"/>
        <w:kinsoku/>
        <w:wordWrap/>
        <w:overflowPunct/>
        <w:topLinePunct w:val="0"/>
        <w:bidi w:val="0"/>
        <w:spacing w:before="24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33"/>
        <w:pageBreakBefore w:val="0"/>
        <w:kinsoku/>
        <w:wordWrap/>
        <w:overflowPunct/>
        <w:topLinePunct w:val="0"/>
        <w:bidi w:val="0"/>
        <w:spacing w:before="24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法定代表人或其授权代理人（签字）：</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before="240" w:line="360" w:lineRule="auto"/>
        <w:ind w:left="-116" w:leftChars="-287" w:hanging="432" w:hangingChars="178"/>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pPr>
        <w:pageBreakBefore w:val="0"/>
        <w:kinsoku/>
        <w:wordWrap/>
        <w:overflowPunct/>
        <w:topLinePunct w:val="0"/>
        <w:bidi w:val="0"/>
        <w:spacing w:before="240" w:line="360" w:lineRule="auto"/>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pPr>
        <w:pStyle w:val="13"/>
        <w:adjustRightInd w:val="0"/>
        <w:snapToGrid w:val="0"/>
        <w:spacing w:before="100" w:beforeAutospacing="1" w:after="100" w:afterAutospacing="1" w:line="360" w:lineRule="auto"/>
        <w:ind w:firstLine="0"/>
        <w:rPr>
          <w:rFonts w:hint="eastAsia" w:ascii="宋体" w:hAnsi="宋体" w:eastAsia="宋体" w:cs="宋体"/>
          <w:sz w:val="24"/>
          <w:szCs w:val="24"/>
        </w:rPr>
      </w:pPr>
    </w:p>
    <w:p>
      <w:pPr>
        <w:pStyle w:val="13"/>
        <w:snapToGrid w:val="0"/>
        <w:spacing w:line="360" w:lineRule="auto"/>
        <w:ind w:firstLine="0"/>
        <w:rPr>
          <w:rFonts w:hint="eastAsia" w:ascii="宋体" w:hAnsi="宋体" w:eastAsia="宋体" w:cs="宋体"/>
          <w:sz w:val="24"/>
          <w:szCs w:val="24"/>
        </w:rPr>
      </w:pPr>
    </w:p>
    <w:p>
      <w:pPr>
        <w:pStyle w:val="13"/>
        <w:spacing w:line="360" w:lineRule="auto"/>
        <w:ind w:firstLine="2912"/>
        <w:outlineLvl w:val="0"/>
        <w:rPr>
          <w:rFonts w:hint="eastAsia" w:ascii="宋体" w:hAnsi="宋体" w:eastAsia="宋体" w:cs="宋体"/>
          <w:b/>
          <w:bCs/>
          <w:color w:val="auto"/>
          <w:spacing w:val="0"/>
          <w:kern w:val="44"/>
          <w:sz w:val="24"/>
          <w:szCs w:val="24"/>
          <w:highlight w:val="none"/>
          <w:lang w:eastAsia="zh-CN"/>
        </w:rPr>
      </w:pPr>
      <w:bookmarkStart w:id="107" w:name="_Toc525723068"/>
    </w:p>
    <w:p>
      <w:pPr>
        <w:pStyle w:val="3"/>
        <w:jc w:val="center"/>
        <w:rPr>
          <w:szCs w:val="21"/>
        </w:rPr>
      </w:pPr>
      <w:bookmarkStart w:id="108" w:name="_Toc27114"/>
      <w:r>
        <w:rPr>
          <w:rFonts w:hint="eastAsia" w:ascii="宋体" w:hAnsi="宋体" w:eastAsia="宋体" w:cs="宋体"/>
          <w:b/>
          <w:bCs/>
          <w:color w:val="auto"/>
          <w:sz w:val="24"/>
          <w:szCs w:val="24"/>
          <w:highlight w:val="none"/>
          <w:lang w:eastAsia="zh-CN"/>
        </w:rPr>
        <w:t>附件五、开标一览表</w:t>
      </w:r>
      <w:bookmarkEnd w:id="107"/>
      <w:bookmarkEnd w:id="108"/>
    </w:p>
    <w:p>
      <w:pPr>
        <w:pStyle w:val="8"/>
        <w:spacing w:after="0"/>
        <w:jc w:val="center"/>
        <w:rPr>
          <w:b/>
          <w:sz w:val="32"/>
          <w:szCs w:val="32"/>
        </w:rPr>
      </w:pPr>
      <w:r>
        <w:rPr>
          <w:rFonts w:hAnsi="宋体"/>
          <w:b/>
          <w:sz w:val="32"/>
          <w:szCs w:val="32"/>
        </w:rPr>
        <w:t>（</w:t>
      </w:r>
      <w:r>
        <w:rPr>
          <w:rFonts w:hAnsi="宋体"/>
          <w:b/>
          <w:bCs/>
          <w:sz w:val="24"/>
        </w:rPr>
        <w:t>本表除响应文件内包含外，另单独密封一式三份</w:t>
      </w:r>
      <w:r>
        <w:rPr>
          <w:rFonts w:hAnsi="宋体"/>
          <w:b/>
          <w:sz w:val="32"/>
          <w:szCs w:val="32"/>
        </w:rPr>
        <w:t>）</w:t>
      </w:r>
    </w:p>
    <w:p>
      <w:pPr>
        <w:pStyle w:val="9"/>
        <w:spacing w:beforeLines="150"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p>
      <w:pPr>
        <w:spacing w:line="360" w:lineRule="auto"/>
        <w:ind w:right="187"/>
        <w:rPr>
          <w:rFonts w:hint="eastAsia" w:ascii="宋体" w:hAnsi="宋体" w:eastAsia="宋体" w:cs="宋体"/>
          <w:sz w:val="24"/>
          <w:szCs w:val="24"/>
          <w:u w:val="single"/>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ind w:right="187"/>
        <w:rPr>
          <w:rFonts w:hint="eastAsia" w:ascii="宋体" w:hAnsi="宋体" w:eastAsia="宋体" w:cs="宋体"/>
          <w:sz w:val="24"/>
          <w:szCs w:val="24"/>
        </w:rPr>
      </w:pPr>
      <w:r>
        <w:rPr>
          <w:rFonts w:hint="eastAsia" w:ascii="宋体" w:hAnsi="宋体" w:eastAsia="宋体" w:cs="宋体"/>
          <w:sz w:val="24"/>
          <w:szCs w:val="24"/>
        </w:rPr>
        <w:t>法定代表人或授权代理人签字：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单位：元（人民币） </w:t>
      </w:r>
    </w:p>
    <w:tbl>
      <w:tblPr>
        <w:tblStyle w:val="23"/>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2669"/>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6" w:hRule="atLeast"/>
        </w:trPr>
        <w:tc>
          <w:tcPr>
            <w:tcW w:w="4069" w:type="dxa"/>
            <w:tcBorders>
              <w:bottom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c>
          <w:tcPr>
            <w:tcW w:w="2669" w:type="dxa"/>
            <w:tcBorders>
              <w:bottom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2718" w:type="dxa"/>
            <w:tcBorders>
              <w:bottom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6" w:hRule="atLeast"/>
        </w:trPr>
        <w:tc>
          <w:tcPr>
            <w:tcW w:w="4069" w:type="dxa"/>
            <w:vAlign w:val="center"/>
          </w:tcPr>
          <w:p>
            <w:pPr>
              <w:rPr>
                <w:rFonts w:hint="eastAsia" w:ascii="宋体" w:hAnsi="宋体" w:eastAsia="宋体" w:cs="宋体"/>
                <w:sz w:val="24"/>
                <w:szCs w:val="24"/>
              </w:rPr>
            </w:pPr>
            <w:r>
              <w:rPr>
                <w:rFonts w:hint="eastAsia" w:ascii="宋体" w:hAnsi="宋体" w:eastAsia="宋体" w:cs="宋体"/>
                <w:sz w:val="24"/>
                <w:szCs w:val="24"/>
              </w:rPr>
              <w:t>小写：（人民币）</w:t>
            </w:r>
          </w:p>
          <w:p>
            <w:pPr>
              <w:rPr>
                <w:rFonts w:hint="eastAsia" w:ascii="宋体" w:hAnsi="宋体" w:eastAsia="宋体" w:cs="宋体"/>
                <w:sz w:val="24"/>
                <w:szCs w:val="24"/>
              </w:rPr>
            </w:pPr>
            <w:r>
              <w:rPr>
                <w:rFonts w:hint="eastAsia" w:ascii="宋体" w:hAnsi="宋体" w:eastAsia="宋体" w:cs="宋体"/>
                <w:sz w:val="24"/>
                <w:szCs w:val="24"/>
              </w:rPr>
              <w:t>大写：（人民币）</w:t>
            </w:r>
          </w:p>
        </w:tc>
        <w:tc>
          <w:tcPr>
            <w:tcW w:w="2669" w:type="dxa"/>
            <w:vAlign w:val="center"/>
          </w:tcPr>
          <w:p>
            <w:pPr>
              <w:jc w:val="center"/>
              <w:rPr>
                <w:rFonts w:hint="eastAsia" w:ascii="宋体" w:hAnsi="宋体" w:eastAsia="宋体" w:cs="宋体"/>
                <w:sz w:val="24"/>
                <w:szCs w:val="24"/>
              </w:rPr>
            </w:pPr>
          </w:p>
        </w:tc>
        <w:tc>
          <w:tcPr>
            <w:tcW w:w="2718" w:type="dxa"/>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注：1、交货安装时间为合同签订之日起多少日。</w:t>
      </w:r>
    </w:p>
    <w:p>
      <w:pPr>
        <w:spacing w:line="360" w:lineRule="auto"/>
        <w:ind w:firstLine="462" w:firstLineChars="200"/>
        <w:rPr>
          <w:rFonts w:hint="eastAsia" w:ascii="宋体" w:hAnsi="宋体" w:eastAsia="宋体" w:cs="宋体"/>
          <w:sz w:val="24"/>
          <w:szCs w:val="24"/>
        </w:rPr>
      </w:pPr>
      <w:r>
        <w:rPr>
          <w:rFonts w:hint="eastAsia" w:ascii="宋体" w:hAnsi="宋体" w:eastAsia="宋体" w:cs="宋体"/>
          <w:sz w:val="24"/>
          <w:szCs w:val="24"/>
        </w:rPr>
        <w:t>2、此表可根据需要格式扩展。</w:t>
      </w:r>
    </w:p>
    <w:p>
      <w:pPr>
        <w:spacing w:line="360" w:lineRule="auto"/>
        <w:ind w:firstLine="462" w:firstLineChars="200"/>
        <w:rPr>
          <w:rFonts w:hint="eastAsia" w:ascii="宋体" w:hAnsi="宋体" w:eastAsia="宋体" w:cs="宋体"/>
          <w:sz w:val="24"/>
          <w:szCs w:val="24"/>
        </w:rPr>
      </w:pPr>
      <w:r>
        <w:rPr>
          <w:rFonts w:hint="eastAsia" w:ascii="宋体" w:hAnsi="宋体" w:eastAsia="宋体" w:cs="宋体"/>
          <w:sz w:val="24"/>
          <w:szCs w:val="24"/>
        </w:rPr>
        <w:t>3、总价为第三部分清单之和，后附分项报价表。</w:t>
      </w:r>
    </w:p>
    <w:p>
      <w:pPr>
        <w:pStyle w:val="7"/>
        <w:spacing w:before="0" w:after="0"/>
        <w:ind w:right="257" w:rightChars="135"/>
        <w:jc w:val="right"/>
        <w:rPr>
          <w:rFonts w:hint="eastAsia" w:ascii="宋体" w:hAnsi="宋体" w:eastAsia="宋体" w:cs="宋体"/>
          <w:sz w:val="24"/>
          <w:szCs w:val="24"/>
        </w:rPr>
      </w:pPr>
      <w:r>
        <w:rPr>
          <w:rFonts w:hint="eastAsia" w:ascii="宋体" w:hAnsi="宋体" w:eastAsia="宋体" w:cs="宋体"/>
          <w:sz w:val="24"/>
          <w:szCs w:val="24"/>
        </w:rPr>
        <w:t xml:space="preserve">                                               </w:t>
      </w:r>
    </w:p>
    <w:p>
      <w:pPr>
        <w:pStyle w:val="7"/>
        <w:spacing w:before="0" w:after="0"/>
        <w:ind w:right="257" w:rightChars="135"/>
        <w:jc w:val="right"/>
        <w:rPr>
          <w:rFonts w:hint="eastAsia" w:ascii="宋体" w:hAnsi="宋体" w:eastAsia="宋体" w:cs="宋体"/>
          <w:sz w:val="24"/>
          <w:szCs w:val="24"/>
        </w:rPr>
      </w:pPr>
      <w:r>
        <w:rPr>
          <w:rFonts w:hint="eastAsia" w:ascii="宋体" w:hAnsi="宋体" w:eastAsia="宋体" w:cs="宋体"/>
          <w:sz w:val="24"/>
          <w:szCs w:val="24"/>
        </w:rPr>
        <w:t xml:space="preserve">                                                        </w:t>
      </w:r>
    </w:p>
    <w:p>
      <w:pPr>
        <w:pStyle w:val="7"/>
        <w:spacing w:before="0" w:after="0"/>
        <w:ind w:right="257" w:rightChars="135"/>
        <w:jc w:val="right"/>
        <w:rPr>
          <w:rFonts w:hint="eastAsia" w:ascii="宋体" w:hAnsi="宋体" w:eastAsia="宋体" w:cs="宋体"/>
          <w:sz w:val="24"/>
          <w:szCs w:val="24"/>
        </w:rPr>
      </w:pPr>
    </w:p>
    <w:p>
      <w:pPr>
        <w:pStyle w:val="7"/>
        <w:spacing w:before="0" w:after="0"/>
        <w:ind w:right="257" w:rightChars="135"/>
        <w:jc w:val="right"/>
        <w:rPr>
          <w:rFonts w:hint="eastAsia" w:ascii="宋体" w:hAnsi="宋体" w:eastAsia="宋体" w:cs="宋体"/>
          <w:sz w:val="24"/>
          <w:szCs w:val="24"/>
        </w:rPr>
      </w:pPr>
    </w:p>
    <w:p>
      <w:pPr>
        <w:pStyle w:val="7"/>
        <w:spacing w:before="0" w:after="0"/>
        <w:ind w:right="257" w:rightChars="135"/>
        <w:jc w:val="right"/>
        <w:rPr>
          <w:rFonts w:hint="eastAsia" w:ascii="宋体" w:hAnsi="宋体" w:eastAsia="宋体" w:cs="宋体"/>
          <w:sz w:val="24"/>
          <w:szCs w:val="24"/>
        </w:rPr>
      </w:pPr>
    </w:p>
    <w:p>
      <w:pPr>
        <w:pStyle w:val="7"/>
        <w:spacing w:before="0" w:after="0"/>
        <w:ind w:right="257" w:rightChars="135"/>
        <w:jc w:val="right"/>
        <w:rPr>
          <w:rFonts w:ascii="Times New Roman" w:hAnsi="Times New Roman" w:eastAsia="宋体" w:cs="Times New Roman"/>
          <w:sz w:val="24"/>
          <w:szCs w:val="24"/>
        </w:rPr>
      </w:pPr>
      <w:r>
        <w:rPr>
          <w:rFonts w:hint="eastAsia" w:ascii="宋体" w:hAnsi="宋体" w:eastAsia="宋体" w:cs="宋体"/>
          <w:sz w:val="24"/>
          <w:szCs w:val="24"/>
        </w:rPr>
        <w:t>年   月   日</w:t>
      </w:r>
    </w:p>
    <w:p>
      <w:pPr>
        <w:pStyle w:val="13"/>
        <w:spacing w:line="360" w:lineRule="auto"/>
        <w:ind w:firstLine="2900"/>
        <w:rPr>
          <w:rFonts w:hint="eastAsia" w:ascii="宋体" w:hAnsi="宋体" w:eastAsia="宋体" w:cs="宋体"/>
          <w:b/>
          <w:sz w:val="24"/>
          <w:szCs w:val="24"/>
        </w:rPr>
      </w:pPr>
      <w:r>
        <w:rPr>
          <w:b/>
          <w:sz w:val="28"/>
        </w:rPr>
        <w:br w:type="page"/>
      </w:r>
    </w:p>
    <w:p>
      <w:pPr>
        <w:pStyle w:val="3"/>
        <w:jc w:val="center"/>
        <w:rPr>
          <w:b/>
          <w:sz w:val="28"/>
        </w:rPr>
      </w:pPr>
      <w:bookmarkStart w:id="109" w:name="_Toc2773"/>
      <w:r>
        <w:rPr>
          <w:rFonts w:hint="eastAsia" w:ascii="宋体" w:hAnsi="宋体" w:eastAsia="宋体" w:cs="宋体"/>
          <w:b/>
          <w:bCs/>
          <w:color w:val="auto"/>
          <w:sz w:val="24"/>
          <w:szCs w:val="24"/>
          <w:highlight w:val="none"/>
          <w:lang w:eastAsia="zh-CN"/>
        </w:rPr>
        <w:t>附件六、报价明细表</w:t>
      </w:r>
      <w:bookmarkEnd w:id="109"/>
      <w:bookmarkStart w:id="110" w:name="_Toc265594654"/>
    </w:p>
    <w:p>
      <w:pPr>
        <w:pStyle w:val="9"/>
        <w:spacing w:beforeLines="50" w:line="360" w:lineRule="auto"/>
        <w:ind w:left="0" w:leftChars="0" w:firstLine="0" w:firstLineChars="0"/>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项目编号：</w:t>
      </w:r>
      <w:r>
        <w:rPr>
          <w:rFonts w:hint="eastAsia" w:ascii="宋体" w:hAnsi="宋体" w:eastAsia="宋体" w:cs="宋体"/>
          <w:bCs/>
          <w:sz w:val="24"/>
          <w:szCs w:val="24"/>
          <w:u w:val="single"/>
          <w:lang w:val="en-US" w:eastAsia="zh-CN"/>
        </w:rPr>
        <w:t xml:space="preserve">                          </w:t>
      </w:r>
    </w:p>
    <w:p>
      <w:pPr>
        <w:spacing w:line="360" w:lineRule="auto"/>
        <w:ind w:right="187"/>
        <w:rPr>
          <w:rFonts w:hint="eastAsia" w:ascii="宋体" w:hAnsi="宋体" w:eastAsia="宋体" w:cs="宋体"/>
          <w:bCs/>
          <w:sz w:val="24"/>
          <w:szCs w:val="24"/>
        </w:rPr>
      </w:pPr>
      <w:r>
        <w:rPr>
          <w:rFonts w:hint="eastAsia" w:ascii="宋体" w:hAnsi="宋体" w:eastAsia="宋体" w:cs="宋体"/>
          <w:bCs/>
          <w:sz w:val="24"/>
          <w:szCs w:val="24"/>
        </w:rPr>
        <w:t>供应商名称（盖章）：</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spacing w:line="360" w:lineRule="auto"/>
        <w:ind w:right="187"/>
        <w:rPr>
          <w:sz w:val="24"/>
        </w:rPr>
      </w:pPr>
      <w:r>
        <w:rPr>
          <w:rFonts w:hint="eastAsia" w:ascii="宋体" w:hAnsi="宋体" w:eastAsia="宋体" w:cs="宋体"/>
          <w:bCs/>
          <w:sz w:val="24"/>
          <w:szCs w:val="24"/>
        </w:rPr>
        <w:t>法定代表人或授权代理人签字：</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sz w:val="24"/>
          <w:szCs w:val="24"/>
        </w:rPr>
        <w:t xml:space="preserve">  </w:t>
      </w:r>
      <w:r>
        <w:rPr>
          <w:sz w:val="24"/>
        </w:rPr>
        <w:t xml:space="preserve">      </w:t>
      </w:r>
      <w:r>
        <w:rPr>
          <w:rFonts w:hint="eastAsia"/>
          <w:sz w:val="24"/>
        </w:rPr>
        <w:t xml:space="preserve">        </w:t>
      </w:r>
      <w:r>
        <w:rPr>
          <w:rFonts w:hAnsi="宋体"/>
          <w:sz w:val="24"/>
        </w:rPr>
        <w:t>单位：元（人民币）</w:t>
      </w:r>
      <w:r>
        <w:rPr>
          <w:sz w:val="24"/>
        </w:rPr>
        <w:t xml:space="preserve">                                   </w:t>
      </w:r>
    </w:p>
    <w:tbl>
      <w:tblPr>
        <w:tblStyle w:val="23"/>
        <w:tblW w:w="852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3"/>
        <w:gridCol w:w="2905"/>
        <w:gridCol w:w="2012"/>
        <w:gridCol w:w="1321"/>
        <w:gridCol w:w="1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color w:val="000000"/>
                <w:szCs w:val="24"/>
                <w:highlight w:val="none"/>
              </w:rPr>
              <w:t>名称</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color w:val="000000"/>
                <w:szCs w:val="24"/>
                <w:highlight w:val="none"/>
              </w:rPr>
              <w:t>品牌、规格型号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单位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宣传册</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333333"/>
                <w:sz w:val="24"/>
                <w:szCs w:val="24"/>
                <w:highlight w:val="none"/>
                <w:shd w:val="clear" w:color="auto" w:fill="FFFFFF"/>
              </w:rPr>
            </w:pPr>
            <w:r>
              <w:rPr>
                <w:rFonts w:hint="eastAsia" w:ascii="宋体" w:hAnsi="宋体" w:cs="宋体"/>
                <w:sz w:val="24"/>
                <w:szCs w:val="24"/>
                <w:highlight w:val="none"/>
              </w:rPr>
              <w:t>画册</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333333"/>
                <w:sz w:val="24"/>
                <w:szCs w:val="24"/>
                <w:highlight w:val="none"/>
                <w:shd w:val="clear" w:color="auto" w:fill="FFFFFF"/>
              </w:rPr>
            </w:pPr>
            <w:r>
              <w:rPr>
                <w:rFonts w:hint="eastAsia" w:ascii="宋体" w:hAnsi="宋体" w:cs="宋体"/>
                <w:sz w:val="24"/>
                <w:szCs w:val="24"/>
                <w:highlight w:val="none"/>
              </w:rPr>
              <w:t>活动简介</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color w:val="000000"/>
                <w:szCs w:val="24"/>
                <w:highlight w:val="none"/>
              </w:rPr>
            </w:pPr>
            <w:r>
              <w:rPr>
                <w:rFonts w:hint="eastAsia" w:ascii="宋体" w:hAnsi="宋体" w:cs="宋体"/>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手册1</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2905" w:type="dxa"/>
            <w:vMerge w:val="restart"/>
            <w:tcBorders>
              <w:top w:val="single" w:color="auto" w:sz="4" w:space="0"/>
              <w:left w:val="single" w:color="auto" w:sz="4" w:space="0"/>
              <w:right w:val="single" w:color="auto" w:sz="4" w:space="0"/>
            </w:tcBorders>
            <w:noWrap w:val="0"/>
            <w:vAlign w:val="center"/>
          </w:tcPr>
          <w:p>
            <w:pPr>
              <w:pStyle w:val="2"/>
              <w:spacing w:before="0"/>
              <w:jc w:val="left"/>
              <w:rPr>
                <w:rFonts w:hint="eastAsia" w:ascii="宋体" w:hAnsi="宋体" w:cs="宋体"/>
                <w:color w:val="333333"/>
                <w:szCs w:val="24"/>
                <w:highlight w:val="none"/>
                <w:shd w:val="clear" w:color="auto" w:fill="FFFFFF"/>
              </w:rPr>
            </w:pPr>
            <w:r>
              <w:rPr>
                <w:rFonts w:hint="eastAsia" w:ascii="宋体" w:hAnsi="宋体" w:cs="宋体"/>
                <w:szCs w:val="24"/>
                <w:highlight w:val="none"/>
              </w:rPr>
              <w:t>荣誉证书</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2905" w:type="dxa"/>
            <w:vMerge w:val="continue"/>
            <w:tcBorders>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r>
              <w:rPr>
                <w:rFonts w:hint="eastAsia" w:ascii="宋体" w:hAnsi="宋体" w:cs="宋体"/>
                <w:szCs w:val="24"/>
                <w:highlight w:val="none"/>
              </w:rPr>
              <w:t>信封</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宣传扑克</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笔记本</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黑皮本</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p>
            <w:pPr>
              <w:pStyle w:val="2"/>
              <w:spacing w:before="0"/>
              <w:jc w:val="left"/>
              <w:rPr>
                <w:rFonts w:hint="eastAsia" w:ascii="宋体" w:hAnsi="宋体" w:cs="宋体"/>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黑皮本</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4"/>
                <w:szCs w:val="24"/>
                <w:highlight w:val="none"/>
              </w:rPr>
            </w:pPr>
            <w:r>
              <w:rPr>
                <w:rFonts w:hint="eastAsia" w:ascii="宋体" w:hAnsi="宋体" w:cs="宋体"/>
                <w:sz w:val="24"/>
                <w:szCs w:val="24"/>
                <w:highlight w:val="none"/>
              </w:rPr>
              <w:t>手提袋</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4"/>
                <w:szCs w:val="24"/>
                <w:highlight w:val="none"/>
              </w:rPr>
            </w:pPr>
            <w:r>
              <w:rPr>
                <w:rFonts w:hint="eastAsia" w:ascii="宋体" w:hAnsi="宋体" w:cs="宋体"/>
                <w:sz w:val="24"/>
                <w:szCs w:val="24"/>
                <w:highlight w:val="none"/>
              </w:rPr>
              <w:t>手提袋</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15</w:t>
            </w:r>
          </w:p>
        </w:tc>
        <w:tc>
          <w:tcPr>
            <w:tcW w:w="2905" w:type="dxa"/>
            <w:tcBorders>
              <w:top w:val="single" w:color="auto" w:sz="4" w:space="0"/>
              <w:left w:val="single" w:color="auto" w:sz="4" w:space="0"/>
              <w:bottom w:val="single" w:color="auto" w:sz="4" w:space="0"/>
              <w:right w:val="single" w:color="auto" w:sz="4" w:space="0"/>
            </w:tcBorders>
            <w:noWrap w:val="0"/>
            <w:vAlign w:val="bottom"/>
          </w:tcPr>
          <w:p>
            <w:pPr>
              <w:pStyle w:val="8"/>
              <w:jc w:val="left"/>
              <w:rPr>
                <w:rFonts w:hint="eastAsia" w:ascii="宋体" w:hAnsi="宋体" w:cs="宋体"/>
                <w:sz w:val="24"/>
                <w:szCs w:val="24"/>
                <w:highlight w:val="none"/>
              </w:rPr>
            </w:pPr>
            <w:r>
              <w:rPr>
                <w:rFonts w:hint="eastAsia" w:ascii="宋体" w:hAnsi="宋体" w:cs="宋体"/>
                <w:kern w:val="2"/>
                <w:sz w:val="24"/>
                <w:szCs w:val="24"/>
                <w:highlight w:val="none"/>
              </w:rPr>
              <w:t>包装盒</w:t>
            </w:r>
          </w:p>
        </w:tc>
        <w:tc>
          <w:tcPr>
            <w:tcW w:w="2012"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16</w:t>
            </w:r>
          </w:p>
        </w:tc>
        <w:tc>
          <w:tcPr>
            <w:tcW w:w="2905" w:type="dxa"/>
            <w:tcBorders>
              <w:top w:val="single" w:color="auto" w:sz="4" w:space="0"/>
              <w:left w:val="single" w:color="auto" w:sz="4" w:space="0"/>
              <w:bottom w:val="single" w:color="auto" w:sz="4" w:space="0"/>
              <w:right w:val="single" w:color="auto" w:sz="4" w:space="0"/>
            </w:tcBorders>
            <w:noWrap w:val="0"/>
            <w:vAlign w:val="bottom"/>
          </w:tcPr>
          <w:p>
            <w:pPr>
              <w:pStyle w:val="8"/>
              <w:rPr>
                <w:rFonts w:hint="eastAsia" w:ascii="宋体" w:hAnsi="宋体" w:cs="宋体"/>
                <w:sz w:val="24"/>
                <w:szCs w:val="24"/>
                <w:highlight w:val="none"/>
              </w:rPr>
            </w:pPr>
            <w:r>
              <w:rPr>
                <w:rFonts w:hint="eastAsia" w:ascii="宋体" w:hAnsi="宋体" w:cs="宋体"/>
                <w:sz w:val="24"/>
                <w:szCs w:val="24"/>
                <w:highlight w:val="none"/>
              </w:rPr>
              <w:t>包装盒</w:t>
            </w:r>
          </w:p>
        </w:tc>
        <w:tc>
          <w:tcPr>
            <w:tcW w:w="2012"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书签</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不干胶打印纸</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不干胶印刷</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宋体" w:hAnsi="宋体" w:cs="宋体"/>
                <w:sz w:val="24"/>
                <w:szCs w:val="24"/>
                <w:highlight w:val="none"/>
              </w:rPr>
            </w:pPr>
            <w:r>
              <w:rPr>
                <w:rFonts w:hint="eastAsia" w:ascii="宋体" w:hAnsi="宋体" w:cs="宋体"/>
                <w:sz w:val="24"/>
                <w:szCs w:val="24"/>
                <w:highlight w:val="none"/>
              </w:rPr>
              <w:t>工作证</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工作证</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单色印刷 纸杯</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双色印刷 纸杯</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挂历</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挂历</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台历</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台历</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广告福字</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席签</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旗帜布喷绘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旗帜布喷绘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写真喷绘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写真喷绘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户外喷绘</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宣传栏1</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宣传栏2</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条幅</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米</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39</w:t>
            </w:r>
          </w:p>
        </w:tc>
        <w:tc>
          <w:tcPr>
            <w:tcW w:w="2905" w:type="dxa"/>
            <w:vMerge w:val="restart"/>
            <w:tcBorders>
              <w:top w:val="single" w:color="auto" w:sz="4" w:space="0"/>
              <w:left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道旗</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2905"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立式喷绘展架附KT板</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41</w:t>
            </w:r>
          </w:p>
        </w:tc>
        <w:tc>
          <w:tcPr>
            <w:tcW w:w="2905"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X展架</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2905"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restart"/>
            <w:tcBorders>
              <w:top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灯箱片</w:t>
            </w:r>
          </w:p>
          <w:p>
            <w:pPr>
              <w:jc w:val="left"/>
              <w:rPr>
                <w:rFonts w:hint="eastAsia" w:ascii="宋体" w:hAnsi="宋体" w:cs="宋体"/>
                <w:sz w:val="24"/>
                <w:szCs w:val="24"/>
                <w:highlight w:val="none"/>
              </w:rPr>
            </w:pPr>
            <w:r>
              <w:rPr>
                <w:rFonts w:hint="eastAsia" w:ascii="宋体" w:hAnsi="宋体" w:cs="宋体"/>
                <w:sz w:val="24"/>
                <w:szCs w:val="24"/>
                <w:highlight w:val="none"/>
              </w:rPr>
              <w:t>制作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continue"/>
            <w:tcBorders>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灯箱片</w:t>
            </w:r>
          </w:p>
          <w:p>
            <w:pPr>
              <w:jc w:val="left"/>
              <w:rPr>
                <w:rFonts w:hint="eastAsia" w:ascii="宋体" w:hAnsi="宋体" w:cs="宋体"/>
                <w:sz w:val="24"/>
                <w:szCs w:val="24"/>
                <w:highlight w:val="none"/>
              </w:rPr>
            </w:pPr>
            <w:r>
              <w:rPr>
                <w:rFonts w:hint="eastAsia" w:ascii="宋体" w:hAnsi="宋体" w:cs="宋体"/>
                <w:sz w:val="24"/>
                <w:szCs w:val="24"/>
                <w:highlight w:val="none"/>
              </w:rPr>
              <w:t>制作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restart"/>
            <w:tcBorders>
              <w:top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43</w:t>
            </w:r>
          </w:p>
        </w:tc>
        <w:tc>
          <w:tcPr>
            <w:tcW w:w="2905"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易拉宝</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vMerge w:val="continue"/>
            <w:tcBorders>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p>
        </w:tc>
        <w:tc>
          <w:tcPr>
            <w:tcW w:w="2905"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不锈钢包边亚克力发光字</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m2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亚克力板</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color w:val="auto"/>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m2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背景布</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户外海报/展板</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便签</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原始凭证粘贴单</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报销单据粘贴单</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借据凭证单</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记账凭证</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本</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档案袋</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档案盒</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档案盒</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PVC</w:t>
            </w:r>
          </w:p>
          <w:p>
            <w:pPr>
              <w:jc w:val="left"/>
              <w:rPr>
                <w:rFonts w:hint="eastAsia" w:ascii="宋体" w:hAnsi="宋体" w:cs="宋体"/>
                <w:sz w:val="24"/>
                <w:szCs w:val="24"/>
                <w:highlight w:val="none"/>
              </w:rPr>
            </w:pPr>
            <w:r>
              <w:rPr>
                <w:rFonts w:hint="eastAsia" w:ascii="宋体" w:hAnsi="宋体" w:cs="宋体"/>
                <w:sz w:val="24"/>
                <w:szCs w:val="24"/>
                <w:highlight w:val="none"/>
              </w:rPr>
              <w:t>392*285*0.2mm</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PVC</w:t>
            </w:r>
          </w:p>
          <w:p>
            <w:pPr>
              <w:jc w:val="left"/>
              <w:rPr>
                <w:rFonts w:hint="eastAsia" w:ascii="宋体" w:hAnsi="宋体" w:cs="宋体"/>
                <w:sz w:val="24"/>
                <w:szCs w:val="24"/>
                <w:highlight w:val="none"/>
              </w:rPr>
            </w:pPr>
            <w:r>
              <w:rPr>
                <w:rFonts w:hint="eastAsia" w:ascii="宋体" w:hAnsi="宋体" w:cs="宋体"/>
                <w:sz w:val="24"/>
                <w:szCs w:val="24"/>
                <w:highlight w:val="none"/>
              </w:rPr>
              <w:t>325*250*0.15mm</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模切</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color w:val="auto"/>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模切</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pStyle w:val="2"/>
              <w:spacing w:before="0"/>
              <w:jc w:val="left"/>
              <w:rPr>
                <w:rFonts w:hint="eastAsia" w:ascii="宋体" w:hAnsi="宋体" w:cs="宋体"/>
                <w:color w:val="auto"/>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覆膜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覆膜</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骑马订</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折页</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烫银</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烫</w:t>
            </w:r>
            <w:r>
              <w:rPr>
                <w:rFonts w:hint="eastAsia" w:ascii="宋体" w:hAnsi="宋体" w:cs="宋体"/>
                <w:sz w:val="24"/>
                <w:szCs w:val="24"/>
                <w:highlight w:val="none"/>
                <w:lang w:eastAsia="zh-CN"/>
              </w:rPr>
              <w:t>金</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装订</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装订</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排版</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r>
              <w:rPr>
                <w:rFonts w:ascii="宋体" w:hAnsi="宋体" w:cs="宋体"/>
                <w:color w:val="000000"/>
                <w:sz w:val="24"/>
                <w:szCs w:val="24"/>
                <w:highlight w:val="none"/>
              </w:rPr>
              <w:t>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展牌设计</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彩印</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en-US" w:eastAsia="zh-CN"/>
              </w:rPr>
              <w:t>1</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彩印</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72</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封条</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张</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73</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L</w:t>
            </w:r>
            <w:r>
              <w:rPr>
                <w:rFonts w:ascii="宋体" w:hAnsi="宋体" w:cs="宋体"/>
                <w:sz w:val="24"/>
                <w:szCs w:val="24"/>
                <w:highlight w:val="none"/>
              </w:rPr>
              <w:t>ED</w:t>
            </w:r>
            <w:r>
              <w:rPr>
                <w:rFonts w:hint="eastAsia" w:ascii="宋体" w:hAnsi="宋体" w:cs="宋体"/>
                <w:sz w:val="24"/>
                <w:szCs w:val="24"/>
                <w:highlight w:val="none"/>
              </w:rPr>
              <w:t>宣传屏幕租用</w:t>
            </w:r>
            <w:r>
              <w:rPr>
                <w:rFonts w:hint="eastAsia" w:ascii="宋体" w:hAnsi="宋体" w:cs="宋体"/>
                <w:sz w:val="24"/>
                <w:szCs w:val="24"/>
                <w:highlight w:val="none"/>
                <w:lang w:eastAsia="zh-CN"/>
              </w:rPr>
              <w:t>（室内）</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eastAsia="zh-CN"/>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74</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L</w:t>
            </w:r>
            <w:r>
              <w:rPr>
                <w:rFonts w:ascii="宋体" w:hAnsi="宋体" w:cs="宋体"/>
                <w:sz w:val="24"/>
                <w:szCs w:val="24"/>
                <w:highlight w:val="none"/>
              </w:rPr>
              <w:t>ED</w:t>
            </w:r>
            <w:r>
              <w:rPr>
                <w:rFonts w:hint="eastAsia" w:ascii="宋体" w:hAnsi="宋体" w:cs="宋体"/>
                <w:sz w:val="24"/>
                <w:szCs w:val="24"/>
                <w:highlight w:val="none"/>
              </w:rPr>
              <w:t>宣传屏幕租用</w:t>
            </w:r>
            <w:r>
              <w:rPr>
                <w:rFonts w:hint="eastAsia" w:ascii="宋体" w:hAnsi="宋体" w:cs="宋体"/>
                <w:sz w:val="24"/>
                <w:szCs w:val="24"/>
                <w:highlight w:val="none"/>
                <w:lang w:eastAsia="zh-CN"/>
              </w:rPr>
              <w:t>（室外）</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75</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宣传灯箱租用</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76</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流动音响</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77</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固定平面宣传版面</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78</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rPr>
            </w:pPr>
            <w:r>
              <w:rPr>
                <w:rFonts w:hint="eastAsia" w:ascii="宋体" w:hAnsi="宋体" w:cs="宋体"/>
                <w:sz w:val="24"/>
                <w:szCs w:val="24"/>
                <w:highlight w:val="none"/>
              </w:rPr>
              <w:t>流动宣传车</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辆</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79</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宣传工作台及台布租赁</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983"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80</w:t>
            </w:r>
          </w:p>
        </w:tc>
        <w:tc>
          <w:tcPr>
            <w:tcW w:w="2905" w:type="dxa"/>
            <w:tcBorders>
              <w:top w:val="single" w:color="auto" w:sz="4" w:space="0"/>
              <w:left w:val="single" w:color="auto" w:sz="4" w:space="0"/>
              <w:bottom w:val="single" w:color="auto" w:sz="4" w:space="0"/>
              <w:right w:val="single" w:color="auto" w:sz="4" w:space="0"/>
            </w:tcBorders>
            <w:noWrap w:val="0"/>
            <w:vAlign w:val="center"/>
          </w:tcPr>
          <w:p>
            <w:pPr>
              <w:pStyle w:val="8"/>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宣传单</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张</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lang w:eastAsia="zh-CN"/>
              </w:rPr>
            </w:pPr>
          </w:p>
        </w:tc>
      </w:tr>
    </w:tbl>
    <w:p>
      <w:pPr>
        <w:rPr>
          <w:sz w:val="24"/>
        </w:rPr>
      </w:pPr>
    </w:p>
    <w:p>
      <w:pP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rPr>
          <w:rFonts w:hint="eastAsia" w:ascii="宋体" w:hAnsi="宋体" w:eastAsia="宋体" w:cs="宋体"/>
          <w:sz w:val="24"/>
          <w:szCs w:val="24"/>
        </w:rPr>
        <w:sectPr>
          <w:footerReference r:id="rId10" w:type="first"/>
          <w:headerReference r:id="rId7" w:type="default"/>
          <w:footerReference r:id="rId8" w:type="default"/>
          <w:footerReference r:id="rId9" w:type="even"/>
          <w:pgSz w:w="11906" w:h="16838"/>
          <w:pgMar w:top="1440" w:right="1797" w:bottom="1440" w:left="1797" w:header="851" w:footer="992" w:gutter="0"/>
          <w:pgNumType w:fmt="decimal"/>
          <w:cols w:space="425" w:num="1"/>
          <w:titlePg/>
          <w:docGrid w:type="linesAndChars" w:linePitch="271" w:charSpace="-2048"/>
        </w:sectPr>
      </w:pPr>
      <w:r>
        <w:rPr>
          <w:b/>
          <w:sz w:val="28"/>
        </w:rPr>
        <w:br w:type="page"/>
      </w:r>
    </w:p>
    <w:bookmarkEnd w:id="110"/>
    <w:p>
      <w:pPr>
        <w:pStyle w:val="3"/>
        <w:jc w:val="center"/>
        <w:rPr>
          <w:rFonts w:hint="eastAsia" w:ascii="宋体" w:hAnsi="宋体" w:eastAsia="宋体" w:cs="宋体"/>
          <w:b/>
          <w:bCs/>
          <w:color w:val="auto"/>
          <w:sz w:val="24"/>
          <w:szCs w:val="24"/>
          <w:highlight w:val="none"/>
          <w:lang w:eastAsia="zh-CN"/>
        </w:rPr>
      </w:pPr>
      <w:bookmarkStart w:id="111" w:name="_Toc525723069"/>
      <w:bookmarkStart w:id="112" w:name="_Toc20402"/>
      <w:r>
        <w:rPr>
          <w:rFonts w:hint="eastAsia" w:ascii="宋体" w:hAnsi="宋体" w:eastAsia="宋体" w:cs="宋体"/>
          <w:b/>
          <w:bCs/>
          <w:color w:val="auto"/>
          <w:sz w:val="24"/>
          <w:szCs w:val="24"/>
          <w:highlight w:val="none"/>
          <w:lang w:eastAsia="zh-CN"/>
        </w:rPr>
        <w:t>附件</w:t>
      </w:r>
      <w:bookmarkStart w:id="113" w:name="_Toc265594655"/>
      <w:r>
        <w:rPr>
          <w:rFonts w:hint="eastAsia" w:ascii="宋体" w:hAnsi="宋体" w:eastAsia="宋体" w:cs="宋体"/>
          <w:b/>
          <w:bCs/>
          <w:color w:val="auto"/>
          <w:sz w:val="24"/>
          <w:szCs w:val="24"/>
          <w:highlight w:val="none"/>
          <w:lang w:eastAsia="zh-CN"/>
        </w:rPr>
        <w:t>七、投标偏离表</w:t>
      </w:r>
      <w:bookmarkEnd w:id="111"/>
      <w:r>
        <w:rPr>
          <w:rFonts w:hint="eastAsia" w:ascii="宋体" w:hAnsi="宋体" w:cs="宋体"/>
          <w:b/>
          <w:bCs/>
          <w:color w:val="auto"/>
          <w:sz w:val="24"/>
          <w:szCs w:val="24"/>
          <w:highlight w:val="none"/>
          <w:lang w:eastAsia="zh-CN"/>
        </w:rPr>
        <w:t>（商务、技术）</w:t>
      </w:r>
      <w:bookmarkEnd w:id="112"/>
    </w:p>
    <w:bookmarkEnd w:id="113"/>
    <w:p>
      <w:pPr>
        <w:adjustRightInd w:val="0"/>
        <w:snapToGrid w:val="0"/>
        <w:spacing w:before="100" w:beforeAutospacing="1" w:after="100" w:afterAutospacing="1" w:line="360" w:lineRule="auto"/>
        <w:rPr>
          <w:rFonts w:hint="eastAsia" w:ascii="宋体" w:hAnsi="宋体" w:eastAsia="宋体" w:cs="宋体"/>
          <w:bCs/>
          <w:sz w:val="24"/>
          <w:szCs w:val="24"/>
          <w:u w:val="single"/>
        </w:rPr>
      </w:pP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p>
    <w:p>
      <w:pPr>
        <w:adjustRightInd w:val="0"/>
        <w:snapToGrid w:val="0"/>
        <w:spacing w:before="100" w:beforeAutospacing="1" w:after="100" w:afterAutospacing="1" w:line="360" w:lineRule="auto"/>
        <w:rPr>
          <w:rFonts w:hint="eastAsia" w:ascii="宋体" w:hAnsi="宋体" w:eastAsia="宋体" w:cs="宋体"/>
          <w:bCs/>
          <w:sz w:val="24"/>
          <w:szCs w:val="24"/>
          <w:u w:val="single"/>
        </w:rPr>
      </w:pPr>
      <w:r>
        <w:rPr>
          <w:rFonts w:hint="eastAsia" w:ascii="宋体" w:hAnsi="宋体" w:eastAsia="宋体" w:cs="宋体"/>
          <w:bCs/>
          <w:sz w:val="24"/>
          <w:szCs w:val="24"/>
        </w:rPr>
        <w:t>投标人名称（盖章）：</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投标人授权代表签字：</w:t>
      </w:r>
      <w:r>
        <w:rPr>
          <w:rFonts w:hint="eastAsia" w:ascii="宋体" w:hAnsi="宋体" w:eastAsia="宋体" w:cs="宋体"/>
          <w:bCs/>
          <w:sz w:val="24"/>
          <w:szCs w:val="24"/>
          <w:u w:val="single"/>
        </w:rPr>
        <w:t xml:space="preserve">         </w:t>
      </w:r>
    </w:p>
    <w:tbl>
      <w:tblPr>
        <w:tblStyle w:val="23"/>
        <w:tblW w:w="8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32"/>
        <w:gridCol w:w="2208"/>
        <w:gridCol w:w="1134"/>
        <w:gridCol w:w="1141"/>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招标文件条款号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投标文件响应</w:t>
            </w: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偏差内容</w:t>
            </w: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rPr>
            </w:pPr>
          </w:p>
        </w:tc>
      </w:tr>
    </w:tbl>
    <w:p>
      <w:pPr>
        <w:adjustRightInd w:val="0"/>
        <w:snapToGrid w:val="0"/>
        <w:spacing w:before="100" w:beforeAutospacing="1" w:after="100" w:afterAutospacing="1" w:line="360" w:lineRule="auto"/>
        <w:jc w:val="right"/>
        <w:rPr>
          <w:rFonts w:hint="eastAsia" w:ascii="宋体" w:hAnsi="宋体" w:eastAsia="宋体" w:cs="宋体"/>
          <w:bCs/>
          <w:sz w:val="24"/>
          <w:szCs w:val="24"/>
        </w:rPr>
      </w:pPr>
      <w:r>
        <w:rPr>
          <w:rFonts w:hint="eastAsia" w:ascii="宋体" w:hAnsi="宋体" w:eastAsia="宋体" w:cs="宋体"/>
          <w:bCs/>
          <w:sz w:val="24"/>
          <w:szCs w:val="24"/>
        </w:rPr>
        <w:t>年   月   日</w:t>
      </w:r>
    </w:p>
    <w:p>
      <w:pPr>
        <w:adjustRightInd w:val="0"/>
        <w:snapToGrid w:val="0"/>
        <w:spacing w:before="100" w:beforeAutospacing="1" w:after="100" w:afterAutospacing="1" w:line="360" w:lineRule="auto"/>
        <w:jc w:val="left"/>
        <w:rPr>
          <w:rFonts w:hint="eastAsia" w:ascii="宋体" w:hAnsi="宋体" w:eastAsia="宋体" w:cs="宋体"/>
          <w:bCs/>
          <w:sz w:val="24"/>
          <w:szCs w:val="24"/>
        </w:rPr>
      </w:pPr>
      <w:r>
        <w:rPr>
          <w:rFonts w:hint="eastAsia" w:ascii="宋体" w:hAnsi="宋体" w:eastAsia="宋体" w:cs="宋体"/>
          <w:bCs/>
          <w:sz w:val="24"/>
          <w:szCs w:val="24"/>
        </w:rPr>
        <w:t>如投标人提交的响应文件与招标文件的要求存在偏离，需逐项填写《投标偏离表》；如无偏离，可不填此表。</w:t>
      </w:r>
    </w:p>
    <w:p>
      <w:pPr>
        <w:adjustRightInd w:val="0"/>
        <w:snapToGrid w:val="0"/>
        <w:spacing w:before="100" w:beforeAutospacing="1" w:after="100" w:afterAutospacing="1" w:line="360" w:lineRule="auto"/>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3"/>
        <w:jc w:val="center"/>
        <w:rPr>
          <w:rFonts w:hint="eastAsia" w:ascii="宋体" w:hAnsi="宋体" w:eastAsia="宋体" w:cs="宋体"/>
          <w:sz w:val="24"/>
          <w:szCs w:val="24"/>
        </w:rPr>
      </w:pPr>
      <w:bookmarkStart w:id="114" w:name="_Toc18668"/>
      <w:bookmarkStart w:id="115" w:name="_Toc525723070"/>
      <w:r>
        <w:rPr>
          <w:rFonts w:hint="eastAsia" w:ascii="宋体" w:hAnsi="宋体" w:eastAsia="宋体" w:cs="宋体"/>
          <w:sz w:val="24"/>
          <w:szCs w:val="24"/>
        </w:rPr>
        <w:t>附件</w:t>
      </w:r>
      <w:r>
        <w:rPr>
          <w:rFonts w:hint="eastAsia" w:ascii="宋体" w:hAnsi="宋体" w:eastAsia="宋体" w:cs="宋体"/>
          <w:sz w:val="24"/>
          <w:szCs w:val="24"/>
          <w:lang w:eastAsia="zh-CN"/>
        </w:rPr>
        <w:t>八</w:t>
      </w:r>
      <w:r>
        <w:rPr>
          <w:rFonts w:hint="eastAsia" w:ascii="宋体" w:hAnsi="宋体" w:eastAsia="宋体" w:cs="宋体"/>
          <w:sz w:val="24"/>
          <w:szCs w:val="24"/>
        </w:rPr>
        <w:t>、拟投入本项目的人员表（格式）</w:t>
      </w:r>
      <w:bookmarkEnd w:id="114"/>
      <w:bookmarkEnd w:id="115"/>
    </w:p>
    <w:p>
      <w:pPr>
        <w:pStyle w:val="8"/>
        <w:spacing w:line="360" w:lineRule="auto"/>
        <w:ind w:right="270" w:rightChars="135"/>
        <w:rPr>
          <w:rFonts w:hint="eastAsia" w:ascii="宋体" w:hAnsi="宋体" w:eastAsia="宋体" w:cs="宋体"/>
          <w:b/>
          <w:sz w:val="24"/>
          <w:szCs w:val="24"/>
        </w:rPr>
      </w:pPr>
      <w:r>
        <w:rPr>
          <w:rFonts w:hint="eastAsia" w:ascii="宋体" w:hAnsi="宋体" w:eastAsia="宋体" w:cs="宋体"/>
          <w:b/>
          <w:sz w:val="24"/>
          <w:szCs w:val="24"/>
        </w:rPr>
        <w:t>单位名称（章）：                                  填报时间： 年 月 日</w:t>
      </w:r>
    </w:p>
    <w:tbl>
      <w:tblPr>
        <w:tblStyle w:val="23"/>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33"/>
        <w:gridCol w:w="832"/>
        <w:gridCol w:w="833"/>
        <w:gridCol w:w="833"/>
        <w:gridCol w:w="735"/>
        <w:gridCol w:w="1365"/>
        <w:gridCol w:w="1365"/>
        <w:gridCol w:w="136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 历</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专 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执业资格/资格证书</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证书号及注册单位</w:t>
            </w: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从事工作年限</w:t>
            </w: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rPr>
            </w:pPr>
          </w:p>
        </w:tc>
      </w:tr>
    </w:tbl>
    <w:p>
      <w:pPr>
        <w:pStyle w:val="8"/>
        <w:spacing w:line="360" w:lineRule="auto"/>
        <w:ind w:right="270" w:rightChars="135"/>
        <w:rPr>
          <w:rFonts w:hint="eastAsia" w:ascii="宋体" w:hAnsi="宋体" w:eastAsia="宋体" w:cs="宋体"/>
          <w:b/>
          <w:sz w:val="24"/>
          <w:szCs w:val="24"/>
        </w:rPr>
      </w:pPr>
      <w:r>
        <w:rPr>
          <w:rFonts w:hint="eastAsia" w:ascii="宋体" w:hAnsi="宋体" w:eastAsia="宋体" w:cs="宋体"/>
          <w:b/>
          <w:sz w:val="24"/>
          <w:szCs w:val="24"/>
        </w:rPr>
        <w:t>后附：劳动合同及行业主管部门核发的从业证书复印件（加盖公章），原件携带备查。</w:t>
      </w:r>
    </w:p>
    <w:p>
      <w:pPr>
        <w:pStyle w:val="8"/>
        <w:spacing w:line="360" w:lineRule="auto"/>
        <w:ind w:right="270" w:rightChars="135"/>
        <w:jc w:val="center"/>
        <w:outlineLvl w:val="0"/>
        <w:rPr>
          <w:rFonts w:hint="eastAsia" w:ascii="宋体" w:hAnsi="宋体" w:eastAsia="宋体" w:cs="宋体"/>
          <w:b/>
          <w:sz w:val="24"/>
          <w:szCs w:val="24"/>
        </w:rPr>
      </w:pPr>
    </w:p>
    <w:p>
      <w:pPr>
        <w:pStyle w:val="8"/>
        <w:spacing w:line="360" w:lineRule="auto"/>
        <w:ind w:right="270" w:rightChars="135"/>
        <w:jc w:val="center"/>
        <w:outlineLvl w:val="0"/>
        <w:rPr>
          <w:rFonts w:hint="eastAsia" w:ascii="宋体" w:hAnsi="宋体" w:eastAsia="宋体" w:cs="宋体"/>
          <w:b/>
          <w:sz w:val="24"/>
          <w:szCs w:val="24"/>
        </w:rPr>
      </w:pPr>
    </w:p>
    <w:p>
      <w:pPr>
        <w:pStyle w:val="3"/>
        <w:jc w:val="both"/>
        <w:rPr>
          <w:rFonts w:hint="eastAsia" w:ascii="宋体" w:hAnsi="宋体" w:eastAsia="宋体" w:cs="宋体"/>
          <w:sz w:val="24"/>
          <w:szCs w:val="24"/>
        </w:rPr>
        <w:sectPr>
          <w:pgSz w:w="11900" w:h="16840"/>
          <w:pgMar w:top="1191" w:right="1304" w:bottom="1020" w:left="1304" w:header="567" w:footer="567" w:gutter="0"/>
          <w:pgNumType w:fmt="decimal"/>
          <w:cols w:equalWidth="0" w:num="1">
            <w:col w:w="8860"/>
          </w:cols>
          <w:rtlGutter w:val="0"/>
          <w:docGrid w:linePitch="360" w:charSpace="0"/>
        </w:sectPr>
      </w:pPr>
      <w:bookmarkStart w:id="116" w:name="_Toc489453766"/>
      <w:bookmarkStart w:id="117" w:name="_Toc525723071"/>
    </w:p>
    <w:p>
      <w:pPr>
        <w:pStyle w:val="3"/>
        <w:jc w:val="center"/>
        <w:rPr>
          <w:rFonts w:hint="eastAsia" w:ascii="宋体" w:hAnsi="宋体" w:eastAsia="宋体" w:cs="宋体"/>
          <w:sz w:val="24"/>
          <w:szCs w:val="24"/>
        </w:rPr>
      </w:pPr>
      <w:bookmarkStart w:id="118" w:name="_Toc2494"/>
      <w:r>
        <w:rPr>
          <w:rFonts w:hint="eastAsia" w:ascii="宋体" w:hAnsi="宋体" w:eastAsia="宋体" w:cs="宋体"/>
          <w:sz w:val="24"/>
          <w:szCs w:val="24"/>
        </w:rPr>
        <w:t>附件</w:t>
      </w:r>
      <w:r>
        <w:rPr>
          <w:rFonts w:hint="eastAsia" w:ascii="宋体" w:hAnsi="宋体" w:eastAsia="宋体" w:cs="宋体"/>
          <w:sz w:val="24"/>
          <w:szCs w:val="24"/>
          <w:lang w:eastAsia="zh-CN"/>
        </w:rPr>
        <w:t>九</w:t>
      </w:r>
      <w:r>
        <w:rPr>
          <w:rFonts w:hint="eastAsia" w:ascii="宋体" w:hAnsi="宋体" w:eastAsia="宋体" w:cs="宋体"/>
          <w:sz w:val="24"/>
          <w:szCs w:val="24"/>
        </w:rPr>
        <w:t>、拟配备设备及物资一览表</w:t>
      </w:r>
      <w:bookmarkEnd w:id="116"/>
      <w:bookmarkEnd w:id="117"/>
      <w:bookmarkEnd w:id="118"/>
    </w:p>
    <w:tbl>
      <w:tblPr>
        <w:tblStyle w:val="23"/>
        <w:tblpPr w:leftFromText="180" w:rightFromText="180" w:vertAnchor="text" w:horzAnchor="page" w:tblpX="1659" w:tblpY="57"/>
        <w:tblOverlap w:val="never"/>
        <w:tblW w:w="9284" w:type="dxa"/>
        <w:tblInd w:w="0" w:type="dxa"/>
        <w:tblLayout w:type="fixed"/>
        <w:tblCellMar>
          <w:top w:w="0" w:type="dxa"/>
          <w:left w:w="108" w:type="dxa"/>
          <w:bottom w:w="0" w:type="dxa"/>
          <w:right w:w="108" w:type="dxa"/>
        </w:tblCellMar>
      </w:tblPr>
      <w:tblGrid>
        <w:gridCol w:w="1037"/>
        <w:gridCol w:w="2113"/>
        <w:gridCol w:w="1298"/>
        <w:gridCol w:w="1559"/>
        <w:gridCol w:w="1984"/>
        <w:gridCol w:w="1293"/>
      </w:tblGrid>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2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设施、设备名称</w:t>
            </w:r>
          </w:p>
        </w:tc>
        <w:tc>
          <w:tcPr>
            <w:tcW w:w="12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型号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产地</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lang w:val="zh-CN"/>
              </w:rPr>
            </w:pPr>
          </w:p>
        </w:tc>
      </w:tr>
    </w:tbl>
    <w:p>
      <w:pPr>
        <w:autoSpaceDE w:val="0"/>
        <w:autoSpaceDN w:val="0"/>
        <w:spacing w:line="360" w:lineRule="auto"/>
        <w:rPr>
          <w:rFonts w:hint="eastAsia" w:ascii="宋体" w:hAnsi="宋体" w:eastAsia="宋体" w:cs="宋体"/>
          <w:kern w:val="0"/>
          <w:sz w:val="24"/>
          <w:szCs w:val="24"/>
          <w:lang w:val="zh-CN"/>
        </w:rPr>
      </w:pP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投标人名称（公章）：</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法定代表人或其授权代表（签字）： </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jc w:val="center"/>
        <w:outlineLvl w:val="0"/>
        <w:rPr>
          <w:rFonts w:hint="eastAsia" w:ascii="宋体" w:hAnsi="宋体" w:eastAsia="宋体" w:cs="宋体"/>
          <w:b/>
          <w:sz w:val="24"/>
          <w:szCs w:val="24"/>
        </w:rPr>
      </w:pPr>
      <w:bookmarkStart w:id="119" w:name="_Toc265594657"/>
      <w:bookmarkStart w:id="120" w:name="_Toc525723072"/>
    </w:p>
    <w:p>
      <w:pPr>
        <w:pStyle w:val="8"/>
        <w:spacing w:line="360" w:lineRule="auto"/>
        <w:ind w:right="270" w:rightChars="135"/>
        <w:jc w:val="center"/>
        <w:outlineLvl w:val="0"/>
        <w:rPr>
          <w:rFonts w:hint="eastAsia" w:ascii="宋体" w:hAnsi="宋体" w:eastAsia="宋体" w:cs="宋体"/>
          <w:b/>
          <w:sz w:val="24"/>
          <w:szCs w:val="24"/>
        </w:rPr>
      </w:pPr>
    </w:p>
    <w:p>
      <w:pPr>
        <w:pStyle w:val="3"/>
        <w:jc w:val="center"/>
        <w:rPr>
          <w:rFonts w:hint="eastAsia" w:ascii="宋体" w:hAnsi="宋体" w:eastAsia="宋体" w:cs="宋体"/>
          <w:b/>
          <w:sz w:val="24"/>
          <w:szCs w:val="24"/>
        </w:rPr>
      </w:pPr>
      <w:bookmarkStart w:id="121" w:name="_Toc30201"/>
      <w:r>
        <w:rPr>
          <w:rFonts w:hint="eastAsia" w:ascii="宋体" w:hAnsi="宋体" w:eastAsia="宋体" w:cs="宋体"/>
          <w:sz w:val="24"/>
          <w:szCs w:val="24"/>
        </w:rPr>
        <w:t>附件</w:t>
      </w:r>
      <w:bookmarkEnd w:id="119"/>
      <w:r>
        <w:rPr>
          <w:rFonts w:hint="eastAsia" w:ascii="宋体" w:hAnsi="宋体" w:eastAsia="宋体" w:cs="宋体"/>
          <w:sz w:val="24"/>
          <w:szCs w:val="24"/>
          <w:lang w:eastAsia="zh-CN"/>
        </w:rPr>
        <w:t>十</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年1月1日至今完成同类业绩一览表</w:t>
      </w:r>
      <w:bookmarkEnd w:id="120"/>
      <w:bookmarkEnd w:id="121"/>
    </w:p>
    <w:tbl>
      <w:tblPr>
        <w:tblStyle w:val="2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416"/>
        <w:gridCol w:w="1811"/>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rPr>
            </w:pPr>
            <w:r>
              <w:rPr>
                <w:rFonts w:hint="eastAsia" w:ascii="宋体" w:hAnsi="宋体" w:eastAsia="宋体" w:cs="宋体"/>
                <w:bCs/>
                <w:sz w:val="24"/>
                <w:szCs w:val="24"/>
              </w:rPr>
              <w:t>项目单位</w:t>
            </w: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rPr>
            </w:pPr>
            <w:r>
              <w:rPr>
                <w:rFonts w:hint="eastAsia" w:ascii="宋体" w:hAnsi="宋体" w:eastAsia="宋体" w:cs="宋体"/>
                <w:bCs/>
                <w:sz w:val="24"/>
                <w:szCs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rPr>
            </w:pPr>
            <w:r>
              <w:rPr>
                <w:rFonts w:hint="eastAsia" w:ascii="宋体" w:hAnsi="宋体" w:eastAsia="宋体" w:cs="宋体"/>
                <w:bCs/>
                <w:sz w:val="24"/>
                <w:szCs w:val="24"/>
              </w:rPr>
              <w:t>服务周期</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rPr>
            </w:pPr>
            <w:r>
              <w:rPr>
                <w:rFonts w:hint="eastAsia" w:ascii="宋体" w:hAnsi="宋体" w:eastAsia="宋体" w:cs="宋体"/>
                <w:bCs/>
                <w:sz w:val="24"/>
                <w:szCs w:val="24"/>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注：本表可按同样格式扩展。须后附合同复印件（加盖公章）</w:t>
      </w:r>
    </w:p>
    <w:p>
      <w:pPr>
        <w:spacing w:line="360" w:lineRule="auto"/>
        <w:rPr>
          <w:rFonts w:hint="eastAsia" w:ascii="宋体" w:hAnsi="宋体" w:eastAsia="宋体" w:cs="宋体"/>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rPr>
          <w:rFonts w:hint="eastAsia" w:ascii="宋体" w:hAnsi="宋体" w:eastAsia="宋体" w:cs="宋体"/>
          <w:b/>
          <w:sz w:val="24"/>
          <w:szCs w:val="24"/>
        </w:rPr>
      </w:pPr>
    </w:p>
    <w:p>
      <w:pPr>
        <w:pStyle w:val="8"/>
        <w:spacing w:line="360" w:lineRule="auto"/>
        <w:ind w:right="270" w:rightChars="135"/>
        <w:jc w:val="center"/>
        <w:rPr>
          <w:rFonts w:hint="eastAsia" w:ascii="宋体" w:hAnsi="宋体" w:eastAsia="宋体" w:cs="宋体"/>
          <w:b/>
          <w:sz w:val="24"/>
          <w:szCs w:val="24"/>
          <w:lang w:eastAsia="zh-CN"/>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lang w:val="en-GB" w:eastAsia="zh-CN"/>
        </w:rPr>
      </w:pPr>
      <w:bookmarkStart w:id="122" w:name="_Toc10999"/>
      <w:bookmarkStart w:id="123" w:name="_Toc26236"/>
      <w:bookmarkStart w:id="124" w:name="_Toc6772"/>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lang w:val="en-GB" w:eastAsia="zh-CN"/>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lang w:val="en-GB" w:eastAsia="zh-CN"/>
        </w:rPr>
      </w:pPr>
    </w:p>
    <w:p>
      <w:pPr>
        <w:pStyle w:val="3"/>
        <w:jc w:val="center"/>
        <w:rPr>
          <w:rFonts w:hint="eastAsia" w:ascii="宋体" w:hAnsi="宋体" w:eastAsia="宋体" w:cs="宋体"/>
          <w:sz w:val="24"/>
          <w:szCs w:val="24"/>
          <w:lang w:val="en-GB" w:eastAsia="zh-CN"/>
        </w:rPr>
      </w:pPr>
      <w:bookmarkStart w:id="125" w:name="_Toc18594"/>
      <w:r>
        <w:rPr>
          <w:rFonts w:hint="eastAsia" w:ascii="宋体" w:hAnsi="宋体" w:eastAsia="宋体" w:cs="宋体"/>
          <w:sz w:val="24"/>
          <w:szCs w:val="24"/>
          <w:lang w:val="en-GB" w:eastAsia="zh-CN"/>
        </w:rPr>
        <w:t>附件十一、投标人概况表</w:t>
      </w:r>
      <w:bookmarkEnd w:id="122"/>
      <w:bookmarkEnd w:id="123"/>
      <w:bookmarkEnd w:id="124"/>
      <w:bookmarkEnd w:id="125"/>
    </w:p>
    <w:tbl>
      <w:tblPr>
        <w:tblStyle w:val="23"/>
        <w:tblW w:w="9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33"/>
        <w:gridCol w:w="100"/>
        <w:gridCol w:w="934"/>
        <w:gridCol w:w="733"/>
        <w:gridCol w:w="1130"/>
        <w:gridCol w:w="104"/>
        <w:gridCol w:w="830"/>
        <w:gridCol w:w="410"/>
        <w:gridCol w:w="1011"/>
        <w:gridCol w:w="849"/>
        <w:gridCol w:w="219"/>
        <w:gridCol w:w="42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单位性质</w:t>
            </w:r>
          </w:p>
        </w:tc>
        <w:tc>
          <w:tcPr>
            <w:tcW w:w="833"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934"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隶属 关系</w:t>
            </w: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234"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1240" w:type="dxa"/>
            <w:gridSpan w:val="2"/>
            <w:vAlign w:val="center"/>
          </w:tcPr>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11"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   代表人</w:t>
            </w:r>
          </w:p>
        </w:tc>
        <w:tc>
          <w:tcPr>
            <w:tcW w:w="849" w:type="dxa"/>
          </w:tcPr>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48"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职务</w:t>
            </w:r>
          </w:p>
        </w:tc>
        <w:tc>
          <w:tcPr>
            <w:tcW w:w="1006" w:type="dxa"/>
          </w:tcPr>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注册资本</w:t>
            </w:r>
          </w:p>
        </w:tc>
        <w:tc>
          <w:tcPr>
            <w:tcW w:w="833"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934"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职工  总数</w:t>
            </w: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234"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平均工人</w:t>
            </w:r>
          </w:p>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技术等级</w:t>
            </w:r>
          </w:p>
        </w:tc>
        <w:tc>
          <w:tcPr>
            <w:tcW w:w="1240" w:type="dxa"/>
            <w:gridSpan w:val="2"/>
          </w:tcPr>
          <w:p>
            <w:pPr>
              <w:pStyle w:val="12"/>
              <w:pageBreakBefore w:val="0"/>
              <w:kinsoku/>
              <w:wordWrap/>
              <w:overflowPunct/>
              <w:topLinePunct w:val="0"/>
              <w:bidi w:val="0"/>
              <w:adjustRightInd w:val="0"/>
              <w:snapToGrid w:val="0"/>
              <w:spacing w:line="360" w:lineRule="auto"/>
              <w:ind w:left="192"/>
              <w:textAlignment w:val="auto"/>
              <w:rPr>
                <w:rFonts w:hint="eastAsia" w:ascii="宋体" w:hAnsi="宋体" w:eastAsia="宋体" w:cs="宋体"/>
                <w:bCs/>
                <w:color w:val="auto"/>
                <w:sz w:val="24"/>
                <w:szCs w:val="24"/>
                <w:highlight w:val="none"/>
              </w:rPr>
            </w:pPr>
          </w:p>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11"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p>
        </w:tc>
        <w:tc>
          <w:tcPr>
            <w:tcW w:w="849" w:type="dxa"/>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48"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1006" w:type="dxa"/>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成立/或注册日期</w:t>
            </w:r>
          </w:p>
        </w:tc>
        <w:tc>
          <w:tcPr>
            <w:tcW w:w="1767" w:type="dxa"/>
            <w:gridSpan w:val="3"/>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主营</w:t>
            </w:r>
          </w:p>
        </w:tc>
        <w:tc>
          <w:tcPr>
            <w:tcW w:w="2474" w:type="dxa"/>
            <w:gridSpan w:val="4"/>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011"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兼营</w:t>
            </w:r>
          </w:p>
        </w:tc>
        <w:tc>
          <w:tcPr>
            <w:tcW w:w="2503" w:type="dxa"/>
            <w:gridSpan w:val="4"/>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1767" w:type="dxa"/>
            <w:gridSpan w:val="3"/>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w:t>
            </w:r>
          </w:p>
        </w:tc>
        <w:tc>
          <w:tcPr>
            <w:tcW w:w="2474" w:type="dxa"/>
            <w:gridSpan w:val="4"/>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011"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净资产</w:t>
            </w:r>
          </w:p>
        </w:tc>
        <w:tc>
          <w:tcPr>
            <w:tcW w:w="2503" w:type="dxa"/>
            <w:gridSpan w:val="4"/>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有职称管理人员</w:t>
            </w: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w:t>
            </w:r>
          </w:p>
        </w:tc>
        <w:tc>
          <w:tcPr>
            <w:tcW w:w="1034"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w:t>
            </w:r>
          </w:p>
        </w:tc>
        <w:tc>
          <w:tcPr>
            <w:tcW w:w="1130"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934"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w:t>
            </w:r>
          </w:p>
        </w:tc>
        <w:tc>
          <w:tcPr>
            <w:tcW w:w="1421"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068"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技术员</w:t>
            </w:r>
          </w:p>
        </w:tc>
        <w:tc>
          <w:tcPr>
            <w:tcW w:w="1435"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组织机构</w:t>
            </w:r>
          </w:p>
        </w:tc>
        <w:tc>
          <w:tcPr>
            <w:tcW w:w="2500" w:type="dxa"/>
            <w:gridSpan w:val="4"/>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（附本表后）</w:t>
            </w:r>
          </w:p>
        </w:tc>
        <w:tc>
          <w:tcPr>
            <w:tcW w:w="3485" w:type="dxa"/>
            <w:gridSpan w:val="5"/>
            <w:tcBorders>
              <w:top w:val="nil"/>
            </w:tcBorders>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法定代表人及技术负责人简历</w:t>
            </w:r>
          </w:p>
        </w:tc>
        <w:tc>
          <w:tcPr>
            <w:tcW w:w="2503" w:type="dxa"/>
            <w:gridSpan w:val="4"/>
            <w:tcBorders>
              <w:top w:val="nil"/>
            </w:tcBorders>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单位简历及概况</w:t>
            </w:r>
          </w:p>
        </w:tc>
        <w:tc>
          <w:tcPr>
            <w:tcW w:w="8488" w:type="dxa"/>
            <w:gridSpan w:val="13"/>
            <w:tcBorders>
              <w:right w:val="single" w:color="auto" w:sz="4" w:space="0"/>
            </w:tcBorders>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3" w:hRule="atLeast"/>
          <w:jc w:val="center"/>
        </w:trPr>
        <w:tc>
          <w:tcPr>
            <w:tcW w:w="1335"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单位优势</w:t>
            </w:r>
          </w:p>
        </w:tc>
        <w:tc>
          <w:tcPr>
            <w:tcW w:w="8488" w:type="dxa"/>
            <w:gridSpan w:val="13"/>
            <w:tcBorders>
              <w:right w:val="single" w:color="auto" w:sz="4" w:space="0"/>
            </w:tcBorders>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r>
    </w:tbl>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注：附企业法人营业执照、资质证书、安全生产许可证、组织机构代码证、税务登记证等证件文件复印件。</w:t>
      </w:r>
    </w:p>
    <w:p>
      <w:pPr>
        <w:pStyle w:val="36"/>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p>
    <w:p>
      <w:pPr>
        <w:pStyle w:val="36"/>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keepNext w:val="0"/>
        <w:keepLines w:val="0"/>
        <w:pageBreakBefore w:val="0"/>
        <w:widowControl w:val="0"/>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sz w:val="24"/>
          <w:szCs w:val="24"/>
          <w:lang w:val="en-GB" w:eastAsia="zh-CN"/>
        </w:rPr>
      </w:pPr>
      <w:bookmarkStart w:id="126" w:name="_Toc14540"/>
      <w:bookmarkStart w:id="127" w:name="_Toc31753"/>
    </w:p>
    <w:p>
      <w:pPr>
        <w:pStyle w:val="3"/>
        <w:jc w:val="center"/>
        <w:rPr>
          <w:rFonts w:hint="eastAsia" w:ascii="宋体" w:hAnsi="宋体" w:eastAsia="宋体" w:cs="宋体"/>
          <w:sz w:val="24"/>
          <w:szCs w:val="24"/>
          <w:lang w:val="en-GB" w:eastAsia="zh-CN"/>
        </w:rPr>
      </w:pPr>
      <w:bookmarkStart w:id="128" w:name="_Toc24650"/>
      <w:r>
        <w:rPr>
          <w:rFonts w:hint="eastAsia" w:ascii="宋体" w:hAnsi="宋体" w:eastAsia="宋体" w:cs="宋体"/>
          <w:sz w:val="24"/>
          <w:szCs w:val="24"/>
          <w:lang w:val="en-GB" w:eastAsia="zh-CN"/>
        </w:rPr>
        <w:t>附件十二、财务状况</w:t>
      </w:r>
      <w:bookmarkEnd w:id="126"/>
      <w:bookmarkEnd w:id="127"/>
      <w:bookmarkEnd w:id="128"/>
    </w:p>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1、基本资料</w:t>
      </w:r>
    </w:p>
    <w:tbl>
      <w:tblPr>
        <w:tblStyle w:val="23"/>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086"/>
        <w:gridCol w:w="1080"/>
        <w:gridCol w:w="194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539"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资产总额</w:t>
            </w:r>
          </w:p>
        </w:tc>
        <w:tc>
          <w:tcPr>
            <w:tcW w:w="2086"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c>
          <w:tcPr>
            <w:tcW w:w="1080"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942"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w:t>
            </w:r>
          </w:p>
        </w:tc>
        <w:tc>
          <w:tcPr>
            <w:tcW w:w="3133" w:type="dxa"/>
            <w:vAlign w:val="center"/>
          </w:tcPr>
          <w:p>
            <w:pPr>
              <w:pStyle w:val="12"/>
              <w:pageBreakBefore w:val="0"/>
              <w:kinsoku/>
              <w:wordWrap/>
              <w:overflowPunct/>
              <w:topLinePunct w:val="0"/>
              <w:bidi w:val="0"/>
              <w:adjustRightInd w:val="0"/>
              <w:snapToGrid w:val="0"/>
              <w:spacing w:line="360" w:lineRule="auto"/>
              <w:ind w:firstLine="2400" w:firstLineChars="10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539"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负债总额</w:t>
            </w:r>
          </w:p>
        </w:tc>
        <w:tc>
          <w:tcPr>
            <w:tcW w:w="2086"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c>
          <w:tcPr>
            <w:tcW w:w="1080"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942" w:type="dxa"/>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流动资产</w:t>
            </w:r>
          </w:p>
        </w:tc>
        <w:tc>
          <w:tcPr>
            <w:tcW w:w="3133" w:type="dxa"/>
            <w:vAlign w:val="center"/>
          </w:tcPr>
          <w:p>
            <w:pPr>
              <w:pStyle w:val="12"/>
              <w:pageBreakBefore w:val="0"/>
              <w:kinsoku/>
              <w:wordWrap/>
              <w:overflowPunct/>
              <w:topLinePunct w:val="0"/>
              <w:bidi w:val="0"/>
              <w:adjustRightInd w:val="0"/>
              <w:snapToGrid w:val="0"/>
              <w:spacing w:line="360" w:lineRule="auto"/>
              <w:ind w:firstLine="2400" w:firstLineChars="10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3625"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年平均完成投资</w:t>
            </w:r>
          </w:p>
        </w:tc>
        <w:tc>
          <w:tcPr>
            <w:tcW w:w="6155" w:type="dxa"/>
            <w:gridSpan w:val="3"/>
          </w:tcPr>
          <w:p>
            <w:pPr>
              <w:pStyle w:val="12"/>
              <w:pageBreakBefore w:val="0"/>
              <w:kinsoku/>
              <w:wordWrap/>
              <w:overflowPunct/>
              <w:topLinePunct w:val="0"/>
              <w:bidi w:val="0"/>
              <w:adjustRightInd w:val="0"/>
              <w:snapToGrid w:val="0"/>
              <w:spacing w:line="360" w:lineRule="auto"/>
              <w:ind w:firstLine="5520" w:firstLineChars="2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3625" w:type="dxa"/>
            <w:gridSpan w:val="2"/>
            <w:vAlign w:val="center"/>
          </w:tcPr>
          <w:p>
            <w:pPr>
              <w:pStyle w:val="12"/>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最高年制造/销售能力</w:t>
            </w:r>
          </w:p>
        </w:tc>
        <w:tc>
          <w:tcPr>
            <w:tcW w:w="6155" w:type="dxa"/>
            <w:gridSpan w:val="3"/>
          </w:tcPr>
          <w:p>
            <w:pPr>
              <w:pStyle w:val="12"/>
              <w:pageBreakBefore w:val="0"/>
              <w:kinsoku/>
              <w:wordWrap/>
              <w:overflowPunct/>
              <w:topLinePunct w:val="0"/>
              <w:bidi w:val="0"/>
              <w:adjustRightInd w:val="0"/>
              <w:snapToGrid w:val="0"/>
              <w:spacing w:line="360" w:lineRule="auto"/>
              <w:ind w:firstLine="5520" w:firstLineChars="2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r>
    </w:tbl>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、可以查到财务信息的开户银行的银行名称、地址。</w:t>
      </w:r>
    </w:p>
    <w:p>
      <w:pPr>
        <w:pStyle w:val="3"/>
        <w:jc w:val="center"/>
        <w:rPr>
          <w:rFonts w:hint="eastAsia" w:ascii="宋体" w:hAnsi="宋体" w:eastAsia="宋体" w:cs="宋体"/>
          <w:sz w:val="24"/>
          <w:szCs w:val="24"/>
          <w:lang w:val="en-GB" w:eastAsia="zh-CN"/>
        </w:rPr>
      </w:pPr>
      <w:bookmarkStart w:id="129" w:name="_Toc23126"/>
      <w:bookmarkStart w:id="130" w:name="_Toc10586"/>
      <w:r>
        <w:rPr>
          <w:rFonts w:hint="eastAsia" w:ascii="宋体" w:hAnsi="宋体" w:eastAsia="宋体" w:cs="宋体"/>
          <w:sz w:val="24"/>
          <w:szCs w:val="24"/>
          <w:lang w:val="en-GB" w:eastAsia="zh-CN"/>
        </w:rPr>
        <w:t>附件十三、近三年内，在经营活动中没有重大违法记录的声明</w:t>
      </w:r>
      <w:bookmarkEnd w:id="129"/>
      <w:bookmarkEnd w:id="130"/>
    </w:p>
    <w:p>
      <w:pPr>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山东蓝盾招标代理有限公司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我单位近三年内在经营活动中没有重大违法记录，特此声明。</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若招标采购单位在本项目采购过程中，发现我单位近三年内在经营活动中有重大违法记录，我单位将无条件退出本项目的投标，并承担因此引起的一切后果。</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投标供应商名称（公章）：</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法人代表或其授权人（签字）：</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3"/>
        <w:jc w:val="center"/>
        <w:rPr>
          <w:rFonts w:hint="eastAsia" w:ascii="宋体" w:hAnsi="宋体" w:eastAsia="宋体" w:cs="宋体"/>
          <w:sz w:val="24"/>
          <w:szCs w:val="24"/>
          <w:lang w:val="en-GB" w:eastAsia="zh-CN"/>
        </w:rPr>
      </w:pPr>
      <w:bookmarkStart w:id="131" w:name="_Toc5973"/>
      <w:bookmarkStart w:id="132" w:name="_Toc8515"/>
      <w:r>
        <w:rPr>
          <w:rFonts w:hint="eastAsia" w:ascii="宋体" w:hAnsi="宋体" w:eastAsia="宋体" w:cs="宋体"/>
          <w:sz w:val="24"/>
          <w:szCs w:val="24"/>
          <w:lang w:val="en-GB" w:eastAsia="zh-CN"/>
        </w:rPr>
        <w:t>附件十四、中小微企业声明函（如有）</w:t>
      </w:r>
      <w:bookmarkEnd w:id="131"/>
      <w:bookmarkEnd w:id="132"/>
    </w:p>
    <w:p>
      <w:pPr>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本公司郑重声明，根据《政府采购促进中小企业发展暂行办法》（财库[2011]181号）的规定，本公司为</w:t>
      </w:r>
      <w:r>
        <w:rPr>
          <w:rFonts w:hint="eastAsia" w:ascii="宋体" w:hAnsi="宋体" w:eastAsia="宋体" w:cs="宋体"/>
          <w:color w:val="auto"/>
          <w:sz w:val="24"/>
          <w:szCs w:val="24"/>
          <w:highlight w:val="none"/>
          <w:u w:val="single"/>
          <w:lang w:val="en-US" w:eastAsia="zh-CN"/>
        </w:rPr>
        <w:t xml:space="preserve">    （请填写：小型、微型）企业。</w:t>
      </w:r>
      <w:r>
        <w:rPr>
          <w:rFonts w:hint="eastAsia" w:ascii="宋体" w:hAnsi="宋体" w:eastAsia="宋体" w:cs="宋体"/>
          <w:color w:val="auto"/>
          <w:sz w:val="24"/>
          <w:szCs w:val="24"/>
          <w:highlight w:val="none"/>
          <w:u w:val="none"/>
          <w:lang w:val="en-US" w:eastAsia="zh-CN"/>
        </w:rPr>
        <w:t>即，本公司同时满足以下条件：</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1、根据《工业和信息化部、国家统计局、国家发展和改革委员会、财政部关于</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印发中小企业划型标准规定的通知》（工信部联企业[2011]300 号）规定的划分标准，</w:t>
      </w:r>
    </w:p>
    <w:p>
      <w:pPr>
        <w:keepNext w:val="0"/>
        <w:keepLines w:val="0"/>
        <w:pageBreakBefore w:val="0"/>
        <w:widowControl/>
        <w:tabs>
          <w:tab w:val="left" w:pos="154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（请填写：小型、微型）企业。</w:t>
      </w:r>
      <w:r>
        <w:rPr>
          <w:rFonts w:hint="eastAsia" w:ascii="宋体" w:hAnsi="宋体" w:eastAsia="宋体" w:cs="宋体"/>
          <w:color w:val="auto"/>
          <w:sz w:val="24"/>
          <w:szCs w:val="24"/>
          <w:highlight w:val="none"/>
        </w:rPr>
        <w:drawing>
          <wp:anchor distT="0" distB="0" distL="0" distR="0" simplePos="0" relativeHeight="7168" behindDoc="1" locked="0" layoutInCell="0" allowOverlap="1">
            <wp:simplePos x="0" y="0"/>
            <wp:positionH relativeFrom="column">
              <wp:posOffset>607060</wp:posOffset>
            </wp:positionH>
            <wp:positionV relativeFrom="paragraph">
              <wp:posOffset>-6985</wp:posOffset>
            </wp:positionV>
            <wp:extent cx="381000" cy="7620"/>
            <wp:effectExtent l="0" t="0" r="0" b="0"/>
            <wp:wrapNone/>
            <wp:docPr id="1034" name="图片 2"/>
            <wp:cNvGraphicFramePr/>
            <a:graphic xmlns:a="http://schemas.openxmlformats.org/drawingml/2006/main">
              <a:graphicData uri="http://schemas.openxmlformats.org/drawingml/2006/picture">
                <pic:pic xmlns:pic="http://schemas.openxmlformats.org/drawingml/2006/picture">
                  <pic:nvPicPr>
                    <pic:cNvPr id="1034" name="图片 2"/>
                    <pic:cNvPicPr/>
                  </pic:nvPicPr>
                  <pic:blipFill>
                    <a:blip r:embed="rId16" cstate="print"/>
                    <a:srcRect/>
                    <a:stretch>
                      <a:fillRect/>
                    </a:stretch>
                  </pic:blipFill>
                  <pic:spPr>
                    <a:xfrm>
                      <a:off x="0" y="0"/>
                      <a:ext cx="381000" cy="7620"/>
                    </a:xfrm>
                    <a:prstGeom prst="rect">
                      <a:avLst/>
                    </a:prstGeom>
                    <a:ln>
                      <a:noFill/>
                    </a:ln>
                  </pic:spPr>
                </pic:pic>
              </a:graphicData>
            </a:graphic>
          </wp:anchor>
        </w:drawing>
      </w:r>
    </w:p>
    <w:p>
      <w:pPr>
        <w:keepNext w:val="0"/>
        <w:keepLines w:val="0"/>
        <w:pageBreakBefore w:val="0"/>
        <w:widowControl/>
        <w:tabs>
          <w:tab w:val="left" w:pos="2640"/>
          <w:tab w:val="left" w:pos="4240"/>
        </w:tabs>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项目采购活动提供由本企业提供服务，或者</w:t>
      </w:r>
      <w:r>
        <w:rPr>
          <w:rFonts w:hint="eastAsia" w:ascii="宋体" w:hAnsi="宋体" w:eastAsia="宋体" w:cs="宋体"/>
          <w:color w:val="auto"/>
          <w:sz w:val="24"/>
          <w:szCs w:val="24"/>
          <w:highlight w:val="none"/>
        </w:rPr>
        <w:drawing>
          <wp:anchor distT="0" distB="0" distL="0" distR="0" simplePos="0" relativeHeight="7168" behindDoc="1" locked="0" layoutInCell="0" allowOverlap="1">
            <wp:simplePos x="0" y="0"/>
            <wp:positionH relativeFrom="column">
              <wp:posOffset>1304925</wp:posOffset>
            </wp:positionH>
            <wp:positionV relativeFrom="paragraph">
              <wp:posOffset>-6985</wp:posOffset>
            </wp:positionV>
            <wp:extent cx="389890" cy="7620"/>
            <wp:effectExtent l="0" t="0" r="0" b="0"/>
            <wp:wrapNone/>
            <wp:docPr id="1035" name="图片 3"/>
            <wp:cNvGraphicFramePr/>
            <a:graphic xmlns:a="http://schemas.openxmlformats.org/drawingml/2006/main">
              <a:graphicData uri="http://schemas.openxmlformats.org/drawingml/2006/picture">
                <pic:pic xmlns:pic="http://schemas.openxmlformats.org/drawingml/2006/picture">
                  <pic:nvPicPr>
                    <pic:cNvPr id="1035" name="图片 3"/>
                    <pic:cNvPicPr/>
                  </pic:nvPicPr>
                  <pic:blipFill>
                    <a:blip r:embed="rId17" cstate="print"/>
                    <a:srcRect/>
                    <a:stretch>
                      <a:fillRect/>
                    </a:stretch>
                  </pic:blipFill>
                  <pic:spPr>
                    <a:xfrm>
                      <a:off x="0" y="0"/>
                      <a:ext cx="389889" cy="7620"/>
                    </a:xfrm>
                    <a:prstGeom prst="rect">
                      <a:avLst/>
                    </a:prstGeom>
                    <a:ln>
                      <a:noFill/>
                    </a:ln>
                  </pic:spPr>
                </pic:pic>
              </a:graphicData>
            </a:graphic>
          </wp:anchor>
        </w:drawing>
      </w:r>
      <w:r>
        <w:rPr>
          <w:rFonts w:hint="eastAsia" w:ascii="宋体" w:hAnsi="宋体" w:eastAsia="宋体" w:cs="宋体"/>
          <w:color w:val="auto"/>
          <w:sz w:val="24"/>
          <w:szCs w:val="24"/>
          <w:highlight w:val="none"/>
        </w:rPr>
        <w:drawing>
          <wp:anchor distT="0" distB="0" distL="0" distR="0" simplePos="0" relativeHeight="7168" behindDoc="1" locked="0" layoutInCell="0" allowOverlap="1">
            <wp:simplePos x="0" y="0"/>
            <wp:positionH relativeFrom="column">
              <wp:posOffset>2156460</wp:posOffset>
            </wp:positionH>
            <wp:positionV relativeFrom="paragraph">
              <wp:posOffset>-6985</wp:posOffset>
            </wp:positionV>
            <wp:extent cx="546100" cy="7620"/>
            <wp:effectExtent l="0" t="0" r="0" b="0"/>
            <wp:wrapNone/>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18" cstate="print"/>
                    <a:srcRect/>
                    <a:stretch>
                      <a:fillRect/>
                    </a:stretch>
                  </pic:blipFill>
                  <pic:spPr>
                    <a:xfrm>
                      <a:off x="0" y="0"/>
                      <a:ext cx="546100" cy="7620"/>
                    </a:xfrm>
                    <a:prstGeom prst="rect">
                      <a:avLst/>
                    </a:prstGeom>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提供其他（请填写：小型、微型）企业制造的货物。本条所称货物不包括使用大型企业注册商标的货物。</w:t>
      </w:r>
    </w:p>
    <w:p>
      <w:pPr>
        <w:keepNext w:val="0"/>
        <w:keepLines w:val="0"/>
        <w:pageBreakBefore w:val="0"/>
        <w:widowControl/>
        <w:kinsoku/>
        <w:wordWrap/>
        <w:overflowPunct/>
        <w:topLinePunct w:val="0"/>
        <w:autoSpaceDE/>
        <w:autoSpaceDN/>
        <w:bidi w:val="0"/>
        <w:adjustRightInd/>
        <w:snapToGrid/>
        <w:spacing w:line="360" w:lineRule="auto"/>
        <w:ind w:right="10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本声明函的供应商必须在响应文件中提供相应的证明材料并对材料的真实性负法律责任。证明材料包括：上一年度的财务报表;从业人员名单及工资发放明细表、完税证明（以上材料与本声明函一起提供原件，不可缺项，或提供由相关部门出具小微企业的证明，现场由见证单位验证审核，无法提供的不作为小微企业认定）</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bidi w:val="0"/>
        <w:rPr>
          <w:rFonts w:hint="default"/>
          <w:lang w:val="en-US" w:eastAsia="zh-CN"/>
        </w:rPr>
      </w:pPr>
      <w:bookmarkStart w:id="133" w:name="_Toc16454"/>
    </w:p>
    <w:p>
      <w:pPr>
        <w:pStyle w:val="3"/>
        <w:jc w:val="center"/>
        <w:rPr>
          <w:rFonts w:hint="eastAsia" w:ascii="宋体" w:hAnsi="宋体" w:eastAsia="宋体" w:cs="宋体"/>
          <w:sz w:val="24"/>
          <w:szCs w:val="24"/>
          <w:lang w:val="en-GB" w:eastAsia="zh-CN"/>
        </w:rPr>
      </w:pPr>
      <w:bookmarkStart w:id="134" w:name="_Toc30378"/>
      <w:r>
        <w:rPr>
          <w:rFonts w:hint="eastAsia" w:ascii="宋体" w:hAnsi="宋体" w:eastAsia="宋体" w:cs="宋体"/>
          <w:sz w:val="24"/>
          <w:szCs w:val="24"/>
          <w:lang w:val="en-GB" w:eastAsia="zh-CN"/>
        </w:rPr>
        <w:t>附件十五、从业人员声明函（如有）</w:t>
      </w:r>
      <w:bookmarkEnd w:id="133"/>
      <w:bookmarkEnd w:id="134"/>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法定代表人或授权代理人代表签字：</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ind w:left="480"/>
        <w:textAlignment w:val="auto"/>
        <w:rPr>
          <w:rFonts w:hint="eastAsia" w:ascii="宋体" w:hAnsi="宋体" w:eastAsia="宋体" w:cs="宋体"/>
          <w:color w:val="auto"/>
          <w:sz w:val="23"/>
          <w:highlight w:val="none"/>
        </w:rPr>
      </w:pPr>
      <w:r>
        <w:rPr>
          <w:rFonts w:hint="eastAsia" w:ascii="宋体" w:hAnsi="宋体" w:eastAsia="宋体" w:cs="宋体"/>
          <w:color w:val="auto"/>
          <w:sz w:val="23"/>
          <w:highlight w:val="none"/>
        </w:rPr>
        <w:t>本公司郑重声明：根据《政府采购促进中小企业发展暂行办法》（财库[2011]181</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号）、《工业和信息部、国家统计局、国家发展和改革委员会、财政部关于印发中小企业划型标准规定的通知》（工信部联企业[2011]300 号）规定，本公司从业人员数为________。</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ind w:left="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pPr>
        <w:pageBreakBefore w:val="0"/>
        <w:kinsoku/>
        <w:wordWrap/>
        <w:overflowPunct/>
        <w:topLinePunct w:val="0"/>
        <w:bidi w:val="0"/>
        <w:spacing w:line="360" w:lineRule="auto"/>
        <w:ind w:left="480"/>
        <w:textAlignment w:val="auto"/>
        <w:rPr>
          <w:rFonts w:hint="eastAsia" w:ascii="宋体" w:hAnsi="宋体" w:eastAsia="宋体" w:cs="宋体"/>
          <w:color w:val="auto"/>
          <w:sz w:val="24"/>
          <w:highlight w:val="none"/>
        </w:rPr>
        <w:sectPr>
          <w:pgSz w:w="11900" w:h="16840"/>
          <w:pgMar w:top="1191" w:right="1304" w:bottom="1020" w:left="1304" w:header="567" w:footer="567" w:gutter="0"/>
          <w:pgNumType w:fmt="decimal"/>
          <w:cols w:equalWidth="0" w:num="1">
            <w:col w:w="8860"/>
          </w:cols>
          <w:rtlGutter w:val="0"/>
          <w:docGrid w:linePitch="360" w:charSpace="0"/>
        </w:sectPr>
      </w:pPr>
    </w:p>
    <w:p>
      <w:pPr>
        <w:pStyle w:val="3"/>
        <w:bidi w:val="0"/>
        <w:jc w:val="center"/>
        <w:rPr>
          <w:rFonts w:hint="eastAsia" w:ascii="宋体" w:hAnsi="宋体" w:eastAsia="宋体" w:cs="宋体"/>
          <w:b/>
          <w:sz w:val="24"/>
          <w:szCs w:val="24"/>
        </w:rPr>
      </w:pPr>
      <w:bookmarkStart w:id="135" w:name="_Toc23494"/>
      <w:r>
        <w:rPr>
          <w:rFonts w:hint="eastAsia" w:ascii="宋体" w:hAnsi="宋体" w:cs="宋体"/>
          <w:b/>
          <w:sz w:val="24"/>
          <w:szCs w:val="24"/>
          <w:lang w:eastAsia="zh-CN"/>
        </w:rPr>
        <w:t>附件十六</w:t>
      </w:r>
      <w:r>
        <w:rPr>
          <w:rFonts w:hint="eastAsia" w:ascii="宋体" w:hAnsi="宋体" w:eastAsia="宋体" w:cs="宋体"/>
          <w:b/>
          <w:sz w:val="24"/>
          <w:szCs w:val="24"/>
          <w:lang w:eastAsia="zh-CN"/>
        </w:rPr>
        <w:t>、</w:t>
      </w:r>
      <w:r>
        <w:rPr>
          <w:rFonts w:hint="eastAsia" w:ascii="宋体" w:hAnsi="宋体" w:eastAsia="宋体" w:cs="宋体"/>
          <w:b/>
          <w:sz w:val="24"/>
          <w:szCs w:val="24"/>
        </w:rPr>
        <w:t>政府采购投标担保函 （</w:t>
      </w:r>
      <w:r>
        <w:rPr>
          <w:rFonts w:hint="eastAsia" w:ascii="宋体" w:hAnsi="宋体" w:eastAsia="宋体" w:cs="宋体"/>
          <w:b/>
          <w:sz w:val="24"/>
          <w:szCs w:val="24"/>
          <w:lang w:eastAsia="zh-CN"/>
        </w:rPr>
        <w:t>如需</w:t>
      </w:r>
      <w:r>
        <w:rPr>
          <w:rFonts w:hint="eastAsia" w:ascii="宋体" w:hAnsi="宋体" w:eastAsia="宋体" w:cs="宋体"/>
          <w:b/>
          <w:sz w:val="24"/>
          <w:szCs w:val="24"/>
        </w:rPr>
        <w:t>）</w:t>
      </w:r>
      <w:bookmarkEnd w:id="13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编号：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（采购人或采购代理机构）：</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（以下简称“投标人”）拟参加编号为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一、保证责任的情形及保证金额</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（一）在投标人出现下列情形之一时，我方承担保证责任：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1．中标后投标人无正当理由不与采购人或者采购代理机构签订《政府采购合同》；</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2．招标文件规定的投标人应当缴纳保证金的其他情形。</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（二）我方承担保证责任的最高金额为人民币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），即本项目的投标保证金金额。</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二、保证的方式及保证期间</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我方保证的方式为：连带责任保证。</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我方的保证期间为：自本保函生效之日起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个月止。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三、承担保证责任的程序</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2．我方在收到索赔通知及相关证明材料后，在</w:t>
      </w:r>
      <w:r>
        <w:rPr>
          <w:rFonts w:hint="eastAsia" w:ascii="宋体" w:hAnsi="宋体" w:eastAsia="宋体" w:cs="宋体"/>
          <w:sz w:val="24"/>
          <w:szCs w:val="24"/>
          <w:u w:val="single"/>
        </w:rPr>
        <w:t>　　　</w:t>
      </w:r>
      <w:r>
        <w:rPr>
          <w:rFonts w:hint="eastAsia" w:ascii="宋体" w:hAnsi="宋体" w:eastAsia="宋体" w:cs="宋体"/>
          <w:sz w:val="24"/>
          <w:szCs w:val="24"/>
        </w:rPr>
        <w:t>个工作日内进行审查，符合应承担保证责任情形的，我方应按照你方的要求代投标人向你方支付投标保证金。</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四、保证责任的终止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1．保证期间届满你方未向我方书面主张保证责任的，自保证期间届满次日起，我方保证责任自动终止。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2．我方按照本保函向你贵方履行了保证责任后，自我方向你贵方支付款项（支付款项从我方账户划出）之日起，保证责任终止。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3．按照法律法规的规定或出现我方保证责任终止的其它情形的，我方在本保函项下的保证责任亦终止。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五、免责条款</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1．依照法律规定或你方与投标人的另行约定，全部或者部分免除投标人投标保证金义务时，我方亦免除相应的保证责任。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2．因你方原因致使投标人发生本保函第一条第（一）款约定情形的，我方不承担保证责任。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3．因不可抗力造成投标人发生本保函第一条约定情形的，我方不承担保证责任。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4．你方或其他有权机关对招标文件进行任何澄清或修改，加重我方保证责任的，我方对加重部分不承担保证责任，但该澄清或修改经我方事先书面同意的除外。</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六、争议的解决</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因本保函发生的纠纷，由你我双方协商解决，协商不成的，通过诉讼程序解决，诉讼管辖地法院为</w:t>
      </w:r>
      <w:r>
        <w:rPr>
          <w:rFonts w:hint="eastAsia" w:ascii="宋体" w:hAnsi="宋体" w:eastAsia="宋体" w:cs="宋体"/>
          <w:sz w:val="24"/>
          <w:szCs w:val="24"/>
          <w:u w:val="single"/>
        </w:rPr>
        <w:t xml:space="preserve">          </w:t>
      </w:r>
      <w:r>
        <w:rPr>
          <w:rFonts w:hint="eastAsia" w:ascii="宋体" w:hAnsi="宋体" w:eastAsia="宋体" w:cs="宋体"/>
          <w:sz w:val="24"/>
          <w:szCs w:val="24"/>
        </w:rPr>
        <w:t>法院。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七、保函的生效</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本保函自我方加盖公章之日起生效。</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rPr>
      </w:pP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保证人：（公章）</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年     月      日</w:t>
      </w:r>
    </w:p>
    <w:p>
      <w:pPr>
        <w:pStyle w:val="4"/>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lang w:eastAsia="zh-CN"/>
        </w:rPr>
        <w:sectPr>
          <w:pgSz w:w="11900" w:h="16840"/>
          <w:pgMar w:top="1191" w:right="1304" w:bottom="1020" w:left="1304" w:header="567" w:footer="567" w:gutter="0"/>
          <w:pgNumType w:fmt="decimal"/>
          <w:cols w:equalWidth="0" w:num="1">
            <w:col w:w="8860"/>
          </w:cols>
          <w:rtlGutter w:val="0"/>
          <w:docGrid w:linePitch="360" w:charSpace="0"/>
        </w:sectPr>
      </w:pPr>
    </w:p>
    <w:p>
      <w:pPr>
        <w:pStyle w:val="3"/>
        <w:jc w:val="center"/>
        <w:rPr>
          <w:rFonts w:hint="eastAsia" w:ascii="宋体" w:hAnsi="宋体" w:eastAsia="宋体" w:cs="宋体"/>
          <w:sz w:val="24"/>
          <w:szCs w:val="24"/>
          <w:lang w:val="en-GB" w:eastAsia="zh-CN"/>
        </w:rPr>
      </w:pPr>
      <w:bookmarkStart w:id="136" w:name="_Toc26221"/>
      <w:r>
        <w:rPr>
          <w:rFonts w:hint="eastAsia" w:ascii="宋体" w:hAnsi="宋体" w:eastAsia="宋体" w:cs="宋体"/>
          <w:sz w:val="24"/>
          <w:szCs w:val="24"/>
          <w:lang w:eastAsia="zh-CN"/>
        </w:rPr>
        <w:t>附件十</w:t>
      </w:r>
      <w:r>
        <w:rPr>
          <w:rFonts w:hint="eastAsia" w:ascii="宋体" w:hAnsi="宋体" w:cs="宋体"/>
          <w:sz w:val="24"/>
          <w:szCs w:val="24"/>
          <w:lang w:eastAsia="zh-CN"/>
        </w:rPr>
        <w:t>七</w:t>
      </w:r>
      <w:r>
        <w:rPr>
          <w:rFonts w:hint="eastAsia" w:ascii="宋体" w:hAnsi="宋体" w:eastAsia="宋体" w:cs="宋体"/>
          <w:sz w:val="24"/>
          <w:szCs w:val="24"/>
          <w:lang w:eastAsia="zh-CN"/>
        </w:rPr>
        <w:t>、</w:t>
      </w:r>
      <w:r>
        <w:rPr>
          <w:rFonts w:hint="eastAsia" w:ascii="宋体" w:hAnsi="宋体" w:eastAsia="宋体" w:cs="宋体"/>
          <w:sz w:val="24"/>
          <w:szCs w:val="24"/>
          <w:lang w:val="en-GB" w:eastAsia="zh-CN"/>
        </w:rPr>
        <w:t>封面及密封包格式</w:t>
      </w:r>
      <w:bookmarkEnd w:id="136"/>
    </w:p>
    <w:tbl>
      <w:tblPr>
        <w:tblStyle w:val="23"/>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jc w:val="center"/>
        </w:trPr>
        <w:tc>
          <w:tcPr>
            <w:tcW w:w="4590"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（正本）</w:t>
            </w: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投标文件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91"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（副本）</w:t>
            </w: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投标文件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overflowPunct/>
        <w:topLinePunct w:val="0"/>
        <w:bidi w:val="0"/>
        <w:spacing w:line="360" w:lineRule="auto"/>
        <w:ind w:firstLine="723" w:firstLineChars="300"/>
        <w:jc w:val="center"/>
        <w:textAlignment w:val="auto"/>
        <w:rPr>
          <w:rFonts w:hint="eastAsia" w:ascii="宋体" w:hAnsi="宋体" w:eastAsia="宋体" w:cs="宋体"/>
          <w:b/>
          <w:bCs/>
          <w:color w:val="auto"/>
          <w:sz w:val="24"/>
          <w:szCs w:val="24"/>
          <w:highlight w:val="none"/>
        </w:rPr>
      </w:pPr>
    </w:p>
    <w:tbl>
      <w:tblPr>
        <w:tblStyle w:val="2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2"/>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jc w:val="center"/>
        </w:trPr>
        <w:tc>
          <w:tcPr>
            <w:tcW w:w="4572"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唱标单</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72" w:type="dxa"/>
            <w:vAlign w:val="center"/>
          </w:tcPr>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电子版</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overflowPunct/>
        <w:topLinePunct w:val="0"/>
        <w:bidi w:val="0"/>
        <w:spacing w:line="360" w:lineRule="auto"/>
        <w:ind w:firstLine="723" w:firstLineChars="300"/>
        <w:jc w:val="center"/>
        <w:textAlignment w:val="auto"/>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auto"/>
        <w:jc w:val="center"/>
        <w:textAlignment w:val="auto"/>
        <w:rPr>
          <w:rFonts w:hint="eastAsia" w:ascii="宋体" w:hAnsi="宋体" w:eastAsia="宋体" w:cs="宋体"/>
          <w:b w:val="0"/>
          <w:bCs w:val="0"/>
          <w:color w:val="auto"/>
          <w:sz w:val="24"/>
          <w:szCs w:val="24"/>
          <w:highlight w:val="none"/>
        </w:rPr>
      </w:pPr>
      <w:bookmarkStart w:id="137" w:name="_Toc11521_WPSOffice_Level2"/>
      <w:bookmarkStart w:id="138" w:name="_Toc12256_WPSOffice_Level2"/>
      <w:r>
        <w:rPr>
          <w:rFonts w:hint="eastAsia" w:ascii="宋体" w:hAnsi="宋体" w:eastAsia="宋体" w:cs="宋体"/>
          <w:b/>
          <w:bCs/>
          <w:color w:val="auto"/>
          <w:sz w:val="24"/>
          <w:szCs w:val="24"/>
          <w:highlight w:val="none"/>
        </w:rPr>
        <w:t>封口格式：</w:t>
      </w:r>
      <w:bookmarkEnd w:id="137"/>
      <w:bookmarkEnd w:id="138"/>
    </w:p>
    <w:tbl>
      <w:tblPr>
        <w:tblStyle w:val="23"/>
        <w:tblW w:w="9162"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0" w:hRule="atLeast"/>
          <w:jc w:val="center"/>
        </w:trPr>
        <w:tc>
          <w:tcPr>
            <w:tcW w:w="9162"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于     年   月    日    之前不准启封（公章）</w:t>
            </w:r>
            <w:r>
              <w:rPr>
                <w:rFonts w:hint="eastAsia" w:ascii="宋体" w:hAnsi="宋体" w:eastAsia="宋体" w:cs="宋体"/>
                <w:b/>
                <w:bCs/>
                <w:color w:val="auto"/>
                <w:sz w:val="24"/>
                <w:szCs w:val="24"/>
                <w:highlight w:val="none"/>
              </w:rPr>
              <w:t>......</w:t>
            </w:r>
          </w:p>
        </w:tc>
      </w:tr>
    </w:tbl>
    <w:p>
      <w:pPr>
        <w:pageBreakBefore w:val="0"/>
        <w:tabs>
          <w:tab w:val="left" w:pos="3520"/>
        </w:tabs>
        <w:kinsoku/>
        <w:wordWrap/>
        <w:overflowPunct/>
        <w:topLinePunct w:val="0"/>
        <w:bidi w:val="0"/>
        <w:spacing w:line="360" w:lineRule="auto"/>
        <w:ind w:left="1720"/>
        <w:textAlignment w:val="auto"/>
        <w:rPr>
          <w:rFonts w:hint="eastAsia" w:ascii="宋体" w:hAnsi="宋体" w:eastAsia="宋体" w:cs="宋体"/>
          <w:b/>
          <w:color w:val="auto"/>
          <w:sz w:val="24"/>
          <w:szCs w:val="24"/>
          <w:highlight w:val="none"/>
          <w:lang w:eastAsia="zh-CN"/>
        </w:rPr>
      </w:pPr>
    </w:p>
    <w:p>
      <w:pPr>
        <w:pageBreakBefore w:val="0"/>
        <w:tabs>
          <w:tab w:val="left" w:pos="3520"/>
        </w:tabs>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p>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30"/>
        <w:rPr>
          <w:rFonts w:hint="eastAsia"/>
          <w:lang w:val="en-US" w:eastAsia="zh-CN"/>
        </w:rPr>
      </w:pPr>
    </w:p>
    <w:p>
      <w:pPr>
        <w:pageBreakBefore w:val="0"/>
        <w:kinsoku/>
        <w:wordWrap/>
        <w:overflowPunct/>
        <w:topLinePunct w:val="0"/>
        <w:bidi w:val="0"/>
        <w:spacing w:line="360" w:lineRule="auto"/>
        <w:jc w:val="center"/>
        <w:textAlignment w:val="auto"/>
        <w:rPr>
          <w:rStyle w:val="25"/>
          <w:rFonts w:hint="eastAsia" w:ascii="宋体" w:hAnsi="宋体" w:eastAsia="宋体" w:cs="宋体"/>
          <w:color w:val="auto"/>
          <w:spacing w:val="0"/>
          <w:sz w:val="24"/>
          <w:szCs w:val="24"/>
          <w:highlight w:val="none"/>
          <w:lang w:val="en-US" w:eastAsia="zh-CN"/>
        </w:rPr>
      </w:pPr>
      <w:bookmarkStart w:id="139" w:name="_Toc17026_WPSOffice_Level2"/>
      <w:bookmarkStart w:id="140" w:name="_Toc5378_WPSOffice_Level2"/>
      <w:r>
        <w:rPr>
          <w:rFonts w:hint="eastAsia" w:ascii="宋体" w:hAnsi="宋体" w:eastAsia="宋体" w:cs="宋体"/>
          <w:b/>
          <w:bCs/>
          <w:color w:val="auto"/>
          <w:kern w:val="2"/>
          <w:sz w:val="24"/>
          <w:szCs w:val="24"/>
          <w:highlight w:val="none"/>
          <w:lang w:val="en-US" w:eastAsia="zh-CN" w:bidi="ar-SA"/>
        </w:rPr>
        <w:t>投标文件书脊</w:t>
      </w:r>
      <w:r>
        <w:rPr>
          <w:rStyle w:val="25"/>
          <w:rFonts w:hint="eastAsia" w:ascii="宋体" w:hAnsi="宋体" w:eastAsia="宋体" w:cs="宋体"/>
          <w:color w:val="auto"/>
          <w:spacing w:val="0"/>
          <w:sz w:val="24"/>
          <w:szCs w:val="24"/>
          <w:highlight w:val="none"/>
        </w:rPr>
        <w:cr/>
      </w:r>
      <w:r>
        <w:rPr>
          <w:rStyle w:val="25"/>
          <w:rFonts w:hint="eastAsia" w:ascii="宋体" w:hAnsi="宋体" w:eastAsia="宋体" w:cs="宋体"/>
          <w:color w:val="auto"/>
          <w:spacing w:val="0"/>
          <w:sz w:val="24"/>
          <w:szCs w:val="24"/>
          <w:highlight w:val="none"/>
        </w:rPr>
        <w:t>各投标单位，书脊内容请按照以下格式填写</w:t>
      </w:r>
      <w:r>
        <w:rPr>
          <w:rStyle w:val="25"/>
          <w:rFonts w:hint="eastAsia" w:ascii="宋体" w:hAnsi="宋体" w:eastAsia="宋体" w:cs="宋体"/>
          <w:color w:val="auto"/>
          <w:spacing w:val="0"/>
          <w:sz w:val="24"/>
          <w:szCs w:val="24"/>
          <w:highlight w:val="none"/>
          <w:lang w:eastAsia="zh-CN"/>
        </w:rPr>
        <w:t>：</w:t>
      </w:r>
      <w:bookmarkEnd w:id="139"/>
      <w:bookmarkEnd w:id="140"/>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88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3842" w:type="dxa"/>
          </w:tcPr>
          <w:p>
            <w:pPr>
              <w:pStyle w:val="38"/>
              <w:pageBreakBefore w:val="0"/>
              <w:widowControl w:val="0"/>
              <w:kinsoku/>
              <w:wordWrap/>
              <w:overflowPunct/>
              <w:topLinePunct w:val="0"/>
              <w:bidi w:val="0"/>
              <w:spacing w:before="381" w:after="0" w:line="360" w:lineRule="auto"/>
              <w:ind w:right="0"/>
              <w:jc w:val="left"/>
              <w:textAlignment w:val="auto"/>
              <w:rPr>
                <w:rStyle w:val="25"/>
                <w:rFonts w:hint="eastAsia" w:ascii="宋体" w:hAnsi="宋体" w:eastAsia="宋体" w:cs="宋体"/>
                <w:color w:val="auto"/>
                <w:spacing w:val="0"/>
                <w:sz w:val="24"/>
                <w:szCs w:val="24"/>
                <w:highlight w:val="none"/>
                <w:vertAlign w:val="baseline"/>
                <w:lang w:val="en-US" w:eastAsia="zh-CN"/>
              </w:rPr>
            </w:pPr>
            <w:r>
              <w:rPr>
                <w:rStyle w:val="25"/>
                <w:rFonts w:hint="eastAsia" w:ascii="宋体" w:hAnsi="宋体" w:eastAsia="宋体" w:cs="宋体"/>
                <w:color w:val="auto"/>
                <w:spacing w:val="0"/>
                <w:sz w:val="24"/>
                <w:szCs w:val="24"/>
                <w:highlight w:val="none"/>
                <w:vertAlign w:val="baseline"/>
                <w:lang w:val="en-US" w:eastAsia="zh-CN"/>
              </w:rPr>
              <w:t xml:space="preserve">       </w:t>
            </w:r>
          </w:p>
          <w:p>
            <w:pPr>
              <w:pStyle w:val="38"/>
              <w:pageBreakBefore w:val="0"/>
              <w:widowControl w:val="0"/>
              <w:kinsoku/>
              <w:wordWrap/>
              <w:overflowPunct/>
              <w:topLinePunct w:val="0"/>
              <w:bidi w:val="0"/>
              <w:spacing w:before="381" w:after="0" w:line="360" w:lineRule="auto"/>
              <w:ind w:right="0" w:firstLine="1680" w:firstLineChars="700"/>
              <w:jc w:val="left"/>
              <w:textAlignment w:val="auto"/>
              <w:rPr>
                <w:rStyle w:val="25"/>
                <w:rFonts w:hint="eastAsia" w:ascii="宋体" w:hAnsi="宋体" w:eastAsia="宋体" w:cs="宋体"/>
                <w:color w:val="auto"/>
                <w:spacing w:val="0"/>
                <w:sz w:val="24"/>
                <w:szCs w:val="24"/>
                <w:highlight w:val="none"/>
                <w:vertAlign w:val="baseline"/>
                <w:lang w:val="en-US" w:eastAsia="zh-CN"/>
              </w:rPr>
            </w:pPr>
            <w:r>
              <w:rPr>
                <w:rStyle w:val="25"/>
                <w:rFonts w:hint="eastAsia" w:ascii="宋体" w:hAnsi="宋体" w:eastAsia="宋体" w:cs="宋体"/>
                <w:color w:val="auto"/>
                <w:spacing w:val="0"/>
                <w:sz w:val="24"/>
                <w:szCs w:val="24"/>
                <w:highlight w:val="none"/>
                <w:vertAlign w:val="baseline"/>
                <w:lang w:val="en-US" w:eastAsia="zh-CN"/>
              </w:rPr>
              <w:t>标书背面</w:t>
            </w:r>
          </w:p>
        </w:tc>
        <w:tc>
          <w:tcPr>
            <w:tcW w:w="885" w:type="dxa"/>
          </w:tcPr>
          <w:p>
            <w:pPr>
              <w:pStyle w:val="38"/>
              <w:pageBreakBefore w:val="0"/>
              <w:widowControl w:val="0"/>
              <w:kinsoku/>
              <w:wordWrap/>
              <w:overflowPunct/>
              <w:topLinePunct w:val="0"/>
              <w:bidi w:val="0"/>
              <w:spacing w:before="381" w:after="0" w:line="360" w:lineRule="auto"/>
              <w:jc w:val="left"/>
              <w:textAlignment w:val="auto"/>
              <w:rPr>
                <w:rStyle w:val="25"/>
                <w:rFonts w:hint="eastAsia" w:ascii="宋体" w:hAnsi="宋体" w:eastAsia="宋体" w:cs="宋体"/>
                <w:color w:val="auto"/>
                <w:spacing w:val="0"/>
                <w:sz w:val="24"/>
                <w:szCs w:val="24"/>
                <w:highlight w:val="none"/>
                <w:vertAlign w:val="baseline"/>
                <w:lang w:val="en-US" w:eastAsia="zh-CN"/>
              </w:rPr>
            </w:pPr>
            <w:r>
              <w:rPr>
                <w:rStyle w:val="25"/>
                <w:rFonts w:hint="eastAsia" w:ascii="宋体" w:hAnsi="宋体" w:eastAsia="宋体" w:cs="宋体"/>
                <w:color w:val="auto"/>
                <w:spacing w:val="0"/>
                <w:sz w:val="24"/>
                <w:szCs w:val="24"/>
                <w:highlight w:val="none"/>
                <w:vertAlign w:val="baseline"/>
                <w:lang w:val="en-US" w:eastAsia="zh-CN"/>
              </w:rPr>
              <w:t xml:space="preserve">正本（副本）     </w:t>
            </w:r>
          </w:p>
          <w:p>
            <w:pPr>
              <w:pStyle w:val="38"/>
              <w:pageBreakBefore w:val="0"/>
              <w:widowControl w:val="0"/>
              <w:kinsoku/>
              <w:wordWrap/>
              <w:overflowPunct/>
              <w:topLinePunct w:val="0"/>
              <w:bidi w:val="0"/>
              <w:spacing w:before="381" w:after="0" w:line="360" w:lineRule="auto"/>
              <w:ind w:left="200" w:leftChars="100" w:firstLine="480" w:firstLineChars="200"/>
              <w:jc w:val="left"/>
              <w:textAlignment w:val="auto"/>
              <w:rPr>
                <w:rStyle w:val="25"/>
                <w:rFonts w:hint="eastAsia" w:ascii="宋体" w:hAnsi="宋体" w:eastAsia="宋体" w:cs="宋体"/>
                <w:color w:val="auto"/>
                <w:spacing w:val="0"/>
                <w:sz w:val="24"/>
                <w:szCs w:val="24"/>
                <w:highlight w:val="none"/>
                <w:vertAlign w:val="baseline"/>
                <w:lang w:val="en-US" w:eastAsia="zh-CN"/>
              </w:rPr>
            </w:pPr>
            <w:r>
              <w:rPr>
                <w:rStyle w:val="25"/>
                <w:rFonts w:hint="eastAsia" w:ascii="宋体" w:hAnsi="宋体" w:eastAsia="宋体" w:cs="宋体"/>
                <w:color w:val="auto"/>
                <w:spacing w:val="0"/>
                <w:sz w:val="24"/>
                <w:szCs w:val="24"/>
                <w:highlight w:val="none"/>
                <w:vertAlign w:val="baseline"/>
                <w:lang w:val="en-US" w:eastAsia="zh-CN"/>
              </w:rPr>
              <w:t xml:space="preserve"> 项  目   名  称     </w:t>
            </w:r>
          </w:p>
          <w:p>
            <w:pPr>
              <w:pStyle w:val="38"/>
              <w:pageBreakBefore w:val="0"/>
              <w:widowControl w:val="0"/>
              <w:kinsoku/>
              <w:wordWrap/>
              <w:overflowPunct/>
              <w:topLinePunct w:val="0"/>
              <w:bidi w:val="0"/>
              <w:spacing w:before="381" w:after="0" w:line="360" w:lineRule="auto"/>
              <w:ind w:left="200" w:leftChars="100" w:firstLine="0" w:firstLineChars="0"/>
              <w:jc w:val="left"/>
              <w:textAlignment w:val="auto"/>
              <w:rPr>
                <w:rStyle w:val="25"/>
                <w:rFonts w:hint="eastAsia" w:ascii="宋体" w:hAnsi="宋体" w:eastAsia="宋体" w:cs="宋体"/>
                <w:color w:val="auto"/>
                <w:spacing w:val="0"/>
                <w:sz w:val="24"/>
                <w:szCs w:val="24"/>
                <w:highlight w:val="none"/>
                <w:vertAlign w:val="baseline"/>
                <w:lang w:val="en-US" w:eastAsia="zh-CN"/>
              </w:rPr>
            </w:pPr>
            <w:r>
              <w:rPr>
                <w:rStyle w:val="25"/>
                <w:rFonts w:hint="eastAsia" w:ascii="宋体" w:hAnsi="宋体" w:eastAsia="宋体" w:cs="宋体"/>
                <w:color w:val="auto"/>
                <w:spacing w:val="0"/>
                <w:sz w:val="24"/>
                <w:szCs w:val="24"/>
                <w:highlight w:val="none"/>
                <w:vertAlign w:val="baseline"/>
                <w:lang w:val="en-US" w:eastAsia="zh-CN"/>
              </w:rPr>
              <w:t xml:space="preserve">投  标  单  位  名  称               </w:t>
            </w:r>
            <w:r>
              <w:rPr>
                <w:rStyle w:val="25"/>
                <w:rFonts w:hint="eastAsia" w:ascii="宋体" w:hAnsi="宋体" w:eastAsia="宋体" w:cs="宋体"/>
                <w:color w:val="auto"/>
                <w:spacing w:val="0"/>
                <w:sz w:val="24"/>
                <w:szCs w:val="24"/>
                <w:highlight w:val="none"/>
                <w:lang w:val="en-US" w:eastAsia="zh-CN"/>
              </w:rPr>
              <w:t xml:space="preserve">            </w:t>
            </w:r>
          </w:p>
        </w:tc>
        <w:tc>
          <w:tcPr>
            <w:tcW w:w="3795" w:type="dxa"/>
          </w:tcPr>
          <w:p>
            <w:pPr>
              <w:pStyle w:val="38"/>
              <w:pageBreakBefore w:val="0"/>
              <w:widowControl w:val="0"/>
              <w:kinsoku/>
              <w:wordWrap/>
              <w:overflowPunct/>
              <w:topLinePunct w:val="0"/>
              <w:bidi w:val="0"/>
              <w:spacing w:before="381" w:after="0" w:line="360" w:lineRule="auto"/>
              <w:ind w:right="0" w:firstLine="48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w:t>
            </w:r>
          </w:p>
          <w:p>
            <w:pPr>
              <w:pStyle w:val="38"/>
              <w:pageBreakBefore w:val="0"/>
              <w:widowControl w:val="0"/>
              <w:kinsoku/>
              <w:wordWrap/>
              <w:overflowPunct/>
              <w:topLinePunct w:val="0"/>
              <w:bidi w:val="0"/>
              <w:spacing w:before="381" w:after="0" w:line="360" w:lineRule="auto"/>
              <w:ind w:right="0" w:firstLine="48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正</w:t>
            </w:r>
            <w:r>
              <w:rPr>
                <w:rFonts w:hint="eastAsia" w:ascii="宋体" w:hAnsi="宋体" w:eastAsia="宋体" w:cs="宋体"/>
                <w:color w:val="auto"/>
                <w:sz w:val="24"/>
                <w:szCs w:val="24"/>
                <w:highlight w:val="none"/>
                <w:lang w:val="en-US" w:eastAsia="zh-CN"/>
              </w:rPr>
              <w:t>/副本</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Style w:val="32"/>
              <w:widowControl w:val="0"/>
              <w:ind w:left="0" w:leftChars="0" w:firstLine="0" w:firstLineChars="0"/>
              <w:jc w:val="both"/>
              <w:rPr>
                <w:rStyle w:val="25"/>
                <w:rFonts w:hint="eastAsia" w:ascii="宋体" w:hAnsi="宋体" w:eastAsia="宋体" w:cs="宋体"/>
                <w:color w:val="auto"/>
                <w:spacing w:val="0"/>
                <w:sz w:val="24"/>
                <w:szCs w:val="24"/>
                <w:highlight w:val="none"/>
                <w:vertAlign w:val="baseli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w:t>
            </w:r>
          </w:p>
        </w:tc>
      </w:tr>
    </w:tbl>
    <w:p>
      <w:pPr>
        <w:pStyle w:val="38"/>
        <w:pageBreakBefore w:val="0"/>
        <w:kinsoku/>
        <w:wordWrap/>
        <w:overflowPunct/>
        <w:topLinePunct w:val="0"/>
        <w:bidi w:val="0"/>
        <w:spacing w:before="381" w:after="0" w:line="360" w:lineRule="auto"/>
        <w:ind w:right="0"/>
        <w:jc w:val="left"/>
        <w:textAlignment w:val="auto"/>
        <w:rPr>
          <w:rStyle w:val="25"/>
          <w:rFonts w:hint="eastAsia" w:ascii="宋体" w:hAnsi="宋体" w:eastAsia="宋体" w:cs="宋体"/>
          <w:color w:val="auto"/>
          <w:spacing w:val="0"/>
          <w:sz w:val="24"/>
          <w:szCs w:val="24"/>
          <w:highlight w:val="none"/>
          <w:lang w:val="en-US" w:eastAsia="zh-CN"/>
        </w:rPr>
      </w:pPr>
    </w:p>
    <w:p>
      <w:pPr>
        <w:pageBreakBefore w:val="0"/>
        <w:kinsoku/>
        <w:wordWrap/>
        <w:overflowPunct/>
        <w:topLinePunct w:val="0"/>
        <w:bidi w:val="0"/>
        <w:spacing w:line="360" w:lineRule="auto"/>
        <w:ind w:firstLine="463"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注：书脊内容从上到下分别是：正（副）本、项目名称、投标单位名称。</w:t>
      </w:r>
    </w:p>
    <w:p>
      <w:pPr>
        <w:pStyle w:val="8"/>
        <w:spacing w:line="360" w:lineRule="auto"/>
        <w:ind w:right="270" w:rightChars="135"/>
        <w:jc w:val="center"/>
        <w:rPr>
          <w:rFonts w:hint="eastAsia" w:ascii="宋体" w:hAnsi="宋体" w:eastAsia="宋体" w:cs="宋体"/>
          <w:b/>
          <w:sz w:val="24"/>
          <w:szCs w:val="24"/>
          <w:lang w:val="en-US" w:eastAsia="zh-CN"/>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kern w:val="0"/>
          <w:sz w:val="24"/>
          <w:szCs w:val="24"/>
        </w:rPr>
      </w:pPr>
      <w:bookmarkStart w:id="141" w:name="_Toc525723074"/>
    </w:p>
    <w:bookmarkEnd w:id="141"/>
    <w:p>
      <w:pPr>
        <w:pStyle w:val="30"/>
        <w:ind w:left="0" w:leftChars="0" w:firstLine="0" w:firstLineChars="0"/>
        <w:rPr>
          <w:rFonts w:hint="eastAsia" w:ascii="宋体" w:hAnsi="宋体" w:eastAsia="宋体" w:cs="宋体"/>
          <w:bCs/>
          <w:sz w:val="24"/>
          <w:szCs w:val="24"/>
        </w:rPr>
      </w:pPr>
    </w:p>
    <w:p>
      <w:pPr>
        <w:pStyle w:val="30"/>
        <w:ind w:left="0" w:leftChars="0" w:firstLine="0" w:firstLineChars="0"/>
        <w:rPr>
          <w:rFonts w:hint="eastAsia" w:ascii="宋体" w:hAnsi="宋体" w:eastAsia="宋体" w:cs="宋体"/>
          <w:bCs/>
          <w:sz w:val="24"/>
          <w:szCs w:val="24"/>
        </w:rPr>
      </w:pPr>
    </w:p>
    <w:p>
      <w:pPr>
        <w:pStyle w:val="30"/>
        <w:ind w:left="0" w:leftChars="0" w:firstLine="0" w:firstLineChars="0"/>
        <w:rPr>
          <w:rFonts w:hint="eastAsia" w:ascii="宋体" w:hAnsi="宋体" w:eastAsia="宋体" w:cs="宋体"/>
          <w:bCs/>
          <w:sz w:val="24"/>
          <w:szCs w:val="24"/>
        </w:rPr>
      </w:pPr>
    </w:p>
    <w:p>
      <w:pPr>
        <w:pStyle w:val="30"/>
        <w:ind w:left="0" w:leftChars="0" w:firstLine="0" w:firstLineChars="0"/>
        <w:rPr>
          <w:rFonts w:hint="eastAsia" w:ascii="宋体" w:hAnsi="宋体" w:eastAsia="宋体" w:cs="宋体"/>
          <w:bCs/>
          <w:sz w:val="24"/>
          <w:szCs w:val="24"/>
        </w:rPr>
      </w:pPr>
    </w:p>
    <w:p>
      <w:pPr>
        <w:pStyle w:val="30"/>
        <w:rPr>
          <w:rFonts w:hint="eastAsia" w:ascii="宋体" w:hAnsi="宋体" w:eastAsia="宋体" w:cs="宋体"/>
          <w:bCs/>
          <w:sz w:val="24"/>
          <w:szCs w:val="24"/>
        </w:rPr>
      </w:pPr>
    </w:p>
    <w:p>
      <w:pPr>
        <w:pStyle w:val="3"/>
        <w:jc w:val="center"/>
        <w:rPr>
          <w:rFonts w:hint="eastAsia" w:ascii="宋体" w:hAnsi="宋体" w:eastAsia="宋体" w:cs="宋体"/>
          <w:sz w:val="24"/>
          <w:szCs w:val="24"/>
          <w:lang w:val="en-US" w:eastAsia="zh-CN"/>
        </w:rPr>
      </w:pPr>
      <w:bookmarkStart w:id="142" w:name="_Toc6838"/>
      <w:r>
        <w:rPr>
          <w:rFonts w:hint="eastAsia" w:ascii="宋体" w:hAnsi="宋体" w:eastAsia="宋体" w:cs="宋体"/>
          <w:sz w:val="24"/>
          <w:szCs w:val="24"/>
          <w:lang w:val="en-US" w:eastAsia="zh-CN"/>
        </w:rPr>
        <w:t>附件十</w:t>
      </w:r>
      <w:r>
        <w:rPr>
          <w:rFonts w:hint="eastAsia" w:ascii="宋体" w:hAnsi="宋体" w:cs="宋体"/>
          <w:sz w:val="24"/>
          <w:szCs w:val="24"/>
          <w:lang w:val="en-US" w:eastAsia="zh-CN"/>
        </w:rPr>
        <w:t>八</w:t>
      </w:r>
      <w:r>
        <w:rPr>
          <w:rFonts w:hint="eastAsia" w:ascii="宋体" w:hAnsi="宋体" w:eastAsia="宋体" w:cs="宋体"/>
          <w:sz w:val="24"/>
          <w:szCs w:val="24"/>
          <w:lang w:val="en-US" w:eastAsia="zh-CN"/>
        </w:rPr>
        <w:t>、评分细则</w:t>
      </w:r>
      <w:bookmarkEnd w:id="142"/>
    </w:p>
    <w:tbl>
      <w:tblPr>
        <w:tblStyle w:val="23"/>
        <w:tblW w:w="9108" w:type="dxa"/>
        <w:jc w:val="center"/>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83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1275"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830"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具体标准</w:t>
            </w:r>
          </w:p>
        </w:tc>
        <w:tc>
          <w:tcPr>
            <w:tcW w:w="100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7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价格部分采用低价优先法计算，即满足</w:t>
            </w:r>
            <w:r>
              <w:rPr>
                <w:rFonts w:hint="eastAsia" w:ascii="宋体" w:hAnsi="宋体" w:eastAsia="宋体" w:cs="宋体"/>
                <w:sz w:val="24"/>
                <w:szCs w:val="24"/>
                <w:lang w:eastAsia="zh-CN"/>
              </w:rPr>
              <w:t>招标</w:t>
            </w:r>
            <w:r>
              <w:rPr>
                <w:rFonts w:hint="eastAsia" w:ascii="宋体" w:hAnsi="宋体" w:eastAsia="宋体" w:cs="宋体"/>
                <w:sz w:val="24"/>
                <w:szCs w:val="24"/>
              </w:rPr>
              <w:t>文件要求且</w:t>
            </w:r>
            <w:r>
              <w:rPr>
                <w:rFonts w:hint="eastAsia" w:ascii="宋体" w:hAnsi="宋体" w:eastAsia="宋体" w:cs="宋体"/>
                <w:sz w:val="24"/>
                <w:szCs w:val="24"/>
                <w:lang w:eastAsia="zh-CN"/>
              </w:rPr>
              <w:t>总</w:t>
            </w:r>
            <w:r>
              <w:rPr>
                <w:rFonts w:hint="eastAsia" w:ascii="宋体" w:hAnsi="宋体" w:eastAsia="宋体" w:cs="宋体"/>
                <w:sz w:val="24"/>
                <w:szCs w:val="24"/>
              </w:rPr>
              <w:t>报价最低的供应商价格为</w:t>
            </w:r>
            <w:r>
              <w:rPr>
                <w:rFonts w:hint="eastAsia" w:ascii="宋体" w:hAnsi="宋体" w:eastAsia="宋体" w:cs="宋体"/>
                <w:sz w:val="24"/>
                <w:szCs w:val="24"/>
                <w:lang w:eastAsia="zh-CN"/>
              </w:rPr>
              <w:t>评标</w:t>
            </w:r>
            <w:r>
              <w:rPr>
                <w:rFonts w:hint="eastAsia" w:ascii="宋体" w:hAnsi="宋体" w:eastAsia="宋体" w:cs="宋体"/>
                <w:sz w:val="24"/>
                <w:szCs w:val="24"/>
              </w:rPr>
              <w:t>基准价，其价格分为满分，其他供应商的价格分按照下列公式计算：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报价得分=（</w:t>
            </w:r>
            <w:r>
              <w:rPr>
                <w:rFonts w:hint="eastAsia" w:ascii="宋体" w:hAnsi="宋体" w:eastAsia="宋体" w:cs="宋体"/>
                <w:sz w:val="24"/>
                <w:szCs w:val="24"/>
                <w:lang w:eastAsia="zh-CN"/>
              </w:rPr>
              <w:t>评标</w:t>
            </w:r>
            <w:r>
              <w:rPr>
                <w:rFonts w:hint="eastAsia" w:ascii="宋体" w:hAnsi="宋体" w:eastAsia="宋体" w:cs="宋体"/>
                <w:sz w:val="24"/>
                <w:szCs w:val="24"/>
              </w:rPr>
              <w:t>基准价／</w:t>
            </w:r>
            <w:r>
              <w:rPr>
                <w:rFonts w:hint="eastAsia" w:ascii="宋体" w:hAnsi="宋体" w:eastAsia="宋体" w:cs="宋体"/>
                <w:sz w:val="24"/>
                <w:szCs w:val="24"/>
                <w:lang w:eastAsia="zh-CN"/>
              </w:rPr>
              <w:t>总</w:t>
            </w:r>
            <w:r>
              <w:rPr>
                <w:rFonts w:hint="eastAsia" w:ascii="宋体" w:hAnsi="宋体" w:eastAsia="宋体" w:cs="宋体"/>
                <w:sz w:val="24"/>
                <w:szCs w:val="24"/>
              </w:rPr>
              <w:t>报价）×</w:t>
            </w:r>
            <w:r>
              <w:rPr>
                <w:rFonts w:hint="eastAsia" w:ascii="宋体" w:hAnsi="宋体" w:eastAsia="宋体" w:cs="宋体"/>
                <w:sz w:val="24"/>
                <w:szCs w:val="24"/>
                <w:lang w:val="en-US" w:eastAsia="zh-CN"/>
              </w:rPr>
              <w:t>15</w:t>
            </w:r>
            <w:r>
              <w:rPr>
                <w:rFonts w:hint="eastAsia" w:ascii="宋体" w:hAnsi="宋体" w:eastAsia="宋体" w:cs="宋体"/>
                <w:sz w:val="24"/>
                <w:szCs w:val="24"/>
              </w:rPr>
              <w:t>×100%</w:t>
            </w:r>
          </w:p>
          <w:p>
            <w:pPr>
              <w:pStyle w:val="2"/>
              <w:rPr>
                <w:rFonts w:hint="eastAsia" w:eastAsia="宋体"/>
                <w:lang w:eastAsia="zh-CN"/>
              </w:rPr>
            </w:pPr>
            <w:r>
              <w:rPr>
                <w:rFonts w:hint="eastAsia"/>
                <w:lang w:eastAsia="zh-CN"/>
              </w:rPr>
              <w:t>注：总报价为所有报价单价之和。</w:t>
            </w:r>
          </w:p>
        </w:tc>
        <w:tc>
          <w:tcPr>
            <w:tcW w:w="1003"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1275"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服务部分</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20</w:t>
            </w:r>
            <w:r>
              <w:rPr>
                <w:rFonts w:hint="eastAsia" w:ascii="宋体" w:hAnsi="宋体" w:eastAsia="宋体" w:cs="宋体"/>
                <w:sz w:val="24"/>
                <w:szCs w:val="24"/>
              </w:rPr>
              <w:t>分）</w:t>
            </w: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具有完善的服务流程、服务标准、运输配送、保障措施和对紧急业务所能提供的应急方案、增值服务方案等，</w:t>
            </w:r>
            <w:r>
              <w:rPr>
                <w:rFonts w:hint="eastAsia" w:ascii="宋体" w:hAnsi="宋体" w:cs="宋体"/>
                <w:sz w:val="24"/>
                <w:szCs w:val="24"/>
                <w:lang w:eastAsia="zh-CN"/>
              </w:rPr>
              <w:t>相关方案齐全合理且切合实际得</w:t>
            </w:r>
            <w:r>
              <w:rPr>
                <w:rFonts w:hint="eastAsia" w:ascii="宋体" w:hAnsi="宋体" w:eastAsia="宋体" w:cs="宋体"/>
                <w:sz w:val="24"/>
                <w:szCs w:val="24"/>
              </w:rPr>
              <w:t>优</w:t>
            </w:r>
            <w:r>
              <w:rPr>
                <w:rFonts w:hint="eastAsia" w:ascii="宋体" w:hAnsi="宋体" w:cs="宋体"/>
                <w:sz w:val="24"/>
                <w:szCs w:val="24"/>
                <w:lang w:eastAsia="zh-CN"/>
              </w:rPr>
              <w:t>，得</w:t>
            </w:r>
            <w:r>
              <w:rPr>
                <w:rFonts w:hint="eastAsia" w:ascii="宋体" w:hAnsi="宋体" w:cs="宋体"/>
                <w:sz w:val="24"/>
                <w:szCs w:val="24"/>
                <w:lang w:val="en-US" w:eastAsia="zh-CN"/>
              </w:rPr>
              <w:t>8</w:t>
            </w: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cs="宋体"/>
                <w:sz w:val="24"/>
                <w:szCs w:val="24"/>
                <w:lang w:eastAsia="zh-CN"/>
              </w:rPr>
              <w:t>相关方案提供齐全得</w:t>
            </w:r>
            <w:r>
              <w:rPr>
                <w:rFonts w:hint="eastAsia" w:ascii="宋体" w:hAnsi="宋体" w:eastAsia="宋体" w:cs="宋体"/>
                <w:sz w:val="24"/>
                <w:szCs w:val="24"/>
                <w:lang w:val="en-US" w:eastAsia="zh-CN"/>
              </w:rPr>
              <w:t>良</w:t>
            </w:r>
            <w:r>
              <w:rPr>
                <w:rFonts w:hint="eastAsia" w:ascii="宋体" w:hAnsi="宋体" w:cs="宋体"/>
                <w:sz w:val="24"/>
                <w:szCs w:val="24"/>
                <w:lang w:val="en-US" w:eastAsia="zh-CN"/>
              </w:rPr>
              <w:t>，</w:t>
            </w:r>
            <w:r>
              <w:rPr>
                <w:rFonts w:hint="eastAsia" w:ascii="宋体" w:hAnsi="宋体" w:eastAsia="宋体" w:cs="宋体"/>
                <w:sz w:val="24"/>
                <w:szCs w:val="24"/>
              </w:rPr>
              <w:t>得1-</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100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275" w:type="dxa"/>
            <w:vMerge w:val="continue"/>
            <w:noWrap w:val="0"/>
            <w:vAlign w:val="center"/>
          </w:tcPr>
          <w:p>
            <w:pPr>
              <w:spacing w:line="360" w:lineRule="auto"/>
              <w:jc w:val="center"/>
              <w:rPr>
                <w:rFonts w:hint="eastAsia" w:ascii="宋体" w:hAnsi="宋体" w:eastAsia="宋体" w:cs="宋体"/>
                <w:sz w:val="24"/>
                <w:szCs w:val="24"/>
              </w:rPr>
            </w:pP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根据供应商拟派</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人员情况，满足1名设计岗位人员、且拟派人员均具备大专以上学历，具有</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年设计经历且能提供其至少一个设计成果证明资料（如获奖证明、传媒资料等）等得基本分3分，在此基础上多加满足上述条件的一人加2分，本项最多5分。</w:t>
            </w:r>
          </w:p>
        </w:tc>
        <w:tc>
          <w:tcPr>
            <w:tcW w:w="100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宋体" w:hAnsi="宋体" w:eastAsia="宋体" w:cs="宋体"/>
                <w:sz w:val="24"/>
                <w:szCs w:val="24"/>
              </w:rPr>
              <w:t>分）</w:t>
            </w: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依据供应商提供的主要生产设备与拟投入本项目的各种工具，横向对比设备、工具的性能、对采购人采购需求的满足度等因素打分，生产设备及工具齐全且</w:t>
            </w:r>
            <w:r>
              <w:rPr>
                <w:rFonts w:hint="eastAsia" w:ascii="宋体" w:hAnsi="宋体" w:eastAsia="宋体" w:cs="宋体"/>
                <w:sz w:val="24"/>
                <w:szCs w:val="24"/>
                <w:lang w:eastAsia="zh-CN"/>
              </w:rPr>
              <w:t>设计</w:t>
            </w:r>
            <w:r>
              <w:rPr>
                <w:rFonts w:hint="eastAsia" w:ascii="宋体" w:hAnsi="宋体" w:eastAsia="宋体" w:cs="宋体"/>
                <w:sz w:val="24"/>
                <w:szCs w:val="24"/>
              </w:rPr>
              <w:t>效果较好得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分，生产设备齐全且</w:t>
            </w:r>
            <w:r>
              <w:rPr>
                <w:rFonts w:hint="eastAsia" w:ascii="宋体" w:hAnsi="宋体" w:eastAsia="宋体" w:cs="宋体"/>
                <w:sz w:val="24"/>
                <w:szCs w:val="24"/>
                <w:lang w:eastAsia="zh-CN"/>
              </w:rPr>
              <w:t>设计</w:t>
            </w:r>
            <w:r>
              <w:rPr>
                <w:rFonts w:hint="eastAsia" w:ascii="宋体" w:hAnsi="宋体" w:eastAsia="宋体" w:cs="宋体"/>
                <w:sz w:val="24"/>
                <w:szCs w:val="24"/>
              </w:rPr>
              <w:t>效果一般得</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分，生产设备及工具</w:t>
            </w:r>
            <w:r>
              <w:rPr>
                <w:rFonts w:hint="eastAsia" w:ascii="宋体" w:hAnsi="宋体" w:eastAsia="宋体" w:cs="宋体"/>
                <w:sz w:val="24"/>
                <w:szCs w:val="24"/>
                <w:lang w:val="en-US" w:eastAsia="zh-CN"/>
              </w:rPr>
              <w:t>完善且</w:t>
            </w:r>
            <w:r>
              <w:rPr>
                <w:rFonts w:hint="eastAsia" w:ascii="宋体" w:hAnsi="宋体" w:eastAsia="宋体" w:cs="宋体"/>
                <w:sz w:val="24"/>
                <w:szCs w:val="24"/>
              </w:rPr>
              <w:t>不影响生产得1-</w:t>
            </w:r>
            <w:r>
              <w:rPr>
                <w:rFonts w:hint="eastAsia" w:ascii="宋体" w:hAnsi="宋体" w:cs="宋体"/>
                <w:sz w:val="24"/>
                <w:szCs w:val="24"/>
                <w:lang w:val="en-US" w:eastAsia="zh-CN"/>
              </w:rPr>
              <w:t>5</w:t>
            </w:r>
            <w:r>
              <w:rPr>
                <w:rFonts w:hint="eastAsia" w:ascii="宋体" w:hAnsi="宋体" w:eastAsia="宋体" w:cs="宋体"/>
                <w:sz w:val="24"/>
                <w:szCs w:val="24"/>
              </w:rPr>
              <w:t>分。（需提供以上设备的照片、购买合同、发票复印件或相关证明材料）</w:t>
            </w:r>
          </w:p>
        </w:tc>
        <w:tc>
          <w:tcPr>
            <w:tcW w:w="100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275" w:type="dxa"/>
            <w:vMerge w:val="continue"/>
            <w:noWrap w:val="0"/>
            <w:vAlign w:val="center"/>
          </w:tcPr>
          <w:p>
            <w:pPr>
              <w:spacing w:line="360" w:lineRule="auto"/>
              <w:jc w:val="center"/>
              <w:rPr>
                <w:rFonts w:hint="eastAsia" w:ascii="宋体" w:hAnsi="宋体" w:eastAsia="宋体" w:cs="宋体"/>
                <w:sz w:val="24"/>
                <w:szCs w:val="24"/>
              </w:rPr>
            </w:pP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提供详细、完善的实施（组织）方案：根据供应商提供方案内容（合理性、适用性、可行性、人员、确保项目进度的措施、整理资料、拍照、编校、设计、制作、实施周期、防水、防火措施）等方面进行综合评价分为</w:t>
            </w:r>
            <w:r>
              <w:rPr>
                <w:rFonts w:hint="eastAsia" w:ascii="宋体" w:hAnsi="宋体" w:cs="宋体"/>
                <w:sz w:val="24"/>
                <w:szCs w:val="24"/>
                <w:lang w:val="en-US" w:eastAsia="zh-CN"/>
              </w:rPr>
              <w:t>优秀</w:t>
            </w:r>
            <w:r>
              <w:rPr>
                <w:rFonts w:hint="eastAsia" w:ascii="宋体" w:hAnsi="宋体" w:eastAsia="宋体" w:cs="宋体"/>
                <w:sz w:val="24"/>
                <w:szCs w:val="24"/>
              </w:rPr>
              <w:t>、良</w:t>
            </w:r>
            <w:r>
              <w:rPr>
                <w:rFonts w:hint="eastAsia" w:ascii="宋体" w:hAnsi="宋体" w:cs="宋体"/>
                <w:sz w:val="24"/>
                <w:szCs w:val="24"/>
                <w:lang w:val="en-US" w:eastAsia="zh-CN"/>
              </w:rPr>
              <w:t>好</w:t>
            </w:r>
            <w:r>
              <w:rPr>
                <w:rFonts w:hint="eastAsia" w:ascii="宋体" w:hAnsi="宋体" w:eastAsia="宋体" w:cs="宋体"/>
                <w:sz w:val="24"/>
                <w:szCs w:val="24"/>
              </w:rPr>
              <w:t>、</w:t>
            </w:r>
            <w:r>
              <w:rPr>
                <w:rFonts w:hint="eastAsia" w:ascii="宋体" w:hAnsi="宋体" w:cs="宋体"/>
                <w:sz w:val="24"/>
                <w:szCs w:val="24"/>
                <w:lang w:val="en-US" w:eastAsia="zh-CN"/>
              </w:rPr>
              <w:t>一般</w:t>
            </w:r>
            <w:r>
              <w:rPr>
                <w:rFonts w:hint="eastAsia" w:ascii="宋体" w:hAnsi="宋体" w:eastAsia="宋体" w:cs="宋体"/>
                <w:sz w:val="24"/>
                <w:szCs w:val="24"/>
              </w:rPr>
              <w:t>，</w:t>
            </w:r>
            <w:r>
              <w:rPr>
                <w:rFonts w:hint="eastAsia" w:ascii="宋体" w:hAnsi="宋体" w:cs="宋体"/>
                <w:sz w:val="24"/>
                <w:szCs w:val="24"/>
                <w:lang w:eastAsia="zh-CN"/>
              </w:rPr>
              <w:t>方案内容齐全且合理详细、相关人员配备合理为优秀，</w:t>
            </w:r>
            <w:r>
              <w:rPr>
                <w:rFonts w:hint="eastAsia" w:ascii="宋体" w:hAnsi="宋体" w:cs="宋体"/>
                <w:sz w:val="24"/>
                <w:szCs w:val="24"/>
                <w:lang w:val="en-US" w:eastAsia="zh-CN"/>
              </w:rPr>
              <w:t>得</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-20分、</w:t>
            </w:r>
            <w:r>
              <w:rPr>
                <w:rFonts w:hint="eastAsia" w:ascii="宋体" w:hAnsi="宋体" w:cs="宋体"/>
                <w:sz w:val="24"/>
                <w:szCs w:val="24"/>
                <w:lang w:eastAsia="zh-CN"/>
              </w:rPr>
              <w:t>方案内容齐全且内容切合实际为良好，</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分、</w:t>
            </w:r>
            <w:r>
              <w:rPr>
                <w:rFonts w:hint="eastAsia" w:ascii="宋体" w:hAnsi="宋体" w:cs="宋体"/>
                <w:sz w:val="24"/>
                <w:szCs w:val="24"/>
                <w:lang w:eastAsia="zh-CN"/>
              </w:rPr>
              <w:t>方案内容齐全为一般，</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100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75" w:type="dxa"/>
            <w:vMerge w:val="continue"/>
            <w:noWrap w:val="0"/>
            <w:vAlign w:val="center"/>
          </w:tcPr>
          <w:p>
            <w:pPr>
              <w:spacing w:line="360" w:lineRule="auto"/>
              <w:jc w:val="center"/>
              <w:rPr>
                <w:rFonts w:hint="eastAsia" w:ascii="宋体" w:hAnsi="宋体" w:eastAsia="宋体" w:cs="宋体"/>
                <w:sz w:val="24"/>
                <w:szCs w:val="24"/>
              </w:rPr>
            </w:pPr>
          </w:p>
        </w:tc>
        <w:tc>
          <w:tcPr>
            <w:tcW w:w="683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根据项目需求合理配备各专业技术人员，可根据人员配备齐全程度、各专业技术力量、相关专业证书的配备情况等方面进行综合评比，分为</w:t>
            </w:r>
            <w:r>
              <w:rPr>
                <w:rFonts w:hint="eastAsia" w:ascii="宋体" w:hAnsi="宋体" w:cs="宋体"/>
                <w:sz w:val="24"/>
                <w:szCs w:val="24"/>
                <w:lang w:val="en-US" w:eastAsia="zh-CN"/>
              </w:rPr>
              <w:t>优秀</w:t>
            </w:r>
            <w:r>
              <w:rPr>
                <w:rFonts w:hint="eastAsia" w:ascii="宋体" w:hAnsi="宋体" w:eastAsia="宋体" w:cs="宋体"/>
                <w:sz w:val="24"/>
                <w:szCs w:val="24"/>
              </w:rPr>
              <w:t>、良</w:t>
            </w:r>
            <w:r>
              <w:rPr>
                <w:rFonts w:hint="eastAsia" w:ascii="宋体" w:hAnsi="宋体" w:cs="宋体"/>
                <w:sz w:val="24"/>
                <w:szCs w:val="24"/>
                <w:lang w:val="en-US" w:eastAsia="zh-CN"/>
              </w:rPr>
              <w:t>好，各专业技术</w:t>
            </w:r>
            <w:r>
              <w:rPr>
                <w:rFonts w:hint="eastAsia" w:ascii="宋体" w:hAnsi="宋体" w:cs="宋体"/>
                <w:sz w:val="24"/>
                <w:szCs w:val="24"/>
                <w:lang w:eastAsia="zh-CN"/>
              </w:rPr>
              <w:t>人员及相关证书配备齐全为</w:t>
            </w:r>
            <w:r>
              <w:rPr>
                <w:rFonts w:hint="eastAsia" w:ascii="宋体" w:hAnsi="宋体" w:cs="宋体"/>
                <w:sz w:val="24"/>
                <w:szCs w:val="24"/>
                <w:lang w:val="en-US" w:eastAsia="zh-CN"/>
              </w:rPr>
              <w:t>优秀，</w:t>
            </w:r>
            <w:r>
              <w:rPr>
                <w:rFonts w:hint="eastAsia" w:ascii="宋体" w:hAnsi="宋体" w:eastAsia="宋体" w:cs="宋体"/>
                <w:sz w:val="24"/>
                <w:szCs w:val="24"/>
              </w:rPr>
              <w:t>得</w:t>
            </w:r>
            <w:r>
              <w:rPr>
                <w:rFonts w:hint="eastAsia" w:ascii="宋体" w:hAnsi="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cs="宋体"/>
                <w:sz w:val="24"/>
                <w:szCs w:val="24"/>
                <w:lang w:eastAsia="zh-CN"/>
              </w:rPr>
              <w:t>人员及相关证书能够基本满足实际需求为良好，</w:t>
            </w:r>
            <w:r>
              <w:rPr>
                <w:rFonts w:hint="eastAsia" w:ascii="宋体" w:hAnsi="宋体" w:cs="宋体"/>
                <w:sz w:val="24"/>
                <w:szCs w:val="24"/>
                <w:lang w:val="en-US" w:eastAsia="zh-CN"/>
              </w:rPr>
              <w:t>得1</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100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27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样品</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分）</w:t>
            </w:r>
          </w:p>
        </w:tc>
        <w:tc>
          <w:tcPr>
            <w:tcW w:w="683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样品成品整洁，无明显条痕、糊版、脏版, 缺笔断划不影响字意, 无明显透印，无破边、褶子、折斜、裁斜、切坏和脱页，文字清晰, 实地均匀, 色彩真实，</w:t>
            </w:r>
            <w:r>
              <w:rPr>
                <w:rFonts w:hint="eastAsia" w:ascii="宋体" w:hAnsi="宋体" w:cs="宋体"/>
                <w:sz w:val="24"/>
                <w:szCs w:val="24"/>
                <w:lang w:eastAsia="zh-CN"/>
              </w:rPr>
              <w:t>样品质量</w:t>
            </w:r>
            <w:r>
              <w:rPr>
                <w:rFonts w:hint="eastAsia" w:ascii="宋体" w:hAnsi="宋体" w:eastAsia="宋体" w:cs="宋体"/>
                <w:sz w:val="24"/>
                <w:szCs w:val="24"/>
              </w:rPr>
              <w:t>完全</w:t>
            </w:r>
            <w:r>
              <w:rPr>
                <w:rFonts w:hint="eastAsia" w:ascii="宋体" w:hAnsi="宋体" w:cs="宋体"/>
                <w:sz w:val="24"/>
                <w:szCs w:val="24"/>
                <w:lang w:eastAsia="zh-CN"/>
              </w:rPr>
              <w:t>满足上述</w:t>
            </w:r>
            <w:r>
              <w:rPr>
                <w:rFonts w:hint="eastAsia" w:ascii="宋体" w:hAnsi="宋体" w:eastAsia="宋体" w:cs="宋体"/>
                <w:sz w:val="24"/>
                <w:szCs w:val="24"/>
              </w:rPr>
              <w:t>要求</w:t>
            </w:r>
            <w:r>
              <w:rPr>
                <w:rFonts w:hint="eastAsia" w:ascii="宋体" w:hAnsi="宋体" w:cs="宋体"/>
                <w:sz w:val="24"/>
                <w:szCs w:val="24"/>
                <w:lang w:eastAsia="zh-CN"/>
              </w:rPr>
              <w:t>为优秀</w:t>
            </w:r>
            <w:r>
              <w:rPr>
                <w:rFonts w:hint="eastAsia" w:ascii="宋体" w:hAnsi="宋体" w:eastAsia="宋体" w:cs="宋体"/>
                <w:sz w:val="24"/>
                <w:szCs w:val="24"/>
              </w:rPr>
              <w:t>，得</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分；</w:t>
            </w:r>
            <w:r>
              <w:rPr>
                <w:rFonts w:hint="eastAsia" w:ascii="宋体" w:hAnsi="宋体" w:cs="宋体"/>
                <w:sz w:val="24"/>
                <w:szCs w:val="24"/>
                <w:lang w:eastAsia="zh-CN"/>
              </w:rPr>
              <w:t>样品质量基本满足上述要求为良好，</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开标时需提供不少于五页的彩色广告设计印刷成品</w:t>
            </w:r>
            <w:r>
              <w:rPr>
                <w:rFonts w:hint="eastAsia" w:ascii="宋体" w:hAnsi="宋体" w:eastAsia="宋体" w:cs="宋体"/>
                <w:sz w:val="24"/>
                <w:szCs w:val="24"/>
                <w:lang w:eastAsia="zh-CN"/>
              </w:rPr>
              <w:t>）</w:t>
            </w:r>
          </w:p>
        </w:tc>
        <w:tc>
          <w:tcPr>
            <w:tcW w:w="100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业绩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6830" w:type="dxa"/>
            <w:noWrap w:val="0"/>
            <w:vAlign w:val="center"/>
          </w:tcPr>
          <w:p>
            <w:pPr>
              <w:spacing w:line="360" w:lineRule="auto"/>
              <w:rPr>
                <w:rFonts w:hint="eastAsia" w:ascii="宋体" w:hAnsi="宋体" w:eastAsia="宋体" w:cs="宋体"/>
                <w:sz w:val="24"/>
                <w:szCs w:val="24"/>
                <w:lang w:eastAsia="zh-CN"/>
              </w:rPr>
            </w:pPr>
            <w:bookmarkStart w:id="143" w:name="_GoBack"/>
            <w:r>
              <w:rPr>
                <w:rFonts w:hint="eastAsia" w:ascii="宋体" w:hAnsi="宋体" w:eastAsia="宋体" w:cs="宋体"/>
                <w:sz w:val="24"/>
                <w:szCs w:val="24"/>
              </w:rPr>
              <w:t>供应商开标日起近</w:t>
            </w:r>
            <w:r>
              <w:rPr>
                <w:rFonts w:hint="eastAsia" w:ascii="宋体" w:hAnsi="宋体" w:eastAsia="宋体" w:cs="宋体"/>
                <w:sz w:val="24"/>
                <w:szCs w:val="24"/>
                <w:lang w:val="en-US" w:eastAsia="zh-CN"/>
              </w:rPr>
              <w:t>三年</w:t>
            </w:r>
            <w:r>
              <w:rPr>
                <w:rFonts w:hint="eastAsia" w:ascii="宋体" w:hAnsi="宋体" w:eastAsia="宋体" w:cs="宋体"/>
                <w:sz w:val="24"/>
                <w:szCs w:val="24"/>
              </w:rPr>
              <w:t>内的同类型采购项目案例，</w:t>
            </w:r>
            <w:r>
              <w:rPr>
                <w:rFonts w:hint="eastAsia" w:ascii="宋体" w:hAnsi="宋体" w:eastAsia="宋体" w:cs="宋体"/>
                <w:sz w:val="24"/>
                <w:szCs w:val="24"/>
                <w:lang w:val="en-US" w:eastAsia="zh-CN"/>
              </w:rPr>
              <w:t>每提供一个得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最高得</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需提供同类型广告设计项目合同及通知书原件作为评分依据</w:t>
            </w:r>
            <w:r>
              <w:rPr>
                <w:rFonts w:hint="eastAsia" w:ascii="宋体" w:hAnsi="宋体" w:eastAsia="宋体" w:cs="宋体"/>
                <w:sz w:val="24"/>
                <w:szCs w:val="24"/>
                <w:lang w:eastAsia="zh-CN"/>
              </w:rPr>
              <w:t>）</w:t>
            </w:r>
            <w:bookmarkEnd w:id="143"/>
          </w:p>
        </w:tc>
        <w:tc>
          <w:tcPr>
            <w:tcW w:w="1003"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bl>
    <w:p>
      <w:pPr>
        <w:pStyle w:val="17"/>
        <w:adjustRightInd w:val="0"/>
        <w:snapToGrid w:val="0"/>
        <w:spacing w:line="360" w:lineRule="auto"/>
        <w:ind w:firstLine="460"/>
        <w:rPr>
          <w:rFonts w:hint="eastAsia" w:ascii="宋体" w:hAnsi="宋体" w:eastAsia="宋体" w:cs="宋体"/>
          <w:kern w:val="0"/>
          <w:sz w:val="24"/>
          <w:szCs w:val="24"/>
        </w:rPr>
      </w:pPr>
      <w:r>
        <w:rPr>
          <w:rFonts w:hint="eastAsia" w:ascii="宋体" w:hAnsi="宋体" w:eastAsia="宋体" w:cs="宋体"/>
          <w:kern w:val="0"/>
          <w:sz w:val="24"/>
          <w:szCs w:val="24"/>
        </w:rPr>
        <w:t>注：评分分值计算保留小数点后两位，小数点后第三位“四舍五入”。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tabs>
          <w:tab w:val="left" w:pos="1306"/>
        </w:tabs>
        <w:jc w:val="left"/>
        <w:rPr>
          <w:rFonts w:hint="eastAsia" w:ascii="宋体" w:hAnsi="宋体" w:eastAsia="宋体" w:cs="宋体"/>
          <w:sz w:val="24"/>
          <w:szCs w:val="24"/>
          <w:lang w:val="en-GB" w:eastAsia="zh-CN"/>
        </w:rPr>
      </w:pPr>
    </w:p>
    <w:sectPr>
      <w:footerReference r:id="rId13" w:type="first"/>
      <w:headerReference r:id="rId11" w:type="default"/>
      <w:footerReference r:id="rId12" w:type="default"/>
      <w:pgSz w:w="11906" w:h="16838"/>
      <w:pgMar w:top="1440" w:right="1797" w:bottom="1440" w:left="1797" w:header="851" w:footer="992" w:gutter="0"/>
      <w:pgNumType w:fmt="decimal"/>
      <w:cols w:space="425" w:num="1"/>
      <w:titlePg/>
      <w:docGrid w:linePitch="27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0010101"/>
    <w:charset w:val="86"/>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000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480"/>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1802660"/>
                          </w:sdtPr>
                          <w:sdtContent>
                            <w:p>
                              <w:pPr>
                                <w:pStyle w:val="14"/>
                                <w:spacing w:before="120"/>
                                <w:ind w:firstLine="48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121802660"/>
                    </w:sdtPr>
                    <w:sdtContent>
                      <w:p>
                        <w:pPr>
                          <w:pStyle w:val="14"/>
                          <w:spacing w:before="120"/>
                          <w:ind w:firstLine="48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0"/>
                    </w:pPr>
                  </w:p>
                </w:txbxContent>
              </v:textbox>
            </v:shape>
          </w:pict>
        </mc:Fallback>
      </mc:AlternateContent>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p>
    <w:pPr>
      <w:pStyle w:val="14"/>
      <w:rPr>
        <w:rFonts w:hint="default" w:eastAsia="宋体"/>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37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480"/>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1802660"/>
                          </w:sdtPr>
                          <w:sdtContent>
                            <w:p>
                              <w:pPr>
                                <w:pStyle w:val="14"/>
                                <w:spacing w:before="120"/>
                                <w:ind w:firstLine="48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121802660"/>
                    </w:sdtPr>
                    <w:sdtContent>
                      <w:p>
                        <w:pPr>
                          <w:pStyle w:val="14"/>
                          <w:spacing w:before="120"/>
                          <w:ind w:firstLine="48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0"/>
                    </w:pPr>
                  </w:p>
                </w:txbxContent>
              </v:textbox>
            </v:shape>
          </w:pict>
        </mc:Fallback>
      </mc:AlternateContent>
    </w:r>
  </w:p>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p>
    <w:pPr>
      <w:pStyle w:val="14"/>
      <w:rPr>
        <w:rFonts w:hint="default" w:eastAsia="宋体"/>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8306"/>
      </w:tabs>
      <w:ind w:right="-314"/>
      <w:jc w:val="left"/>
      <w:rPr>
        <w:rFonts w:hint="eastAsia" w:ascii="黑体" w:hAnsi="黑体" w:eastAsia="黑体" w:cs="黑体"/>
        <w:sz w:val="15"/>
        <w:szCs w:val="15"/>
      </w:rPr>
    </w:pPr>
  </w:p>
  <w:p>
    <w:pPr>
      <w:tabs>
        <w:tab w:val="left" w:pos="0"/>
      </w:tabs>
      <w:ind w:firstLine="800" w:firstLineChars="400"/>
      <w:jc w:val="left"/>
      <w:rPr>
        <w:rFonts w:hint="eastAsia" w:ascii="黑体" w:hAnsi="黑体" w:eastAsia="黑体" w:cs="黑体"/>
        <w:sz w:val="15"/>
        <w:szCs w:val="15"/>
      </w:rPr>
    </w:pPr>
    <w:r>
      <w:rPr>
        <w:rFonts w:hint="eastAsia"/>
        <w:lang w:eastAsia="zh-CN"/>
      </w:rPr>
      <w:tab/>
    </w:r>
    <w:r>
      <w:rPr>
        <w:rFonts w:hint="eastAsia" w:ascii="黑体" w:hAnsi="黑体" w:eastAsia="黑体" w:cs="黑体"/>
        <w:sz w:val="15"/>
        <w:szCs w:val="15"/>
        <w:lang w:eastAsia="zh-CN"/>
      </w:rPr>
      <w:drawing>
        <wp:anchor distT="0" distB="0" distL="114300" distR="114300" simplePos="0" relativeHeight="251700224" behindDoc="0" locked="0" layoutInCell="1" allowOverlap="1">
          <wp:simplePos x="0" y="0"/>
          <wp:positionH relativeFrom="column">
            <wp:posOffset>17780</wp:posOffset>
          </wp:positionH>
          <wp:positionV relativeFrom="paragraph">
            <wp:posOffset>23495</wp:posOffset>
          </wp:positionV>
          <wp:extent cx="570865" cy="431800"/>
          <wp:effectExtent l="0" t="0" r="0" b="6350"/>
          <wp:wrapSquare wrapText="bothSides"/>
          <wp:docPr id="21"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蓝盾logo+公司名"/>
                  <pic:cNvPicPr>
                    <a:picLocks noChangeAspect="1"/>
                  </pic:cNvPicPr>
                </pic:nvPicPr>
                <pic:blipFill>
                  <a:blip r:embed="rId1"/>
                  <a:stretch>
                    <a:fillRect/>
                  </a:stretch>
                </pic:blipFill>
                <pic:spPr>
                  <a:xfrm>
                    <a:off x="0" y="0"/>
                    <a:ext cx="570865" cy="431800"/>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rPr>
        <w:rFonts w:hint="eastAsia" w:ascii="黑体" w:hAnsi="黑体" w:eastAsia="黑体" w:cs="黑体"/>
        <w:sz w:val="15"/>
        <w:szCs w:val="15"/>
      </w:rPr>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p>
    <w:pPr>
      <w:pStyle w:val="15"/>
      <w:tabs>
        <w:tab w:val="left" w:pos="3054"/>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ind w:firstLine="600" w:firstLineChars="400"/>
      <w:jc w:val="left"/>
      <w:rPr>
        <w:rFonts w:hint="eastAsia" w:ascii="黑体" w:hAnsi="黑体" w:eastAsia="黑体" w:cs="黑体"/>
        <w:sz w:val="15"/>
        <w:szCs w:val="15"/>
      </w:rPr>
    </w:pPr>
    <w:r>
      <w:rPr>
        <w:rFonts w:hint="eastAsia" w:ascii="黑体" w:hAnsi="黑体" w:eastAsia="黑体" w:cs="黑体"/>
        <w:sz w:val="15"/>
        <w:szCs w:val="15"/>
        <w:lang w:eastAsia="zh-CN"/>
      </w:rPr>
      <w:drawing>
        <wp:anchor distT="0" distB="0" distL="114300" distR="114300" simplePos="0" relativeHeight="251671552" behindDoc="0" locked="0" layoutInCell="1" allowOverlap="1">
          <wp:simplePos x="0" y="0"/>
          <wp:positionH relativeFrom="column">
            <wp:posOffset>17780</wp:posOffset>
          </wp:positionH>
          <wp:positionV relativeFrom="paragraph">
            <wp:posOffset>23495</wp:posOffset>
          </wp:positionV>
          <wp:extent cx="570865" cy="327025"/>
          <wp:effectExtent l="0" t="0" r="635" b="15875"/>
          <wp:wrapSquare wrapText="bothSides"/>
          <wp:docPr id="16"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蓝盾logo+公司名"/>
                  <pic:cNvPicPr>
                    <a:picLocks noChangeAspect="1"/>
                  </pic:cNvPicPr>
                </pic:nvPicPr>
                <pic:blipFill>
                  <a:blip r:embed="rId1"/>
                  <a:stretch>
                    <a:fillRect/>
                  </a:stretch>
                </pic:blipFill>
                <pic:spPr>
                  <a:xfrm>
                    <a:off x="0" y="0"/>
                    <a:ext cx="570865" cy="327025"/>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ind w:firstLine="600" w:firstLineChars="400"/>
      <w:jc w:val="left"/>
      <w:rPr>
        <w:rFonts w:hint="eastAsia" w:ascii="黑体" w:hAnsi="黑体" w:eastAsia="黑体" w:cs="黑体"/>
        <w:sz w:val="15"/>
        <w:szCs w:val="15"/>
      </w:rPr>
    </w:pPr>
    <w:r>
      <w:rPr>
        <w:rFonts w:hint="eastAsia" w:ascii="黑体" w:hAnsi="黑体" w:eastAsia="黑体" w:cs="黑体"/>
        <w:sz w:val="15"/>
        <w:szCs w:val="15"/>
        <w:lang w:eastAsia="zh-CN"/>
      </w:rPr>
      <w:drawing>
        <wp:anchor distT="0" distB="0" distL="114300" distR="114300" simplePos="0" relativeHeight="251685888" behindDoc="0" locked="0" layoutInCell="1" allowOverlap="1">
          <wp:simplePos x="0" y="0"/>
          <wp:positionH relativeFrom="column">
            <wp:posOffset>17780</wp:posOffset>
          </wp:positionH>
          <wp:positionV relativeFrom="paragraph">
            <wp:posOffset>23495</wp:posOffset>
          </wp:positionV>
          <wp:extent cx="570865" cy="431800"/>
          <wp:effectExtent l="0" t="0" r="0" b="6350"/>
          <wp:wrapSquare wrapText="bothSides"/>
          <wp:docPr id="2"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盾logo+公司名"/>
                  <pic:cNvPicPr>
                    <a:picLocks noChangeAspect="1"/>
                  </pic:cNvPicPr>
                </pic:nvPicPr>
                <pic:blipFill>
                  <a:blip r:embed="rId1"/>
                  <a:stretch>
                    <a:fillRect/>
                  </a:stretch>
                </pic:blipFill>
                <pic:spPr>
                  <a:xfrm>
                    <a:off x="0" y="0"/>
                    <a:ext cx="570865" cy="431800"/>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rPr>
        <w:rFonts w:hint="eastAsia" w:ascii="黑体" w:hAnsi="黑体" w:eastAsia="黑体" w:cs="黑体"/>
        <w:sz w:val="15"/>
        <w:szCs w:val="15"/>
      </w:rPr>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ind w:firstLine="600" w:firstLineChars="400"/>
      <w:jc w:val="left"/>
      <w:rPr>
        <w:rFonts w:hint="eastAsia" w:ascii="黑体" w:hAnsi="黑体" w:eastAsia="黑体" w:cs="黑体"/>
        <w:sz w:val="15"/>
        <w:szCs w:val="15"/>
      </w:rPr>
    </w:pPr>
    <w:r>
      <w:rPr>
        <w:rFonts w:hint="eastAsia" w:ascii="黑体" w:hAnsi="黑体" w:eastAsia="黑体" w:cs="黑体"/>
        <w:sz w:val="15"/>
        <w:szCs w:val="15"/>
        <w:lang w:eastAsia="zh-CN"/>
      </w:rPr>
      <w:drawing>
        <wp:anchor distT="0" distB="0" distL="114300" distR="114300" simplePos="0" relativeHeight="251685888" behindDoc="0" locked="0" layoutInCell="1" allowOverlap="1">
          <wp:simplePos x="0" y="0"/>
          <wp:positionH relativeFrom="column">
            <wp:posOffset>17780</wp:posOffset>
          </wp:positionH>
          <wp:positionV relativeFrom="paragraph">
            <wp:posOffset>23495</wp:posOffset>
          </wp:positionV>
          <wp:extent cx="570865" cy="431800"/>
          <wp:effectExtent l="0" t="0" r="0" b="6350"/>
          <wp:wrapSquare wrapText="bothSides"/>
          <wp:docPr id="20"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蓝盾logo+公司名"/>
                  <pic:cNvPicPr>
                    <a:picLocks noChangeAspect="1"/>
                  </pic:cNvPicPr>
                </pic:nvPicPr>
                <pic:blipFill>
                  <a:blip r:embed="rId1"/>
                  <a:stretch>
                    <a:fillRect/>
                  </a:stretch>
                </pic:blipFill>
                <pic:spPr>
                  <a:xfrm>
                    <a:off x="0" y="0"/>
                    <a:ext cx="570865" cy="431800"/>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rPr>
        <w:rFonts w:hint="eastAsia" w:ascii="黑体" w:hAnsi="黑体" w:eastAsia="黑体" w:cs="黑体"/>
        <w:sz w:val="15"/>
        <w:szCs w:val="15"/>
      </w:rPr>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AFB74"/>
    <w:multiLevelType w:val="singleLevel"/>
    <w:tmpl w:val="BFDAFB74"/>
    <w:lvl w:ilvl="0" w:tentative="0">
      <w:start w:val="2"/>
      <w:numFmt w:val="chineseCounting"/>
      <w:suff w:val="nothing"/>
      <w:lvlText w:val="%1、"/>
      <w:lvlJc w:val="left"/>
      <w:rPr>
        <w:rFonts w:hint="eastAsia"/>
      </w:rPr>
    </w:lvl>
  </w:abstractNum>
  <w:abstractNum w:abstractNumId="1">
    <w:nsid w:val="13EB635E"/>
    <w:multiLevelType w:val="multilevel"/>
    <w:tmpl w:val="13EB635E"/>
    <w:lvl w:ilvl="0" w:tentative="0">
      <w:start w:val="1"/>
      <w:numFmt w:val="decimal"/>
      <w:lvlText w:val="（%1）"/>
      <w:lvlJc w:val="left"/>
      <w:pPr>
        <w:ind w:left="1180" w:hanging="720"/>
      </w:pPr>
      <w:rPr>
        <w:rFonts w:hint="default"/>
      </w:rPr>
    </w:lvl>
    <w:lvl w:ilvl="1" w:tentative="0">
      <w:start w:val="1"/>
      <w:numFmt w:val="lowerLetter"/>
      <w:lvlText w:val="%2)"/>
      <w:lvlJc w:val="left"/>
      <w:pPr>
        <w:ind w:left="1300" w:hanging="420"/>
      </w:p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abstractNum w:abstractNumId="2">
    <w:nsid w:val="58C62265"/>
    <w:multiLevelType w:val="singleLevel"/>
    <w:tmpl w:val="58C62265"/>
    <w:lvl w:ilvl="0" w:tentative="0">
      <w:start w:val="2"/>
      <w:numFmt w:val="decimal"/>
      <w:suff w:val="nothing"/>
      <w:lvlText w:val="%1、"/>
      <w:lvlJc w:val="left"/>
    </w:lvl>
  </w:abstractNum>
  <w:abstractNum w:abstractNumId="3">
    <w:nsid w:val="66BF0265"/>
    <w:multiLevelType w:val="singleLevel"/>
    <w:tmpl w:val="66BF0265"/>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E3D82"/>
    <w:rsid w:val="017064D7"/>
    <w:rsid w:val="01711F24"/>
    <w:rsid w:val="01874589"/>
    <w:rsid w:val="023B6FF8"/>
    <w:rsid w:val="02966875"/>
    <w:rsid w:val="03392CC4"/>
    <w:rsid w:val="034B40B1"/>
    <w:rsid w:val="03C20522"/>
    <w:rsid w:val="03FF2837"/>
    <w:rsid w:val="04A42338"/>
    <w:rsid w:val="04B578C5"/>
    <w:rsid w:val="04EB371B"/>
    <w:rsid w:val="05446A9B"/>
    <w:rsid w:val="058C31C2"/>
    <w:rsid w:val="05AC2A22"/>
    <w:rsid w:val="05AE4D38"/>
    <w:rsid w:val="079F351D"/>
    <w:rsid w:val="08F53C7E"/>
    <w:rsid w:val="0A83792D"/>
    <w:rsid w:val="0AA74B6C"/>
    <w:rsid w:val="0AD54ED0"/>
    <w:rsid w:val="0B1620E3"/>
    <w:rsid w:val="0B337E7D"/>
    <w:rsid w:val="0BBF1AB3"/>
    <w:rsid w:val="0BCF213B"/>
    <w:rsid w:val="0BD6168A"/>
    <w:rsid w:val="0C0D1D3C"/>
    <w:rsid w:val="0C822601"/>
    <w:rsid w:val="0CC603C1"/>
    <w:rsid w:val="0CD55061"/>
    <w:rsid w:val="0D014EB8"/>
    <w:rsid w:val="0D6A0D89"/>
    <w:rsid w:val="0E5807B9"/>
    <w:rsid w:val="0E7D63E1"/>
    <w:rsid w:val="0F08770A"/>
    <w:rsid w:val="0F467A57"/>
    <w:rsid w:val="0F477626"/>
    <w:rsid w:val="0F4E5A67"/>
    <w:rsid w:val="0FDC0615"/>
    <w:rsid w:val="106845B0"/>
    <w:rsid w:val="10811B59"/>
    <w:rsid w:val="11437563"/>
    <w:rsid w:val="11482F99"/>
    <w:rsid w:val="118D2243"/>
    <w:rsid w:val="12430BBF"/>
    <w:rsid w:val="134E0870"/>
    <w:rsid w:val="14CC7D67"/>
    <w:rsid w:val="15051E5B"/>
    <w:rsid w:val="1588595B"/>
    <w:rsid w:val="1630016C"/>
    <w:rsid w:val="16723BCC"/>
    <w:rsid w:val="167676CF"/>
    <w:rsid w:val="169D4C0D"/>
    <w:rsid w:val="17273B07"/>
    <w:rsid w:val="17C34F20"/>
    <w:rsid w:val="18363D66"/>
    <w:rsid w:val="1879135B"/>
    <w:rsid w:val="189507D9"/>
    <w:rsid w:val="18A176C3"/>
    <w:rsid w:val="18C46ACF"/>
    <w:rsid w:val="190332B7"/>
    <w:rsid w:val="19567005"/>
    <w:rsid w:val="1A4F382D"/>
    <w:rsid w:val="1B165785"/>
    <w:rsid w:val="1B405547"/>
    <w:rsid w:val="1B7B2140"/>
    <w:rsid w:val="1CB87D98"/>
    <w:rsid w:val="1D254CBF"/>
    <w:rsid w:val="1E4C196F"/>
    <w:rsid w:val="1E9A67BC"/>
    <w:rsid w:val="1F6B7A2D"/>
    <w:rsid w:val="1F8F0D82"/>
    <w:rsid w:val="1FD62872"/>
    <w:rsid w:val="20DC131B"/>
    <w:rsid w:val="20F36A28"/>
    <w:rsid w:val="2152686C"/>
    <w:rsid w:val="21C40E47"/>
    <w:rsid w:val="227646A9"/>
    <w:rsid w:val="228E32EA"/>
    <w:rsid w:val="22A42AF4"/>
    <w:rsid w:val="25241D53"/>
    <w:rsid w:val="25763B5D"/>
    <w:rsid w:val="259C4416"/>
    <w:rsid w:val="25A66482"/>
    <w:rsid w:val="25B123FB"/>
    <w:rsid w:val="25B85B1A"/>
    <w:rsid w:val="25DD0EBC"/>
    <w:rsid w:val="265B63D3"/>
    <w:rsid w:val="26707471"/>
    <w:rsid w:val="26732EAC"/>
    <w:rsid w:val="26940B82"/>
    <w:rsid w:val="26E74932"/>
    <w:rsid w:val="279501BA"/>
    <w:rsid w:val="27B21BA2"/>
    <w:rsid w:val="28EF237A"/>
    <w:rsid w:val="29072D23"/>
    <w:rsid w:val="2AE01309"/>
    <w:rsid w:val="2C55282B"/>
    <w:rsid w:val="2C9011A9"/>
    <w:rsid w:val="2CB57E54"/>
    <w:rsid w:val="2CC13C01"/>
    <w:rsid w:val="2D554BEB"/>
    <w:rsid w:val="2E431325"/>
    <w:rsid w:val="2ED82102"/>
    <w:rsid w:val="2F9A2D44"/>
    <w:rsid w:val="2FDA1629"/>
    <w:rsid w:val="305B21DC"/>
    <w:rsid w:val="306D444B"/>
    <w:rsid w:val="307004F2"/>
    <w:rsid w:val="30A848F5"/>
    <w:rsid w:val="30E10F09"/>
    <w:rsid w:val="33893ED7"/>
    <w:rsid w:val="348F14DB"/>
    <w:rsid w:val="35141C03"/>
    <w:rsid w:val="35162A11"/>
    <w:rsid w:val="35320ECD"/>
    <w:rsid w:val="355107B4"/>
    <w:rsid w:val="35C420DA"/>
    <w:rsid w:val="360674A6"/>
    <w:rsid w:val="367B2D5F"/>
    <w:rsid w:val="36972E40"/>
    <w:rsid w:val="36C56E6D"/>
    <w:rsid w:val="372F7AE5"/>
    <w:rsid w:val="3812651B"/>
    <w:rsid w:val="38C3189B"/>
    <w:rsid w:val="394F30F3"/>
    <w:rsid w:val="39A00262"/>
    <w:rsid w:val="39C71B00"/>
    <w:rsid w:val="3AB476FA"/>
    <w:rsid w:val="3ACD2206"/>
    <w:rsid w:val="3BEE556E"/>
    <w:rsid w:val="3C4D4395"/>
    <w:rsid w:val="3C924373"/>
    <w:rsid w:val="3CA8156F"/>
    <w:rsid w:val="3CC87FF0"/>
    <w:rsid w:val="3EEB61F9"/>
    <w:rsid w:val="3F0F038D"/>
    <w:rsid w:val="3F4711AB"/>
    <w:rsid w:val="3FCC1EB8"/>
    <w:rsid w:val="4043560B"/>
    <w:rsid w:val="40690B83"/>
    <w:rsid w:val="40AA53D4"/>
    <w:rsid w:val="41103F04"/>
    <w:rsid w:val="42021505"/>
    <w:rsid w:val="420C2D48"/>
    <w:rsid w:val="43482439"/>
    <w:rsid w:val="43741022"/>
    <w:rsid w:val="438217AB"/>
    <w:rsid w:val="44AE66EA"/>
    <w:rsid w:val="44E972EC"/>
    <w:rsid w:val="44F868AC"/>
    <w:rsid w:val="48250A14"/>
    <w:rsid w:val="49843120"/>
    <w:rsid w:val="49867800"/>
    <w:rsid w:val="49977E17"/>
    <w:rsid w:val="49B644FE"/>
    <w:rsid w:val="4A06190D"/>
    <w:rsid w:val="4C7762CC"/>
    <w:rsid w:val="4C82034D"/>
    <w:rsid w:val="4CCC49F4"/>
    <w:rsid w:val="4CEF4FC4"/>
    <w:rsid w:val="4D140736"/>
    <w:rsid w:val="4DAF6372"/>
    <w:rsid w:val="4E6134AC"/>
    <w:rsid w:val="4EED45AA"/>
    <w:rsid w:val="4F6D09CD"/>
    <w:rsid w:val="502D3C7E"/>
    <w:rsid w:val="50341F6D"/>
    <w:rsid w:val="50565B68"/>
    <w:rsid w:val="50615E05"/>
    <w:rsid w:val="507B47C5"/>
    <w:rsid w:val="507C0FA6"/>
    <w:rsid w:val="50B7767E"/>
    <w:rsid w:val="517A762D"/>
    <w:rsid w:val="51D23CE2"/>
    <w:rsid w:val="52846A00"/>
    <w:rsid w:val="536E3148"/>
    <w:rsid w:val="53797882"/>
    <w:rsid w:val="53E81C5D"/>
    <w:rsid w:val="53FC0E68"/>
    <w:rsid w:val="555B5C7D"/>
    <w:rsid w:val="5679075C"/>
    <w:rsid w:val="56D44016"/>
    <w:rsid w:val="58237630"/>
    <w:rsid w:val="582F2559"/>
    <w:rsid w:val="5AEE1614"/>
    <w:rsid w:val="5AFF422F"/>
    <w:rsid w:val="5B2E2D8D"/>
    <w:rsid w:val="5D040AF1"/>
    <w:rsid w:val="5D193B64"/>
    <w:rsid w:val="5D786A98"/>
    <w:rsid w:val="5DCD7360"/>
    <w:rsid w:val="5DE467F3"/>
    <w:rsid w:val="5E8571E0"/>
    <w:rsid w:val="5EE61094"/>
    <w:rsid w:val="5F1E710F"/>
    <w:rsid w:val="5F2241C0"/>
    <w:rsid w:val="5F440A8F"/>
    <w:rsid w:val="5FB67C39"/>
    <w:rsid w:val="60B7070D"/>
    <w:rsid w:val="610354BA"/>
    <w:rsid w:val="62417E6C"/>
    <w:rsid w:val="627F2DD7"/>
    <w:rsid w:val="630D490B"/>
    <w:rsid w:val="634558BC"/>
    <w:rsid w:val="646C4F76"/>
    <w:rsid w:val="64850612"/>
    <w:rsid w:val="65AF58AE"/>
    <w:rsid w:val="666340B2"/>
    <w:rsid w:val="66F42FB3"/>
    <w:rsid w:val="674E5C60"/>
    <w:rsid w:val="678952F1"/>
    <w:rsid w:val="681B0526"/>
    <w:rsid w:val="682673CE"/>
    <w:rsid w:val="69D63CC9"/>
    <w:rsid w:val="6B4C1331"/>
    <w:rsid w:val="6B6A5EA5"/>
    <w:rsid w:val="6B91286F"/>
    <w:rsid w:val="6BB9652E"/>
    <w:rsid w:val="6BE45E04"/>
    <w:rsid w:val="6C8061EB"/>
    <w:rsid w:val="6CE4794C"/>
    <w:rsid w:val="6E6A4CE4"/>
    <w:rsid w:val="6E74695E"/>
    <w:rsid w:val="6F5C4CCA"/>
    <w:rsid w:val="7050552A"/>
    <w:rsid w:val="705C20A7"/>
    <w:rsid w:val="70D93743"/>
    <w:rsid w:val="710B5F95"/>
    <w:rsid w:val="71782A33"/>
    <w:rsid w:val="71AE26D2"/>
    <w:rsid w:val="71CA7A57"/>
    <w:rsid w:val="721A188F"/>
    <w:rsid w:val="7234666D"/>
    <w:rsid w:val="7242446D"/>
    <w:rsid w:val="726A3F4F"/>
    <w:rsid w:val="729B39E2"/>
    <w:rsid w:val="72F51354"/>
    <w:rsid w:val="740E0710"/>
    <w:rsid w:val="742225BB"/>
    <w:rsid w:val="74AA706F"/>
    <w:rsid w:val="759F58B5"/>
    <w:rsid w:val="76680841"/>
    <w:rsid w:val="76A200CD"/>
    <w:rsid w:val="76CF7974"/>
    <w:rsid w:val="772C00D1"/>
    <w:rsid w:val="775F556E"/>
    <w:rsid w:val="77C56C39"/>
    <w:rsid w:val="78721C07"/>
    <w:rsid w:val="79261B76"/>
    <w:rsid w:val="7A630BB4"/>
    <w:rsid w:val="7B0969FC"/>
    <w:rsid w:val="7B253473"/>
    <w:rsid w:val="7C042855"/>
    <w:rsid w:val="7CD84CAB"/>
    <w:rsid w:val="7D4B2E2F"/>
    <w:rsid w:val="7D641AEA"/>
    <w:rsid w:val="7E855F0D"/>
    <w:rsid w:val="7EF5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rPr>
  </w:style>
  <w:style w:type="paragraph" w:styleId="3">
    <w:name w:val="heading 1"/>
    <w:basedOn w:val="1"/>
    <w:next w:val="1"/>
    <w:qFormat/>
    <w:uiPriority w:val="0"/>
    <w:pPr>
      <w:keepNext/>
      <w:keepLines/>
      <w:spacing w:before="340" w:after="330" w:line="360" w:lineRule="auto"/>
      <w:outlineLvl w:val="0"/>
    </w:pPr>
    <w:rPr>
      <w:rFonts w:ascii="Times New Roman" w:hAnsi="Times New Roman"/>
      <w:b/>
      <w:kern w:val="44"/>
      <w:sz w:val="44"/>
    </w:rPr>
  </w:style>
  <w:style w:type="paragraph" w:styleId="4">
    <w:name w:val="heading 2"/>
    <w:basedOn w:val="1"/>
    <w:next w:val="1"/>
    <w:link w:val="39"/>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character" w:default="1" w:styleId="25">
    <w:name w:val="Default Paragraph Font"/>
    <w:qFormat/>
    <w:uiPriority w:val="0"/>
  </w:style>
  <w:style w:type="table" w:default="1" w:styleId="23">
    <w:name w:val="Normal Table"/>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eastAsia="宋体" w:cs="Arial"/>
      <w:sz w:val="24"/>
    </w:rPr>
  </w:style>
  <w:style w:type="paragraph" w:styleId="6">
    <w:name w:val="List 3"/>
    <w:basedOn w:val="1"/>
    <w:qFormat/>
    <w:uiPriority w:val="0"/>
    <w:pPr>
      <w:widowControl w:val="0"/>
      <w:ind w:left="100" w:leftChars="400" w:hanging="200" w:hangingChars="200"/>
      <w:jc w:val="both"/>
    </w:pPr>
    <w:rPr>
      <w:kern w:val="2"/>
      <w:sz w:val="21"/>
      <w:szCs w:val="24"/>
    </w:r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Body Text"/>
    <w:basedOn w:val="1"/>
    <w:qFormat/>
    <w:uiPriority w:val="0"/>
    <w:pPr>
      <w:spacing w:line="360" w:lineRule="auto"/>
    </w:pPr>
    <w:rPr>
      <w:rFonts w:ascii="宋体"/>
      <w:sz w:val="24"/>
    </w:rPr>
  </w:style>
  <w:style w:type="paragraph" w:styleId="9">
    <w:name w:val="Body Text Indent"/>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Times New Roman" w:hAnsi="Times New Roman" w:eastAsia="仿宋_GB2312" w:cs="Times New Roman"/>
      <w:kern w:val="2"/>
      <w:sz w:val="32"/>
      <w:szCs w:val="24"/>
      <w:lang w:val="en-US" w:eastAsia="zh-CN"/>
    </w:rPr>
  </w:style>
  <w:style w:type="paragraph" w:styleId="10">
    <w:name w:val="List 2"/>
    <w:basedOn w:val="1"/>
    <w:qFormat/>
    <w:uiPriority w:val="0"/>
    <w:pPr>
      <w:ind w:left="100" w:leftChars="200" w:hanging="200" w:hangingChars="200"/>
    </w:pPr>
  </w:style>
  <w:style w:type="paragraph" w:styleId="11">
    <w:name w:val="index 4"/>
    <w:basedOn w:val="1"/>
    <w:next w:val="1"/>
    <w:qFormat/>
    <w:uiPriority w:val="99"/>
    <w:pPr>
      <w:ind w:left="600" w:leftChars="600"/>
      <w:jc w:val="left"/>
    </w:pPr>
    <w:rPr>
      <w:rFonts w:ascii="DFKai-SB" w:eastAsia="DFKai-SB"/>
      <w:sz w:val="28"/>
      <w:lang w:eastAsia="zh-TW"/>
    </w:rPr>
  </w:style>
  <w:style w:type="paragraph" w:styleId="12">
    <w:name w:val="Plain Text"/>
    <w:basedOn w:val="1"/>
    <w:qFormat/>
    <w:uiPriority w:val="0"/>
    <w:pPr>
      <w:widowControl w:val="0"/>
      <w:jc w:val="both"/>
    </w:pPr>
    <w:rPr>
      <w:rFonts w:ascii="宋体" w:hAnsi="Courier New"/>
      <w:kern w:val="2"/>
      <w:sz w:val="21"/>
    </w:rPr>
  </w:style>
  <w:style w:type="paragraph" w:styleId="13">
    <w:name w:val="Body Text Indent 2"/>
    <w:basedOn w:val="1"/>
    <w:qFormat/>
    <w:uiPriority w:val="0"/>
    <w:pPr>
      <w:ind w:firstLine="420"/>
    </w:pPr>
    <w:rPr>
      <w:sz w:val="28"/>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2"/>
    <w:next w:val="1"/>
    <w:qFormat/>
    <w:uiPriority w:val="0"/>
  </w:style>
  <w:style w:type="paragraph" w:styleId="17">
    <w:name w:val="Body Text Indent 3"/>
    <w:basedOn w:val="1"/>
    <w:qFormat/>
    <w:uiPriority w:val="0"/>
    <w:pPr>
      <w:ind w:firstLine="420"/>
    </w:pPr>
    <w:rPr>
      <w:sz w:val="24"/>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Arial" w:hAnsi="Arial" w:cs="Arial"/>
      <w:kern w:val="0"/>
      <w:sz w:val="18"/>
      <w:szCs w:val="18"/>
    </w:rPr>
  </w:style>
  <w:style w:type="paragraph" w:styleId="20">
    <w:name w:val="index 1"/>
    <w:basedOn w:val="1"/>
    <w:next w:val="1"/>
    <w:qFormat/>
    <w:uiPriority w:val="0"/>
  </w:style>
  <w:style w:type="paragraph" w:styleId="21">
    <w:name w:val="Body Text First Indent"/>
    <w:basedOn w:val="8"/>
    <w:qFormat/>
    <w:uiPriority w:val="0"/>
    <w:pPr>
      <w:spacing w:after="120"/>
      <w:ind w:firstLine="420" w:firstLineChars="100"/>
    </w:pPr>
    <w:rPr>
      <w:sz w:val="21"/>
    </w:rPr>
  </w:style>
  <w:style w:type="paragraph" w:styleId="22">
    <w:name w:val="Body Text First Indent 2"/>
    <w:basedOn w:val="9"/>
    <w:qFormat/>
    <w:uiPriority w:val="0"/>
    <w:pPr>
      <w:ind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uiPriority w:val="0"/>
  </w:style>
  <w:style w:type="character" w:styleId="27">
    <w:name w:val="FollowedHyperlink"/>
    <w:basedOn w:val="25"/>
    <w:qFormat/>
    <w:uiPriority w:val="0"/>
    <w:rPr>
      <w:color w:val="231816"/>
      <w:u w:val="none"/>
    </w:rPr>
  </w:style>
  <w:style w:type="character" w:styleId="28">
    <w:name w:val="Emphasis"/>
    <w:basedOn w:val="25"/>
    <w:qFormat/>
    <w:uiPriority w:val="0"/>
  </w:style>
  <w:style w:type="character" w:styleId="29">
    <w:name w:val="Hyperlink"/>
    <w:qFormat/>
    <w:uiPriority w:val="99"/>
    <w:rPr>
      <w:rFonts w:ascii="Tahoma" w:hAnsi="Tahoma"/>
      <w:color w:val="000000"/>
      <w:kern w:val="2"/>
      <w:sz w:val="24"/>
      <w:u w:val="none"/>
    </w:rPr>
  </w:style>
  <w:style w:type="paragraph" w:customStyle="1" w:styleId="30">
    <w:name w:val="List Paragraph"/>
    <w:basedOn w:val="1"/>
    <w:qFormat/>
    <w:uiPriority w:val="34"/>
    <w:pPr>
      <w:ind w:firstLine="420" w:firstLineChars="200"/>
    </w:pPr>
    <w:rPr>
      <w:rFonts w:cs="Times New Roman"/>
    </w:rPr>
  </w:style>
  <w:style w:type="paragraph" w:customStyle="1" w:styleId="31">
    <w:name w:val="样式 样式 左侧:  2 字符 + 左侧:  0.85 厘米 首行缩进:  2 字符1"/>
    <w:basedOn w:val="1"/>
    <w:qFormat/>
    <w:uiPriority w:val="0"/>
    <w:pPr>
      <w:ind w:left="482" w:firstLine="200" w:firstLineChars="200"/>
    </w:pPr>
    <w:rPr>
      <w:rFonts w:cs="宋体"/>
    </w:rPr>
  </w:style>
  <w:style w:type="paragraph" w:customStyle="1" w:styleId="32">
    <w:name w:val="列出段落1"/>
    <w:basedOn w:val="1"/>
    <w:qFormat/>
    <w:uiPriority w:val="34"/>
    <w:pPr>
      <w:ind w:firstLine="420" w:firstLineChars="200"/>
    </w:pPr>
  </w:style>
  <w:style w:type="paragraph" w:customStyle="1" w:styleId="33">
    <w:name w:val="样式9 Char"/>
    <w:basedOn w:val="1"/>
    <w:qFormat/>
    <w:uiPriority w:val="0"/>
    <w:pPr>
      <w:spacing w:line="440" w:lineRule="exact"/>
      <w:ind w:firstLine="200" w:firstLineChars="200"/>
    </w:pPr>
    <w:rPr>
      <w:spacing w:val="6"/>
      <w:sz w:val="24"/>
    </w:rPr>
  </w:style>
  <w:style w:type="paragraph" w:customStyle="1" w:styleId="34">
    <w:name w:val="样式3"/>
    <w:basedOn w:val="1"/>
    <w:qFormat/>
    <w:uiPriority w:val="0"/>
    <w:pPr>
      <w:spacing w:line="480" w:lineRule="exact"/>
      <w:jc w:val="center"/>
    </w:pPr>
    <w:rPr>
      <w:rFonts w:ascii="Arial" w:hAnsi="Arial" w:eastAsia="黑体"/>
      <w:spacing w:val="6"/>
      <w:sz w:val="32"/>
    </w:rPr>
  </w:style>
  <w:style w:type="paragraph" w:customStyle="1" w:styleId="35">
    <w:name w:val="样式29"/>
    <w:basedOn w:val="33"/>
    <w:qFormat/>
    <w:uiPriority w:val="0"/>
    <w:rPr>
      <w:rFonts w:eastAsia="楷体_GB2312"/>
    </w:rPr>
  </w:style>
  <w:style w:type="paragraph" w:customStyle="1" w:styleId="36">
    <w:name w:val="样式7"/>
    <w:basedOn w:val="1"/>
    <w:qFormat/>
    <w:uiPriority w:val="0"/>
    <w:pPr>
      <w:spacing w:line="480" w:lineRule="exact"/>
      <w:jc w:val="center"/>
    </w:pPr>
    <w:rPr>
      <w:rFonts w:eastAsia="方正大标宋简体"/>
      <w:spacing w:val="6"/>
      <w:sz w:val="44"/>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39">
    <w:name w:val="标题 2 Char"/>
    <w:link w:val="4"/>
    <w:qFormat/>
    <w:uiPriority w:val="0"/>
    <w:rPr>
      <w:rFonts w:ascii="Arial" w:hAnsi="Arial" w:eastAsia="黑体"/>
      <w:b/>
      <w:bCs/>
      <w:kern w:val="2"/>
      <w:sz w:val="32"/>
      <w:szCs w:val="32"/>
    </w:rPr>
  </w:style>
  <w:style w:type="paragraph" w:customStyle="1" w:styleId="40">
    <w:name w:val="Heading 4"/>
    <w:basedOn w:val="1"/>
    <w:qFormat/>
    <w:uiPriority w:val="1"/>
    <w:pPr>
      <w:spacing w:before="10"/>
      <w:ind w:left="118"/>
      <w:outlineLvl w:val="4"/>
    </w:pPr>
    <w:rPr>
      <w:rFonts w:ascii="宋体" w:hAnsi="宋体" w:eastAsia="宋体"/>
      <w:b/>
      <w:bCs/>
      <w:sz w:val="24"/>
      <w:szCs w:val="24"/>
    </w:rPr>
  </w:style>
  <w:style w:type="paragraph" w:customStyle="1" w:styleId="41">
    <w:name w:val="Table Paragraph"/>
    <w:basedOn w:val="1"/>
    <w:qFormat/>
    <w:uiPriority w:val="1"/>
    <w:rPr>
      <w:rFonts w:ascii="新宋体" w:hAnsi="新宋体" w:eastAsia="新宋体" w:cs="新宋体"/>
      <w:lang w:val="zh-CN" w:eastAsia="zh-CN" w:bidi="zh-CN"/>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60</Pages>
  <Words>19702</Words>
  <Characters>20546</Characters>
  <Paragraphs>2265</Paragraphs>
  <TotalTime>51</TotalTime>
  <ScaleCrop>false</ScaleCrop>
  <LinksUpToDate>false</LinksUpToDate>
  <CharactersWithSpaces>23444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2018-08-10T03:38:00Z</dcterms:created>
  <dc:creator>Administrator</dc:creator>
  <cp:lastModifiedBy>a</cp:lastModifiedBy>
  <cp:lastPrinted>2019-04-23T06:30:26Z</cp:lastPrinted>
  <dcterms:modified xsi:type="dcterms:W3CDTF">2019-04-23T08:48:20Z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