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kern w:val="1"/>
          <w:sz w:val="52"/>
          <w:szCs w:val="52"/>
          <w:highlight w:val="none"/>
          <w:lang w:val="en-US" w:eastAsia="zh-CN"/>
        </w:rPr>
      </w:pPr>
      <w:r>
        <w:rPr>
          <w:rFonts w:hint="eastAsia" w:ascii="宋体" w:hAnsi="宋体" w:cs="宋体"/>
          <w:b/>
          <w:bCs/>
          <w:kern w:val="1"/>
          <w:sz w:val="52"/>
          <w:szCs w:val="52"/>
          <w:highlight w:val="none"/>
          <w:lang w:eastAsia="zh-CN"/>
        </w:rPr>
        <w:t>济南市</w:t>
      </w:r>
      <w:bookmarkStart w:id="148" w:name="_GoBack"/>
      <w:bookmarkEnd w:id="148"/>
      <w:r>
        <w:rPr>
          <w:rFonts w:hint="eastAsia" w:ascii="宋体" w:hAnsi="宋体" w:cs="宋体"/>
          <w:b/>
          <w:bCs/>
          <w:kern w:val="1"/>
          <w:sz w:val="52"/>
          <w:szCs w:val="52"/>
          <w:highlight w:val="none"/>
          <w:lang w:eastAsia="zh-CN"/>
        </w:rPr>
        <w:t>消防支队章丘区大队</w:t>
      </w:r>
      <w:r>
        <w:rPr>
          <w:rFonts w:hint="eastAsia" w:ascii="宋体" w:hAnsi="宋体" w:cs="宋体"/>
          <w:b/>
          <w:bCs/>
          <w:kern w:val="1"/>
          <w:sz w:val="52"/>
          <w:szCs w:val="52"/>
          <w:highlight w:val="none"/>
          <w:lang w:val="en-US" w:eastAsia="zh-CN"/>
        </w:rPr>
        <w:t>车辆维修</w:t>
      </w:r>
    </w:p>
    <w:p>
      <w:pPr>
        <w:spacing w:line="360" w:lineRule="auto"/>
        <w:jc w:val="center"/>
        <w:rPr>
          <w:rFonts w:hint="eastAsia" w:ascii="宋体" w:hAnsi="宋体" w:eastAsia="宋体" w:cs="宋体"/>
          <w:b/>
          <w:bCs/>
          <w:color w:val="auto"/>
          <w:sz w:val="52"/>
          <w:szCs w:val="52"/>
          <w:highlight w:val="none"/>
        </w:rPr>
      </w:pPr>
      <w:r>
        <w:rPr>
          <w:rFonts w:hint="eastAsia" w:ascii="宋体" w:hAnsi="宋体" w:cs="宋体"/>
          <w:b/>
          <w:bCs/>
          <w:kern w:val="1"/>
          <w:sz w:val="52"/>
          <w:szCs w:val="52"/>
          <w:highlight w:val="none"/>
          <w:lang w:val="en-US" w:eastAsia="zh-CN"/>
        </w:rPr>
        <w:t>定点入围项目</w:t>
      </w:r>
    </w:p>
    <w:p>
      <w:pPr>
        <w:pStyle w:val="20"/>
        <w:ind w:left="0" w:leftChars="0" w:firstLine="0" w:firstLineChars="0"/>
        <w:jc w:val="center"/>
        <w:rPr>
          <w:rFonts w:hint="eastAsia" w:ascii="宋体" w:hAnsi="宋体" w:eastAsia="宋体" w:cs="宋体"/>
          <w:b/>
          <w:color w:val="auto"/>
          <w:sz w:val="44"/>
          <w:szCs w:val="44"/>
          <w:highlight w:val="none"/>
        </w:rPr>
      </w:pPr>
    </w:p>
    <w:p>
      <w:pPr>
        <w:spacing w:line="0" w:lineRule="atLeast"/>
        <w:jc w:val="center"/>
        <w:rPr>
          <w:rFonts w:hint="eastAsia" w:ascii="宋体" w:hAnsi="宋体" w:eastAsia="宋体" w:cs="宋体"/>
          <w:color w:val="auto"/>
          <w:sz w:val="24"/>
          <w:highlight w:val="none"/>
        </w:rPr>
      </w:pPr>
      <w:r>
        <w:rPr>
          <w:rFonts w:hint="eastAsia" w:ascii="宋体" w:hAnsi="宋体" w:cs="宋体"/>
          <w:b/>
          <w:color w:val="auto"/>
          <w:sz w:val="84"/>
          <w:szCs w:val="84"/>
          <w:highlight w:val="none"/>
          <w:lang w:eastAsia="zh-CN"/>
        </w:rPr>
        <w:t>招标</w:t>
      </w:r>
      <w:r>
        <w:rPr>
          <w:rFonts w:hint="eastAsia" w:ascii="宋体" w:hAnsi="宋体" w:eastAsia="宋体" w:cs="宋体"/>
          <w:b/>
          <w:color w:val="auto"/>
          <w:sz w:val="84"/>
          <w:szCs w:val="84"/>
          <w:highlight w:val="none"/>
        </w:rPr>
        <w:t>文件</w:t>
      </w:r>
    </w:p>
    <w:p>
      <w:pPr>
        <w:spacing w:line="200" w:lineRule="exact"/>
        <w:jc w:val="center"/>
        <w:rPr>
          <w:rFonts w:hint="eastAsia" w:ascii="宋体" w:hAnsi="宋体" w:eastAsia="宋体" w:cs="宋体"/>
          <w:color w:val="auto"/>
          <w:sz w:val="24"/>
          <w:highlight w:val="none"/>
        </w:rPr>
      </w:pPr>
      <w:r>
        <w:rPr>
          <w:rFonts w:hint="eastAsia" w:ascii="宋体" w:hAnsi="宋体" w:eastAsia="宋体" w:cs="宋体"/>
          <w:b/>
          <w:color w:val="auto"/>
          <w:sz w:val="32"/>
          <w:szCs w:val="32"/>
          <w:highlight w:val="none"/>
        </w:rPr>
        <w:drawing>
          <wp:anchor distT="0" distB="0" distL="0" distR="0" simplePos="0" relativeHeight="1024" behindDoc="0" locked="0" layoutInCell="1" allowOverlap="1">
            <wp:simplePos x="0" y="0"/>
            <wp:positionH relativeFrom="column">
              <wp:posOffset>1143000</wp:posOffset>
            </wp:positionH>
            <wp:positionV relativeFrom="paragraph">
              <wp:posOffset>56515</wp:posOffset>
            </wp:positionV>
            <wp:extent cx="2665095" cy="2520315"/>
            <wp:effectExtent l="0" t="0" r="0" b="0"/>
            <wp:wrapNone/>
            <wp:docPr id="1026" name="图片 2"/>
            <wp:cNvGraphicFramePr/>
            <a:graphic xmlns:a="http://schemas.openxmlformats.org/drawingml/2006/main">
              <a:graphicData uri="http://schemas.openxmlformats.org/drawingml/2006/picture">
                <pic:pic xmlns:pic="http://schemas.openxmlformats.org/drawingml/2006/picture">
                  <pic:nvPicPr>
                    <pic:cNvPr id="1026" name="图片 2"/>
                    <pic:cNvPicPr/>
                  </pic:nvPicPr>
                  <pic:blipFill>
                    <a:blip r:embed="rId12" cstate="print"/>
                    <a:srcRect/>
                    <a:stretch>
                      <a:fillRect/>
                    </a:stretch>
                  </pic:blipFill>
                  <pic:spPr>
                    <a:xfrm>
                      <a:off x="0" y="0"/>
                      <a:ext cx="2665095" cy="2520315"/>
                    </a:xfrm>
                    <a:prstGeom prst="rect">
                      <a:avLst/>
                    </a:prstGeom>
                    <a:ln>
                      <a:noFill/>
                    </a:ln>
                  </pic:spPr>
                </pic:pic>
              </a:graphicData>
            </a:graphic>
          </wp:anchor>
        </w:drawing>
      </w:r>
      <w:r>
        <w:rPr>
          <w:rFonts w:hint="eastAsia" w:ascii="宋体" w:hAnsi="宋体" w:eastAsia="宋体" w:cs="宋体"/>
          <w:b/>
          <w:color w:val="auto"/>
          <w:sz w:val="32"/>
          <w:szCs w:val="32"/>
          <w:highlight w:val="none"/>
        </w:rPr>
        <w:drawing>
          <wp:inline distT="0" distB="0" distL="0" distR="0">
            <wp:extent cx="2579370" cy="2501900"/>
            <wp:effectExtent l="0" t="0" r="0" b="0"/>
            <wp:docPr id="1027" name="图片 1"/>
            <wp:cNvGraphicFramePr/>
            <a:graphic xmlns:a="http://schemas.openxmlformats.org/drawingml/2006/main">
              <a:graphicData uri="http://schemas.openxmlformats.org/drawingml/2006/picture">
                <pic:pic xmlns:pic="http://schemas.openxmlformats.org/drawingml/2006/picture">
                  <pic:nvPicPr>
                    <pic:cNvPr id="1027" name="图片 1"/>
                    <pic:cNvPicPr/>
                  </pic:nvPicPr>
                  <pic:blipFill>
                    <a:blip r:embed="rId12" cstate="print"/>
                    <a:srcRect/>
                    <a:stretch>
                      <a:fillRect/>
                    </a:stretch>
                  </pic:blipFill>
                  <pic:spPr>
                    <a:xfrm>
                      <a:off x="0" y="0"/>
                      <a:ext cx="2579370" cy="2501900"/>
                    </a:xfrm>
                    <a:prstGeom prst="rect">
                      <a:avLst/>
                    </a:prstGeom>
                    <a:ln>
                      <a:noFill/>
                    </a:ln>
                  </pic:spPr>
                </pic:pic>
              </a:graphicData>
            </a:graphic>
          </wp:inline>
        </w:drawing>
      </w:r>
    </w:p>
    <w:p>
      <w:pPr>
        <w:spacing w:line="200" w:lineRule="exact"/>
        <w:rPr>
          <w:rFonts w:hint="eastAsia" w:ascii="宋体" w:hAnsi="宋体" w:eastAsia="宋体" w:cs="宋体"/>
          <w:color w:val="auto"/>
          <w:sz w:val="24"/>
          <w:highlight w:val="none"/>
        </w:rPr>
      </w:pPr>
    </w:p>
    <w:p>
      <w:pPr>
        <w:spacing w:line="200" w:lineRule="exact"/>
        <w:rPr>
          <w:rFonts w:hint="eastAsia" w:ascii="宋体" w:hAnsi="宋体" w:eastAsia="宋体" w:cs="宋体"/>
          <w:color w:val="auto"/>
          <w:sz w:val="24"/>
          <w:highlight w:val="none"/>
        </w:rPr>
      </w:pPr>
    </w:p>
    <w:p>
      <w:pPr>
        <w:spacing w:line="200" w:lineRule="exact"/>
        <w:rPr>
          <w:rFonts w:hint="eastAsia" w:ascii="宋体" w:hAnsi="宋体" w:eastAsia="宋体" w:cs="宋体"/>
          <w:color w:val="auto"/>
          <w:sz w:val="24"/>
          <w:highlight w:val="none"/>
        </w:rPr>
      </w:pPr>
    </w:p>
    <w:p>
      <w:pPr>
        <w:spacing w:line="200" w:lineRule="exact"/>
        <w:rPr>
          <w:rFonts w:hint="eastAsia" w:ascii="宋体" w:hAnsi="宋体" w:eastAsia="宋体" w:cs="宋体"/>
          <w:color w:val="auto"/>
          <w:sz w:val="24"/>
          <w:highlight w:val="none"/>
        </w:rPr>
      </w:pPr>
    </w:p>
    <w:p>
      <w:pPr>
        <w:spacing w:line="200" w:lineRule="exact"/>
        <w:rPr>
          <w:rFonts w:hint="eastAsia" w:ascii="宋体" w:hAnsi="宋体" w:eastAsia="宋体" w:cs="宋体"/>
          <w:color w:val="auto"/>
          <w:sz w:val="24"/>
          <w:highlight w:val="none"/>
        </w:rPr>
      </w:pPr>
    </w:p>
    <w:p>
      <w:pPr>
        <w:spacing w:line="200" w:lineRule="exact"/>
        <w:rPr>
          <w:rFonts w:hint="eastAsia" w:ascii="宋体" w:hAnsi="宋体" w:eastAsia="宋体" w:cs="宋体"/>
          <w:color w:val="auto"/>
          <w:sz w:val="24"/>
          <w:highlight w:val="none"/>
        </w:rPr>
      </w:pPr>
    </w:p>
    <w:p>
      <w:pPr>
        <w:spacing w:line="200" w:lineRule="exact"/>
        <w:rPr>
          <w:rFonts w:hint="eastAsia" w:ascii="宋体" w:hAnsi="宋体" w:eastAsia="宋体" w:cs="宋体"/>
          <w:color w:val="auto"/>
          <w:sz w:val="24"/>
          <w:highlight w:val="none"/>
        </w:rPr>
      </w:pPr>
    </w:p>
    <w:p>
      <w:pPr>
        <w:spacing w:line="200" w:lineRule="exact"/>
        <w:rPr>
          <w:rFonts w:hint="eastAsia" w:ascii="宋体" w:hAnsi="宋体" w:eastAsia="宋体" w:cs="宋体"/>
          <w:color w:val="auto"/>
          <w:sz w:val="24"/>
          <w:highlight w:val="none"/>
        </w:rPr>
      </w:pPr>
    </w:p>
    <w:p>
      <w:pPr>
        <w:spacing w:line="200" w:lineRule="exact"/>
        <w:rPr>
          <w:rFonts w:hint="eastAsia" w:ascii="宋体" w:hAnsi="宋体" w:eastAsia="宋体" w:cs="宋体"/>
          <w:color w:val="auto"/>
          <w:sz w:val="24"/>
          <w:highlight w:val="none"/>
        </w:rPr>
      </w:pPr>
    </w:p>
    <w:p>
      <w:pPr>
        <w:spacing w:line="200" w:lineRule="exact"/>
        <w:rPr>
          <w:rFonts w:hint="eastAsia" w:ascii="宋体" w:hAnsi="宋体" w:eastAsia="宋体" w:cs="宋体"/>
          <w:color w:val="auto"/>
          <w:sz w:val="24"/>
          <w:highlight w:val="none"/>
        </w:rPr>
      </w:pPr>
    </w:p>
    <w:p>
      <w:pPr>
        <w:spacing w:line="200" w:lineRule="exact"/>
        <w:rPr>
          <w:rFonts w:hint="eastAsia" w:ascii="宋体" w:hAnsi="宋体" w:eastAsia="宋体" w:cs="宋体"/>
          <w:color w:val="auto"/>
          <w:sz w:val="24"/>
          <w:highlight w:val="none"/>
        </w:rPr>
      </w:pPr>
      <w:r>
        <w:rPr>
          <w:rFonts w:hint="eastAsia" w:ascii="宋体" w:hAnsi="宋体" w:eastAsia="宋体" w:cs="宋体"/>
          <w:b/>
          <w:color w:val="auto"/>
          <w:sz w:val="32"/>
          <w:szCs w:val="32"/>
          <w:highlight w:val="none"/>
        </w:rPr>
        <w:drawing>
          <wp:inline distT="0" distB="0" distL="0" distR="0">
            <wp:extent cx="2579370" cy="2406650"/>
            <wp:effectExtent l="0" t="0" r="0" b="0"/>
            <wp:docPr id="1028" name="图片 2"/>
            <wp:cNvGraphicFramePr/>
            <a:graphic xmlns:a="http://schemas.openxmlformats.org/drawingml/2006/main">
              <a:graphicData uri="http://schemas.openxmlformats.org/drawingml/2006/picture">
                <pic:pic xmlns:pic="http://schemas.openxmlformats.org/drawingml/2006/picture">
                  <pic:nvPicPr>
                    <pic:cNvPr id="1028" name="图片 2"/>
                    <pic:cNvPicPr/>
                  </pic:nvPicPr>
                  <pic:blipFill>
                    <a:blip r:embed="rId12" cstate="print"/>
                    <a:srcRect/>
                    <a:stretch>
                      <a:fillRect/>
                    </a:stretch>
                  </pic:blipFill>
                  <pic:spPr>
                    <a:xfrm>
                      <a:off x="0" y="0"/>
                      <a:ext cx="2579370" cy="2406650"/>
                    </a:xfrm>
                    <a:prstGeom prst="rect">
                      <a:avLst/>
                    </a:prstGeom>
                    <a:ln>
                      <a:noFill/>
                    </a:ln>
                  </pic:spPr>
                </pic:pic>
              </a:graphicData>
            </a:graphic>
          </wp:inline>
        </w:drawing>
      </w:r>
    </w:p>
    <w:p>
      <w:pPr>
        <w:spacing w:line="200" w:lineRule="exact"/>
        <w:rPr>
          <w:rFonts w:hint="eastAsia" w:ascii="宋体" w:hAnsi="宋体" w:eastAsia="宋体" w:cs="宋体"/>
          <w:color w:val="auto"/>
          <w:sz w:val="24"/>
          <w:highlight w:val="none"/>
        </w:rPr>
      </w:pPr>
    </w:p>
    <w:p>
      <w:pPr>
        <w:spacing w:line="200" w:lineRule="exact"/>
        <w:rPr>
          <w:rFonts w:hint="eastAsia" w:ascii="宋体" w:hAnsi="宋体" w:eastAsia="宋体" w:cs="宋体"/>
          <w:color w:val="auto"/>
          <w:sz w:val="24"/>
          <w:highlight w:val="none"/>
        </w:rPr>
      </w:pPr>
    </w:p>
    <w:p>
      <w:pPr>
        <w:spacing w:line="200" w:lineRule="exact"/>
        <w:rPr>
          <w:rFonts w:hint="eastAsia" w:ascii="宋体" w:hAnsi="宋体" w:eastAsia="宋体" w:cs="宋体"/>
          <w:color w:val="auto"/>
          <w:sz w:val="24"/>
          <w:highlight w:val="none"/>
        </w:rPr>
      </w:pPr>
    </w:p>
    <w:p>
      <w:pPr>
        <w:spacing w:line="200" w:lineRule="exact"/>
        <w:rPr>
          <w:rFonts w:hint="eastAsia" w:ascii="宋体" w:hAnsi="宋体" w:eastAsia="宋体" w:cs="宋体"/>
          <w:color w:val="auto"/>
          <w:sz w:val="24"/>
          <w:highlight w:val="none"/>
        </w:rPr>
      </w:pPr>
    </w:p>
    <w:p>
      <w:pPr>
        <w:spacing w:line="200" w:lineRule="exact"/>
        <w:rPr>
          <w:rFonts w:hint="eastAsia" w:ascii="宋体" w:hAnsi="宋体" w:eastAsia="宋体" w:cs="宋体"/>
          <w:color w:val="auto"/>
          <w:sz w:val="24"/>
          <w:highlight w:val="none"/>
        </w:rPr>
      </w:pPr>
    </w:p>
    <w:p>
      <w:pPr>
        <w:spacing w:line="200" w:lineRule="exact"/>
        <w:rPr>
          <w:rFonts w:hint="eastAsia" w:ascii="宋体" w:hAnsi="宋体" w:eastAsia="宋体" w:cs="宋体"/>
          <w:color w:val="auto"/>
          <w:sz w:val="24"/>
          <w:highlight w:val="none"/>
        </w:rPr>
      </w:pPr>
    </w:p>
    <w:p>
      <w:pPr>
        <w:spacing w:line="200" w:lineRule="exact"/>
        <w:rPr>
          <w:rFonts w:hint="eastAsia" w:ascii="宋体" w:hAnsi="宋体" w:eastAsia="宋体" w:cs="宋体"/>
          <w:color w:val="auto"/>
          <w:sz w:val="24"/>
          <w:highlight w:val="none"/>
        </w:rPr>
      </w:pPr>
    </w:p>
    <w:p>
      <w:pPr>
        <w:spacing w:line="200" w:lineRule="exact"/>
        <w:rPr>
          <w:rFonts w:hint="eastAsia" w:ascii="宋体" w:hAnsi="宋体" w:eastAsia="宋体" w:cs="宋体"/>
          <w:color w:val="auto"/>
          <w:sz w:val="24"/>
          <w:highlight w:val="none"/>
        </w:rPr>
      </w:pPr>
    </w:p>
    <w:p>
      <w:pPr>
        <w:spacing w:line="239" w:lineRule="auto"/>
        <w:ind w:left="1980"/>
        <w:rPr>
          <w:rFonts w:hint="eastAsia" w:ascii="宋体" w:hAnsi="宋体" w:eastAsia="宋体" w:cs="宋体"/>
          <w:b/>
          <w:color w:val="auto"/>
          <w:sz w:val="32"/>
          <w:szCs w:val="32"/>
          <w:highlight w:val="none"/>
        </w:rPr>
      </w:pPr>
    </w:p>
    <w:p>
      <w:pPr>
        <w:spacing w:line="239" w:lineRule="auto"/>
        <w:ind w:left="1980"/>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项目编号：</w:t>
      </w:r>
      <w:r>
        <w:rPr>
          <w:rFonts w:hint="eastAsia" w:ascii="宋体" w:hAnsi="宋体" w:cs="宋体"/>
          <w:b/>
          <w:color w:val="auto"/>
          <w:sz w:val="32"/>
          <w:szCs w:val="32"/>
          <w:highlight w:val="none"/>
          <w:lang w:val="en-US" w:eastAsia="zh-CN"/>
        </w:rPr>
        <w:t>SDLD</w:t>
      </w:r>
      <w:r>
        <w:rPr>
          <w:rFonts w:hint="eastAsia" w:ascii="宋体" w:hAnsi="宋体" w:eastAsia="宋体" w:cs="宋体"/>
          <w:b/>
          <w:color w:val="auto"/>
          <w:sz w:val="32"/>
          <w:szCs w:val="32"/>
          <w:highlight w:val="none"/>
          <w:lang w:val="en-US" w:eastAsia="zh-CN"/>
        </w:rPr>
        <w:t>2019</w:t>
      </w:r>
      <w:r>
        <w:rPr>
          <w:rFonts w:hint="eastAsia" w:ascii="宋体" w:hAnsi="宋体" w:cs="宋体"/>
          <w:b/>
          <w:color w:val="auto"/>
          <w:sz w:val="32"/>
          <w:szCs w:val="32"/>
          <w:highlight w:val="none"/>
          <w:lang w:val="en-US" w:eastAsia="zh-CN"/>
        </w:rPr>
        <w:t>GK005</w:t>
      </w:r>
    </w:p>
    <w:p>
      <w:pPr>
        <w:spacing w:line="200" w:lineRule="exact"/>
        <w:rPr>
          <w:rFonts w:hint="eastAsia" w:ascii="宋体" w:hAnsi="宋体" w:eastAsia="宋体" w:cs="宋体"/>
          <w:color w:val="auto"/>
          <w:sz w:val="24"/>
          <w:highlight w:val="none"/>
        </w:rPr>
      </w:pPr>
    </w:p>
    <w:p>
      <w:pPr>
        <w:spacing w:line="200" w:lineRule="exact"/>
        <w:rPr>
          <w:rFonts w:hint="eastAsia" w:ascii="宋体" w:hAnsi="宋体" w:eastAsia="宋体" w:cs="宋体"/>
          <w:color w:val="auto"/>
          <w:sz w:val="24"/>
          <w:highlight w:val="none"/>
        </w:rPr>
      </w:pPr>
    </w:p>
    <w:p>
      <w:pPr>
        <w:spacing w:line="200" w:lineRule="exact"/>
        <w:rPr>
          <w:rFonts w:hint="eastAsia" w:ascii="宋体" w:hAnsi="宋体" w:eastAsia="宋体" w:cs="宋体"/>
          <w:color w:val="auto"/>
          <w:sz w:val="24"/>
          <w:highlight w:val="none"/>
        </w:rPr>
      </w:pPr>
    </w:p>
    <w:p>
      <w:pPr>
        <w:spacing w:line="322" w:lineRule="exact"/>
        <w:rPr>
          <w:rFonts w:hint="eastAsia" w:ascii="宋体" w:hAnsi="宋体" w:eastAsia="宋体" w:cs="宋体"/>
          <w:color w:val="auto"/>
          <w:sz w:val="24"/>
          <w:highlight w:val="none"/>
        </w:rPr>
      </w:pPr>
    </w:p>
    <w:p>
      <w:pPr>
        <w:spacing w:line="322" w:lineRule="exact"/>
        <w:rPr>
          <w:rFonts w:hint="eastAsia" w:ascii="宋体" w:hAnsi="宋体" w:eastAsia="宋体" w:cs="宋体"/>
          <w:color w:val="auto"/>
          <w:sz w:val="24"/>
          <w:highlight w:val="none"/>
        </w:rPr>
      </w:pPr>
    </w:p>
    <w:p>
      <w:pPr>
        <w:spacing w:line="322" w:lineRule="exact"/>
        <w:rPr>
          <w:rFonts w:hint="eastAsia" w:ascii="宋体" w:hAnsi="宋体" w:eastAsia="宋体" w:cs="宋体"/>
          <w:color w:val="auto"/>
          <w:sz w:val="24"/>
          <w:highlight w:val="none"/>
        </w:rPr>
      </w:pPr>
    </w:p>
    <w:p>
      <w:pPr>
        <w:keepNext w:val="0"/>
        <w:keepLines w:val="0"/>
        <w:pageBreakBefore w:val="0"/>
        <w:widowControl/>
        <w:tabs>
          <w:tab w:val="left" w:pos="950"/>
        </w:tabs>
        <w:kinsoku/>
        <w:wordWrap/>
        <w:overflowPunct/>
        <w:topLinePunct w:val="0"/>
        <w:autoSpaceDE/>
        <w:autoSpaceDN/>
        <w:bidi w:val="0"/>
        <w:adjustRightInd/>
        <w:snapToGrid/>
        <w:spacing w:line="360" w:lineRule="auto"/>
        <w:jc w:val="both"/>
        <w:textAlignment w:val="auto"/>
        <w:outlineLvl w:val="9"/>
        <w:rPr>
          <w:rFonts w:hint="eastAsia" w:ascii="宋体" w:hAnsi="宋体" w:cs="宋体"/>
          <w:b/>
          <w:color w:val="auto"/>
          <w:sz w:val="32"/>
          <w:szCs w:val="32"/>
          <w:highlight w:val="none"/>
          <w:lang w:eastAsia="zh-CN"/>
        </w:rPr>
      </w:pPr>
    </w:p>
    <w:p>
      <w:pPr>
        <w:keepNext w:val="0"/>
        <w:keepLines w:val="0"/>
        <w:pageBreakBefore w:val="0"/>
        <w:widowControl/>
        <w:tabs>
          <w:tab w:val="left" w:pos="950"/>
        </w:tabs>
        <w:kinsoku/>
        <w:wordWrap/>
        <w:overflowPunct/>
        <w:topLinePunct w:val="0"/>
        <w:autoSpaceDE/>
        <w:autoSpaceDN/>
        <w:bidi w:val="0"/>
        <w:adjustRightInd/>
        <w:snapToGrid/>
        <w:spacing w:line="360" w:lineRule="auto"/>
        <w:ind w:firstLine="1285" w:firstLineChars="400"/>
        <w:jc w:val="both"/>
        <w:textAlignment w:val="auto"/>
        <w:outlineLvl w:val="9"/>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lang w:eastAsia="zh-CN"/>
        </w:rPr>
        <w:t>招</w:t>
      </w:r>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lang w:eastAsia="zh-CN"/>
        </w:rPr>
        <w:t>标</w:t>
      </w:r>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lang w:eastAsia="zh-CN"/>
        </w:rPr>
        <w:t>人</w:t>
      </w:r>
      <w:r>
        <w:rPr>
          <w:rFonts w:hint="eastAsia" w:ascii="宋体" w:hAnsi="宋体" w:eastAsia="宋体" w:cs="宋体"/>
          <w:b/>
          <w:color w:val="auto"/>
          <w:sz w:val="32"/>
          <w:szCs w:val="32"/>
          <w:highlight w:val="none"/>
          <w:lang w:eastAsia="zh-CN"/>
        </w:rPr>
        <w:t>：</w:t>
      </w:r>
      <w:r>
        <w:rPr>
          <w:rFonts w:hint="eastAsia" w:ascii="宋体" w:hAnsi="宋体" w:cs="宋体"/>
          <w:b/>
          <w:color w:val="auto"/>
          <w:sz w:val="32"/>
          <w:szCs w:val="32"/>
          <w:highlight w:val="none"/>
          <w:lang w:eastAsia="zh-CN"/>
        </w:rPr>
        <w:t>济南市消防支队章丘区大队</w:t>
      </w:r>
    </w:p>
    <w:p>
      <w:pPr>
        <w:keepNext w:val="0"/>
        <w:keepLines w:val="0"/>
        <w:pageBreakBefore w:val="0"/>
        <w:widowControl/>
        <w:kinsoku/>
        <w:wordWrap/>
        <w:overflowPunct/>
        <w:topLinePunct w:val="0"/>
        <w:autoSpaceDE/>
        <w:autoSpaceDN/>
        <w:bidi w:val="0"/>
        <w:adjustRightInd/>
        <w:snapToGrid/>
        <w:spacing w:line="360" w:lineRule="auto"/>
        <w:ind w:left="920" w:firstLine="321" w:firstLineChars="100"/>
        <w:jc w:val="left"/>
        <w:textAlignment w:val="auto"/>
        <w:outlineLvl w:val="9"/>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代 理 机 构：</w:t>
      </w:r>
      <w:r>
        <w:rPr>
          <w:rFonts w:hint="eastAsia" w:ascii="宋体" w:hAnsi="宋体" w:eastAsia="宋体" w:cs="宋体"/>
          <w:b/>
          <w:color w:val="auto"/>
          <w:sz w:val="32"/>
          <w:szCs w:val="32"/>
          <w:highlight w:val="none"/>
          <w:lang w:eastAsia="zh-CN"/>
        </w:rPr>
        <w:t>山东蓝盾招标代理有限公司</w:t>
      </w:r>
    </w:p>
    <w:p>
      <w:pPr>
        <w:keepNext w:val="0"/>
        <w:keepLines w:val="0"/>
        <w:pageBreakBefore w:val="0"/>
        <w:widowControl/>
        <w:tabs>
          <w:tab w:val="left" w:pos="2360"/>
        </w:tabs>
        <w:kinsoku/>
        <w:wordWrap/>
        <w:overflowPunct/>
        <w:topLinePunct w:val="0"/>
        <w:autoSpaceDE/>
        <w:autoSpaceDN/>
        <w:bidi w:val="0"/>
        <w:adjustRightInd/>
        <w:snapToGrid/>
        <w:spacing w:line="360" w:lineRule="auto"/>
        <w:ind w:left="920" w:firstLine="321" w:firstLineChars="100"/>
        <w:textAlignment w:val="auto"/>
        <w:outlineLvl w:val="9"/>
        <w:rPr>
          <w:rFonts w:hint="eastAsia" w:ascii="宋体" w:hAnsi="宋体" w:eastAsia="宋体" w:cs="宋体"/>
          <w:b/>
          <w:color w:val="auto"/>
          <w:sz w:val="32"/>
          <w:szCs w:val="32"/>
          <w:highlight w:val="none"/>
          <w:lang w:val="en-US"/>
        </w:rPr>
        <w:sectPr>
          <w:headerReference r:id="rId4" w:type="first"/>
          <w:footerReference r:id="rId6" w:type="first"/>
          <w:headerReference r:id="rId3" w:type="default"/>
          <w:footerReference r:id="rId5" w:type="default"/>
          <w:pgSz w:w="11900" w:h="16840"/>
          <w:pgMar w:top="1440" w:right="1660" w:bottom="1440" w:left="1760" w:header="567" w:footer="567" w:gutter="0"/>
          <w:pgBorders>
            <w:top w:val="none" w:sz="0" w:space="0"/>
            <w:left w:val="none" w:sz="0" w:space="0"/>
            <w:bottom w:val="none" w:sz="0" w:space="0"/>
            <w:right w:val="none" w:sz="0" w:space="0"/>
          </w:pgBorders>
          <w:pgNumType w:fmt="decimal"/>
          <w:cols w:equalWidth="0" w:num="1">
            <w:col w:w="8480"/>
          </w:cols>
          <w:docGrid w:linePitch="360" w:charSpace="0"/>
        </w:sectPr>
      </w:pPr>
      <w:r>
        <w:rPr>
          <w:rFonts w:hint="eastAsia" w:ascii="宋体" w:hAnsi="宋体" w:eastAsia="宋体" w:cs="宋体"/>
          <w:b/>
          <w:color w:val="auto"/>
          <w:sz w:val="32"/>
          <w:szCs w:val="32"/>
          <w:highlight w:val="none"/>
        </w:rPr>
        <w:t>日</w:t>
      </w:r>
      <w:r>
        <w:rPr>
          <w:rFonts w:hint="eastAsia" w:ascii="宋体" w:hAnsi="宋体" w:eastAsia="宋体" w:cs="宋体"/>
          <w:color w:val="auto"/>
          <w:sz w:val="32"/>
          <w:szCs w:val="32"/>
          <w:highlight w:val="none"/>
        </w:rPr>
        <w:tab/>
      </w:r>
      <w:r>
        <w:rPr>
          <w:rFonts w:hint="eastAsia" w:ascii="宋体" w:hAnsi="宋体" w:cs="宋体"/>
          <w:color w:val="auto"/>
          <w:sz w:val="32"/>
          <w:szCs w:val="32"/>
          <w:highlight w:val="none"/>
          <w:lang w:val="en-US" w:eastAsia="zh-CN"/>
        </w:rPr>
        <w:t xml:space="preserve">  </w:t>
      </w:r>
      <w:r>
        <w:rPr>
          <w:rFonts w:hint="eastAsia" w:ascii="宋体" w:hAnsi="宋体" w:eastAsia="宋体" w:cs="宋体"/>
          <w:b/>
          <w:color w:val="auto"/>
          <w:sz w:val="32"/>
          <w:szCs w:val="32"/>
          <w:highlight w:val="none"/>
        </w:rPr>
        <w:t>期: 二〇一</w:t>
      </w:r>
      <w:r>
        <w:rPr>
          <w:rFonts w:hint="eastAsia" w:ascii="宋体" w:hAnsi="宋体" w:eastAsia="宋体" w:cs="宋体"/>
          <w:b/>
          <w:color w:val="auto"/>
          <w:sz w:val="32"/>
          <w:szCs w:val="32"/>
          <w:highlight w:val="none"/>
          <w:lang w:eastAsia="zh-CN"/>
        </w:rPr>
        <w:t>九</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eastAsia="zh-CN"/>
        </w:rPr>
        <w:t>四月</w:t>
      </w:r>
    </w:p>
    <w:p>
      <w:pPr>
        <w:tabs>
          <w:tab w:val="left" w:pos="1080"/>
        </w:tabs>
        <w:snapToGrid w:val="0"/>
        <w:spacing w:line="240" w:lineRule="auto"/>
        <w:jc w:val="center"/>
        <w:rPr>
          <w:rFonts w:hint="eastAsia" w:ascii="宋体" w:hAnsi="宋体"/>
          <w:b/>
          <w:bCs w:val="0"/>
          <w:sz w:val="36"/>
          <w:szCs w:val="36"/>
          <w:highlight w:val="none"/>
        </w:rPr>
      </w:pPr>
      <w:r>
        <w:rPr>
          <w:rFonts w:hint="eastAsia" w:ascii="宋体" w:hAnsi="宋体"/>
          <w:b/>
          <w:bCs w:val="0"/>
          <w:sz w:val="36"/>
          <w:szCs w:val="36"/>
          <w:highlight w:val="none"/>
        </w:rPr>
        <w:t>目  录</w:t>
      </w:r>
    </w:p>
    <w:sdt>
      <w:sdtPr>
        <w:rPr>
          <w:rFonts w:ascii="宋体" w:hAnsi="宋体" w:eastAsia="宋体" w:cs="Times New Roman"/>
          <w:sz w:val="21"/>
          <w:highlight w:val="none"/>
        </w:rPr>
        <w:id w:val="147466193"/>
        <w:docPartObj>
          <w:docPartGallery w:val="Table of Contents"/>
          <w:docPartUnique/>
        </w:docPartObj>
      </w:sdtPr>
      <w:sdtEndPr>
        <w:rPr>
          <w:rFonts w:hint="eastAsia" w:ascii="宋体" w:hAnsi="宋体" w:eastAsia="宋体" w:cs="宋体"/>
          <w:sz w:val="24"/>
          <w:szCs w:val="24"/>
          <w:highlight w:val="none"/>
        </w:rPr>
      </w:sdtEndPr>
      <w:sdtContent>
        <w:p>
          <w:pPr>
            <w:spacing w:before="0" w:beforeLines="0" w:after="0" w:afterLines="0" w:line="240" w:lineRule="auto"/>
            <w:ind w:left="0" w:leftChars="0" w:right="0" w:rightChars="0" w:firstLine="0" w:firstLineChars="0"/>
            <w:jc w:val="center"/>
            <w:rPr>
              <w:highlight w:val="none"/>
            </w:rPr>
          </w:pPr>
        </w:p>
        <w:p>
          <w:pPr>
            <w:pStyle w:val="14"/>
            <w:tabs>
              <w:tab w:val="right" w:leader="dot" w:pos="9496"/>
            </w:tabs>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TOC \o "1-3" \h \u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_Toc10431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xml:space="preserve">第一部分 </w:t>
          </w:r>
          <w:r>
            <w:rPr>
              <w:rFonts w:hint="eastAsia" w:ascii="宋体" w:hAnsi="宋体" w:eastAsia="宋体" w:cs="宋体"/>
              <w:sz w:val="24"/>
              <w:szCs w:val="24"/>
              <w:highlight w:val="none"/>
              <w:lang w:eastAsia="zh-CN"/>
            </w:rPr>
            <w:t>公开招标</w:t>
          </w:r>
          <w:r>
            <w:rPr>
              <w:rFonts w:hint="eastAsia" w:ascii="宋体" w:hAnsi="宋体" w:eastAsia="宋体" w:cs="宋体"/>
              <w:sz w:val="24"/>
              <w:szCs w:val="24"/>
              <w:highlight w:val="none"/>
            </w:rPr>
            <w:t>公告</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_Toc10431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4"/>
            <w:tabs>
              <w:tab w:val="right" w:leader="dot" w:pos="9496"/>
            </w:tabs>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_Toc12362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eastAsia="zh-CN"/>
            </w:rPr>
            <w:t>第二部分 投标人须知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_Toc12362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6"/>
            <w:tabs>
              <w:tab w:val="right" w:leader="dot" w:pos="9496"/>
            </w:tabs>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_Toc19815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lang w:eastAsia="zh-CN"/>
            </w:rPr>
            <w:t>一、</w:t>
          </w:r>
          <w:r>
            <w:rPr>
              <w:rFonts w:hint="eastAsia" w:ascii="宋体" w:hAnsi="宋体" w:eastAsia="宋体" w:cs="宋体"/>
              <w:bCs/>
              <w:sz w:val="24"/>
              <w:szCs w:val="24"/>
              <w:highlight w:val="none"/>
            </w:rPr>
            <w:t>适用范围</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_Toc19815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6"/>
            <w:tabs>
              <w:tab w:val="right" w:leader="dot" w:pos="9496"/>
            </w:tabs>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_Toc2501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二、定义</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_Toc2501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6"/>
            <w:tabs>
              <w:tab w:val="right" w:leader="dot" w:pos="9496"/>
            </w:tabs>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_Toc19649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三、招标文件说明</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_Toc19649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6"/>
            <w:tabs>
              <w:tab w:val="right" w:leader="dot" w:pos="9496"/>
            </w:tabs>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_Toc16886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四、投标文件的编写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_Toc16886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4"/>
            <w:tabs>
              <w:tab w:val="right" w:leader="dot" w:pos="9496"/>
            </w:tabs>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_Toc29829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第三部分 项目说明及要求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_Toc29829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4"/>
            <w:tabs>
              <w:tab w:val="right" w:leader="dot" w:pos="9496"/>
            </w:tabs>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_Toc63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第四部分 开标、评标、定标</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_Toc63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6"/>
            <w:tabs>
              <w:tab w:val="right" w:leader="dot" w:pos="9496"/>
            </w:tabs>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_Toc9487 </w:instrText>
          </w:r>
          <w:r>
            <w:rPr>
              <w:rFonts w:hint="eastAsia" w:ascii="宋体" w:hAnsi="宋体" w:eastAsia="宋体" w:cs="宋体"/>
              <w:sz w:val="24"/>
              <w:szCs w:val="24"/>
              <w:highlight w:val="none"/>
            </w:rPr>
            <w:fldChar w:fldCharType="separate"/>
          </w:r>
          <w:r>
            <w:rPr>
              <w:rFonts w:hint="eastAsia" w:ascii="宋体" w:hAnsi="宋体" w:eastAsia="宋体" w:cs="宋体"/>
              <w:bCs w:val="0"/>
              <w:sz w:val="24"/>
              <w:szCs w:val="24"/>
              <w:highlight w:val="none"/>
            </w:rPr>
            <w:t>一、开标</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_Toc9487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6"/>
            <w:tabs>
              <w:tab w:val="right" w:leader="dot" w:pos="9496"/>
            </w:tabs>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_Toc2076 </w:instrText>
          </w:r>
          <w:r>
            <w:rPr>
              <w:rFonts w:hint="eastAsia" w:ascii="宋体" w:hAnsi="宋体" w:eastAsia="宋体" w:cs="宋体"/>
              <w:sz w:val="24"/>
              <w:szCs w:val="24"/>
              <w:highlight w:val="none"/>
            </w:rPr>
            <w:fldChar w:fldCharType="separate"/>
          </w:r>
          <w:r>
            <w:rPr>
              <w:rFonts w:hint="eastAsia" w:ascii="宋体" w:hAnsi="宋体" w:eastAsia="宋体" w:cs="宋体"/>
              <w:bCs w:val="0"/>
              <w:sz w:val="24"/>
              <w:szCs w:val="24"/>
              <w:highlight w:val="none"/>
            </w:rPr>
            <w:t>二、评标委员会</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_Toc2076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6"/>
            <w:tabs>
              <w:tab w:val="right" w:leader="dot" w:pos="9496"/>
            </w:tabs>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_Toc11821 </w:instrText>
          </w:r>
          <w:r>
            <w:rPr>
              <w:rFonts w:hint="eastAsia" w:ascii="宋体" w:hAnsi="宋体" w:eastAsia="宋体" w:cs="宋体"/>
              <w:sz w:val="24"/>
              <w:szCs w:val="24"/>
              <w:highlight w:val="none"/>
            </w:rPr>
            <w:fldChar w:fldCharType="separate"/>
          </w:r>
          <w:r>
            <w:rPr>
              <w:rFonts w:hint="eastAsia" w:ascii="宋体" w:hAnsi="宋体" w:eastAsia="宋体" w:cs="宋体"/>
              <w:bCs w:val="0"/>
              <w:sz w:val="24"/>
              <w:szCs w:val="24"/>
              <w:highlight w:val="none"/>
            </w:rPr>
            <w:t>三、评标委员会审查投标文件的响应性</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_Toc11821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6"/>
            <w:tabs>
              <w:tab w:val="right" w:leader="dot" w:pos="9496"/>
            </w:tabs>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_Toc17216 </w:instrText>
          </w:r>
          <w:r>
            <w:rPr>
              <w:rFonts w:hint="eastAsia" w:ascii="宋体" w:hAnsi="宋体" w:eastAsia="宋体" w:cs="宋体"/>
              <w:sz w:val="24"/>
              <w:szCs w:val="24"/>
              <w:highlight w:val="none"/>
            </w:rPr>
            <w:fldChar w:fldCharType="separate"/>
          </w:r>
          <w:r>
            <w:rPr>
              <w:rFonts w:hint="eastAsia" w:ascii="宋体" w:hAnsi="宋体" w:eastAsia="宋体" w:cs="宋体"/>
              <w:bCs w:val="0"/>
              <w:sz w:val="24"/>
              <w:szCs w:val="24"/>
              <w:highlight w:val="none"/>
            </w:rPr>
            <w:t>四、评标委员会进行询标及投标人对投标文件的澄清</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_Toc17216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6"/>
            <w:tabs>
              <w:tab w:val="right" w:leader="dot" w:pos="9496"/>
            </w:tabs>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_Toc20323 </w:instrText>
          </w:r>
          <w:r>
            <w:rPr>
              <w:rFonts w:hint="eastAsia" w:ascii="宋体" w:hAnsi="宋体" w:eastAsia="宋体" w:cs="宋体"/>
              <w:sz w:val="24"/>
              <w:szCs w:val="24"/>
              <w:highlight w:val="none"/>
            </w:rPr>
            <w:fldChar w:fldCharType="separate"/>
          </w:r>
          <w:r>
            <w:rPr>
              <w:rFonts w:hint="eastAsia" w:ascii="宋体" w:hAnsi="宋体" w:eastAsia="宋体" w:cs="宋体"/>
              <w:bCs w:val="0"/>
              <w:sz w:val="24"/>
              <w:szCs w:val="24"/>
              <w:highlight w:val="none"/>
            </w:rPr>
            <w:t>五、评标原则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_Toc20323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6"/>
            <w:tabs>
              <w:tab w:val="right" w:leader="dot" w:pos="9496"/>
            </w:tabs>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_Toc25941 </w:instrText>
          </w:r>
          <w:r>
            <w:rPr>
              <w:rFonts w:hint="eastAsia" w:ascii="宋体" w:hAnsi="宋体" w:eastAsia="宋体" w:cs="宋体"/>
              <w:sz w:val="24"/>
              <w:szCs w:val="24"/>
              <w:highlight w:val="none"/>
            </w:rPr>
            <w:fldChar w:fldCharType="separate"/>
          </w:r>
          <w:r>
            <w:rPr>
              <w:rFonts w:hint="eastAsia" w:ascii="宋体" w:hAnsi="宋体" w:eastAsia="宋体" w:cs="宋体"/>
              <w:bCs w:val="0"/>
              <w:sz w:val="24"/>
              <w:szCs w:val="24"/>
              <w:highlight w:val="none"/>
            </w:rPr>
            <w:t>六、评标方法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_Toc25941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6"/>
            <w:tabs>
              <w:tab w:val="right" w:leader="dot" w:pos="9496"/>
            </w:tabs>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_Toc24351 </w:instrText>
          </w:r>
          <w:r>
            <w:rPr>
              <w:rFonts w:hint="eastAsia" w:ascii="宋体" w:hAnsi="宋体" w:eastAsia="宋体" w:cs="宋体"/>
              <w:sz w:val="24"/>
              <w:szCs w:val="24"/>
              <w:highlight w:val="none"/>
            </w:rPr>
            <w:fldChar w:fldCharType="separate"/>
          </w:r>
          <w:r>
            <w:rPr>
              <w:rFonts w:hint="eastAsia" w:ascii="宋体" w:hAnsi="宋体" w:eastAsia="宋体" w:cs="宋体"/>
              <w:bCs w:val="0"/>
              <w:sz w:val="24"/>
              <w:szCs w:val="24"/>
              <w:highlight w:val="none"/>
            </w:rPr>
            <w:t>七、评标纪律</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_Toc24351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6"/>
            <w:tabs>
              <w:tab w:val="right" w:leader="dot" w:pos="9496"/>
            </w:tabs>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_Toc16082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八、中标通知书</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_Toc16082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6"/>
            <w:tabs>
              <w:tab w:val="right" w:leader="dot" w:pos="9496"/>
            </w:tabs>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_Toc30900 </w:instrText>
          </w:r>
          <w:r>
            <w:rPr>
              <w:rFonts w:hint="eastAsia" w:ascii="宋体" w:hAnsi="宋体" w:eastAsia="宋体" w:cs="宋体"/>
              <w:sz w:val="24"/>
              <w:szCs w:val="24"/>
              <w:highlight w:val="none"/>
            </w:rPr>
            <w:fldChar w:fldCharType="separate"/>
          </w:r>
          <w:r>
            <w:rPr>
              <w:rFonts w:hint="eastAsia" w:ascii="宋体" w:hAnsi="宋体" w:eastAsia="宋体" w:cs="宋体"/>
              <w:kern w:val="2"/>
              <w:sz w:val="24"/>
              <w:szCs w:val="24"/>
              <w:highlight w:val="none"/>
            </w:rPr>
            <w:t>九、评标过程保密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_Toc30900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6"/>
            <w:tabs>
              <w:tab w:val="right" w:leader="dot" w:pos="9496"/>
            </w:tabs>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_Toc16274 </w:instrText>
          </w:r>
          <w:r>
            <w:rPr>
              <w:rFonts w:hint="eastAsia" w:ascii="宋体" w:hAnsi="宋体" w:eastAsia="宋体" w:cs="宋体"/>
              <w:sz w:val="24"/>
              <w:szCs w:val="24"/>
              <w:highlight w:val="none"/>
            </w:rPr>
            <w:fldChar w:fldCharType="separate"/>
          </w:r>
          <w:r>
            <w:rPr>
              <w:rFonts w:hint="eastAsia" w:ascii="宋体" w:hAnsi="宋体" w:eastAsia="宋体" w:cs="宋体"/>
              <w:kern w:val="2"/>
              <w:sz w:val="24"/>
              <w:szCs w:val="24"/>
              <w:highlight w:val="none"/>
            </w:rPr>
            <w:t>十、投标人瑕疵滞后的处理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_Toc16274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6"/>
            <w:tabs>
              <w:tab w:val="right" w:leader="dot" w:pos="9496"/>
            </w:tabs>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_Toc20249 </w:instrText>
          </w:r>
          <w:r>
            <w:rPr>
              <w:rFonts w:hint="eastAsia" w:ascii="宋体" w:hAnsi="宋体" w:eastAsia="宋体" w:cs="宋体"/>
              <w:sz w:val="24"/>
              <w:szCs w:val="24"/>
              <w:highlight w:val="none"/>
            </w:rPr>
            <w:fldChar w:fldCharType="separate"/>
          </w:r>
          <w:r>
            <w:rPr>
              <w:rFonts w:hint="eastAsia" w:ascii="宋体" w:hAnsi="宋体" w:eastAsia="宋体" w:cs="宋体"/>
              <w:kern w:val="2"/>
              <w:sz w:val="24"/>
              <w:szCs w:val="24"/>
              <w:highlight w:val="none"/>
            </w:rPr>
            <w:t>十一、废标</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_Toc20249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4"/>
            <w:tabs>
              <w:tab w:val="right" w:leader="dot" w:pos="9496"/>
            </w:tabs>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_Toc28430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第五部分 授予合同</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_Toc28430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6"/>
            <w:tabs>
              <w:tab w:val="right" w:leader="dot" w:pos="9496"/>
            </w:tabs>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_Toc29378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一、签订合同</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_Toc29378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6"/>
            <w:tabs>
              <w:tab w:val="right" w:leader="dot" w:pos="9496"/>
            </w:tabs>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_Toc3936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二、合同格式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_Toc3936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4"/>
            <w:tabs>
              <w:tab w:val="right" w:leader="dot" w:pos="9496"/>
            </w:tabs>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_Toc2821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lang w:eastAsia="zh-CN"/>
            </w:rPr>
            <w:t>第六部分</w:t>
          </w:r>
          <w:r>
            <w:rPr>
              <w:rFonts w:hint="eastAsia" w:ascii="宋体" w:hAnsi="宋体" w:eastAsia="宋体" w:cs="宋体"/>
              <w:bCs/>
              <w:sz w:val="24"/>
              <w:szCs w:val="24"/>
              <w:highlight w:val="none"/>
              <w:lang w:val="en-US" w:eastAsia="zh-CN"/>
            </w:rPr>
            <w:t xml:space="preserve"> 附件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_Toc2821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4"/>
            <w:tabs>
              <w:tab w:val="right" w:leader="dot" w:pos="9496"/>
            </w:tabs>
            <w:spacing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_Toc2436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lang w:eastAsia="zh-CN"/>
            </w:rPr>
            <w:t>附件</w:t>
          </w:r>
          <w:r>
            <w:rPr>
              <w:rFonts w:hint="eastAsia" w:ascii="宋体" w:hAnsi="宋体" w:eastAsia="宋体" w:cs="宋体"/>
              <w:bCs/>
              <w:sz w:val="24"/>
              <w:szCs w:val="24"/>
              <w:highlight w:val="none"/>
            </w:rPr>
            <w:t>一、投  标  函</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_Toc2436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4"/>
            <w:tabs>
              <w:tab w:val="right" w:leader="dot" w:pos="9496"/>
            </w:tabs>
            <w:spacing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_Toc18415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lang w:eastAsia="zh-CN"/>
            </w:rPr>
            <w:t>附件二、法定代表人身份证明</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_Toc18415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4"/>
            <w:tabs>
              <w:tab w:val="right" w:leader="dot" w:pos="9496"/>
            </w:tabs>
            <w:spacing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_Toc29803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lang w:eastAsia="zh-CN"/>
            </w:rPr>
            <w:t>附件三、法定代表人授权委托书</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_Toc29803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4"/>
            <w:tabs>
              <w:tab w:val="right" w:leader="dot" w:pos="9496"/>
            </w:tabs>
            <w:spacing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_Toc14193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lang w:eastAsia="zh-CN"/>
            </w:rPr>
            <w:t>附件四、投标保证金</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_Toc14193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4"/>
            <w:tabs>
              <w:tab w:val="right" w:leader="dot" w:pos="9496"/>
            </w:tabs>
            <w:spacing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_Toc21981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lang w:eastAsia="zh-CN"/>
            </w:rPr>
            <w:t>附件五、开标一览表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_Toc21981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4"/>
            <w:tabs>
              <w:tab w:val="right" w:leader="dot" w:pos="9496"/>
            </w:tabs>
            <w:spacing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_Toc16720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lang w:eastAsia="zh-CN"/>
            </w:rPr>
            <w:t>附件六、报价明细表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_Toc16720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4"/>
            <w:tabs>
              <w:tab w:val="right" w:leader="dot" w:pos="9496"/>
            </w:tabs>
            <w:spacing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_Toc29505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lang w:eastAsia="zh-CN"/>
            </w:rPr>
            <w:t>附件七、投标偏离表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_Toc29505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4"/>
            <w:tabs>
              <w:tab w:val="right" w:leader="dot" w:pos="9496"/>
            </w:tabs>
            <w:spacing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_Toc26431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附件</w:t>
          </w:r>
          <w:r>
            <w:rPr>
              <w:rFonts w:hint="eastAsia" w:ascii="宋体" w:hAnsi="宋体" w:eastAsia="宋体" w:cs="宋体"/>
              <w:sz w:val="24"/>
              <w:szCs w:val="24"/>
              <w:highlight w:val="none"/>
              <w:lang w:eastAsia="zh-CN"/>
            </w:rPr>
            <w:t>八</w:t>
          </w:r>
          <w:r>
            <w:rPr>
              <w:rFonts w:hint="eastAsia" w:ascii="宋体" w:hAnsi="宋体" w:eastAsia="宋体" w:cs="宋体"/>
              <w:sz w:val="24"/>
              <w:szCs w:val="24"/>
              <w:highlight w:val="none"/>
            </w:rPr>
            <w:t>、拟投入本项目的人员表（格式）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_Toc26431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4"/>
            <w:tabs>
              <w:tab w:val="right" w:leader="dot" w:pos="9496"/>
            </w:tabs>
            <w:spacing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_Toc31167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附件</w:t>
          </w:r>
          <w:r>
            <w:rPr>
              <w:rFonts w:hint="eastAsia" w:ascii="宋体" w:hAnsi="宋体" w:eastAsia="宋体" w:cs="宋体"/>
              <w:sz w:val="24"/>
              <w:szCs w:val="24"/>
              <w:highlight w:val="none"/>
              <w:lang w:eastAsia="zh-CN"/>
            </w:rPr>
            <w:t>九</w:t>
          </w:r>
          <w:r>
            <w:rPr>
              <w:rFonts w:hint="eastAsia" w:ascii="宋体" w:hAnsi="宋体" w:eastAsia="宋体" w:cs="宋体"/>
              <w:sz w:val="24"/>
              <w:szCs w:val="24"/>
              <w:highlight w:val="none"/>
            </w:rPr>
            <w:t>、拟配备设备及物资一览表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_Toc31167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4"/>
            <w:tabs>
              <w:tab w:val="right" w:leader="dot" w:pos="9496"/>
            </w:tabs>
            <w:spacing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_Toc4868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附件</w:t>
          </w:r>
          <w:r>
            <w:rPr>
              <w:rFonts w:hint="eastAsia" w:ascii="宋体" w:hAnsi="宋体" w:eastAsia="宋体" w:cs="宋体"/>
              <w:sz w:val="24"/>
              <w:szCs w:val="24"/>
              <w:highlight w:val="none"/>
              <w:lang w:eastAsia="zh-CN"/>
            </w:rPr>
            <w:t>十</w:t>
          </w:r>
          <w:r>
            <w:rPr>
              <w:rFonts w:hint="eastAsia" w:ascii="宋体" w:hAnsi="宋体" w:eastAsia="宋体" w:cs="宋体"/>
              <w:sz w:val="24"/>
              <w:szCs w:val="24"/>
              <w:highlight w:val="none"/>
            </w:rPr>
            <w:t>、201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年1月1日至今完成同类业绩一览表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_Toc4868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4"/>
            <w:tabs>
              <w:tab w:val="right" w:leader="dot" w:pos="9496"/>
            </w:tabs>
            <w:spacing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_Toc16473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GB" w:eastAsia="zh-CN"/>
            </w:rPr>
            <w:t>附件十一、近三年内，在经营活动中没有重大违法记录的声明</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_Toc16473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4"/>
            <w:tabs>
              <w:tab w:val="right" w:leader="dot" w:pos="9496"/>
            </w:tabs>
            <w:spacing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_Toc19102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GB" w:eastAsia="zh-CN"/>
            </w:rPr>
            <w:t>附件十二、中小微企业声明函（如有）</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_Toc19102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4"/>
            <w:tabs>
              <w:tab w:val="right" w:leader="dot" w:pos="9496"/>
            </w:tabs>
            <w:spacing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_Toc8900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eastAsia="zh-CN"/>
            </w:rPr>
            <w:t>附件十三、</w:t>
          </w:r>
          <w:r>
            <w:rPr>
              <w:rFonts w:hint="eastAsia" w:ascii="宋体" w:hAnsi="宋体" w:eastAsia="宋体" w:cs="宋体"/>
              <w:sz w:val="24"/>
              <w:szCs w:val="24"/>
              <w:highlight w:val="none"/>
            </w:rPr>
            <w:t>政府采购投标担保函（</w:t>
          </w:r>
          <w:r>
            <w:rPr>
              <w:rFonts w:hint="eastAsia" w:ascii="宋体" w:hAnsi="宋体" w:eastAsia="宋体" w:cs="宋体"/>
              <w:sz w:val="24"/>
              <w:szCs w:val="24"/>
              <w:highlight w:val="none"/>
              <w:lang w:eastAsia="zh-CN"/>
            </w:rPr>
            <w:t>如需</w:t>
          </w:r>
          <w:r>
            <w:rPr>
              <w:rFonts w:hint="eastAsia" w:ascii="宋体" w:hAnsi="宋体" w:eastAsia="宋体" w:cs="宋体"/>
              <w:sz w:val="24"/>
              <w:szCs w:val="24"/>
              <w:highlight w:val="none"/>
            </w:rPr>
            <w:t>）</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_Toc8900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4"/>
            <w:tabs>
              <w:tab w:val="right" w:leader="dot" w:pos="9496"/>
            </w:tabs>
            <w:spacing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_Toc15444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eastAsia="zh-CN"/>
            </w:rPr>
            <w:t>附件十四、</w:t>
          </w:r>
          <w:r>
            <w:rPr>
              <w:rFonts w:hint="eastAsia" w:ascii="宋体" w:hAnsi="宋体" w:eastAsia="宋体" w:cs="宋体"/>
              <w:sz w:val="24"/>
              <w:szCs w:val="24"/>
              <w:highlight w:val="none"/>
              <w:lang w:val="en-GB" w:eastAsia="zh-CN"/>
            </w:rPr>
            <w:t>封面及密封包格式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_Toc15444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4"/>
            <w:tabs>
              <w:tab w:val="right" w:leader="dot" w:pos="9496"/>
            </w:tabs>
            <w:spacing w:line="240" w:lineRule="auto"/>
            <w:ind w:firstLine="480" w:firstLineChars="200"/>
            <w:rPr>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_Toc19001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附件十五、评分细则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_Toc19001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keepNext w:val="0"/>
            <w:keepLines w:val="0"/>
            <w:pageBreakBefore w:val="0"/>
            <w:widowControl/>
            <w:kinsoku/>
            <w:wordWrap/>
            <w:overflowPunct/>
            <w:topLinePunct w:val="0"/>
            <w:autoSpaceDE/>
            <w:autoSpaceDN/>
            <w:bidi w:val="0"/>
            <w:adjustRightInd/>
            <w:snapToGrid/>
            <w:spacing w:line="240" w:lineRule="auto"/>
            <w:textAlignment w:val="auto"/>
            <w:outlineLvl w:val="0"/>
            <w:rPr>
              <w:rFonts w:hint="eastAsia" w:ascii="宋体" w:hAnsi="宋体" w:eastAsia="宋体" w:cs="宋体"/>
              <w:b/>
              <w:color w:val="auto"/>
              <w:sz w:val="24"/>
              <w:szCs w:val="24"/>
              <w:highlight w:val="none"/>
            </w:rPr>
          </w:pPr>
          <w:r>
            <w:rPr>
              <w:rFonts w:hint="eastAsia" w:ascii="宋体" w:hAnsi="宋体" w:eastAsia="宋体" w:cs="宋体"/>
              <w:szCs w:val="24"/>
              <w:highlight w:val="none"/>
            </w:rPr>
            <w:fldChar w:fldCharType="end"/>
          </w:r>
        </w:p>
      </w:sdtContent>
    </w:sdt>
    <w:p>
      <w:pPr>
        <w:keepNext w:val="0"/>
        <w:keepLines w:val="0"/>
        <w:pageBreakBefore w:val="0"/>
        <w:widowControl/>
        <w:kinsoku/>
        <w:wordWrap/>
        <w:overflowPunct/>
        <w:topLinePunct w:val="0"/>
        <w:autoSpaceDE/>
        <w:autoSpaceDN/>
        <w:bidi w:val="0"/>
        <w:adjustRightInd/>
        <w:snapToGrid/>
        <w:spacing w:line="240" w:lineRule="auto"/>
        <w:ind w:left="2860"/>
        <w:textAlignment w:val="auto"/>
        <w:outlineLvl w:val="0"/>
        <w:rPr>
          <w:rFonts w:hint="eastAsia" w:ascii="宋体" w:hAnsi="宋体" w:eastAsia="宋体" w:cs="宋体"/>
          <w:b/>
          <w:color w:val="auto"/>
          <w:sz w:val="36"/>
          <w:szCs w:val="36"/>
          <w:highlight w:val="none"/>
        </w:rPr>
      </w:pPr>
      <w:bookmarkStart w:id="0" w:name="_Toc10431"/>
    </w:p>
    <w:p>
      <w:pPr>
        <w:keepNext w:val="0"/>
        <w:keepLines w:val="0"/>
        <w:pageBreakBefore w:val="0"/>
        <w:widowControl/>
        <w:kinsoku/>
        <w:wordWrap/>
        <w:overflowPunct/>
        <w:topLinePunct w:val="0"/>
        <w:autoSpaceDE/>
        <w:autoSpaceDN/>
        <w:bidi w:val="0"/>
        <w:adjustRightInd/>
        <w:snapToGrid/>
        <w:spacing w:line="360" w:lineRule="auto"/>
        <w:ind w:left="2860"/>
        <w:textAlignment w:val="auto"/>
        <w:outlineLvl w:val="0"/>
        <w:rPr>
          <w:rFonts w:hint="eastAsia" w:ascii="宋体" w:hAnsi="宋体" w:eastAsia="宋体" w:cs="宋体"/>
          <w:b/>
          <w:color w:val="auto"/>
          <w:sz w:val="36"/>
          <w:szCs w:val="36"/>
          <w:highlight w:val="none"/>
        </w:rPr>
      </w:pPr>
    </w:p>
    <w:p>
      <w:pPr>
        <w:keepNext w:val="0"/>
        <w:keepLines w:val="0"/>
        <w:pageBreakBefore w:val="0"/>
        <w:widowControl/>
        <w:kinsoku/>
        <w:wordWrap/>
        <w:overflowPunct/>
        <w:topLinePunct w:val="0"/>
        <w:autoSpaceDE/>
        <w:autoSpaceDN/>
        <w:bidi w:val="0"/>
        <w:adjustRightInd/>
        <w:snapToGrid/>
        <w:spacing w:line="360" w:lineRule="auto"/>
        <w:ind w:left="2860"/>
        <w:textAlignment w:val="auto"/>
        <w:outlineLvl w:val="0"/>
        <w:rPr>
          <w:rFonts w:hint="eastAsia" w:ascii="宋体" w:hAnsi="宋体" w:eastAsia="宋体" w:cs="宋体"/>
          <w:b/>
          <w:color w:val="auto"/>
          <w:sz w:val="36"/>
          <w:szCs w:val="36"/>
          <w:highlight w:val="none"/>
        </w:rPr>
      </w:pPr>
    </w:p>
    <w:p>
      <w:pPr>
        <w:keepNext w:val="0"/>
        <w:keepLines w:val="0"/>
        <w:pageBreakBefore w:val="0"/>
        <w:widowControl/>
        <w:kinsoku/>
        <w:wordWrap/>
        <w:overflowPunct/>
        <w:topLinePunct w:val="0"/>
        <w:autoSpaceDE/>
        <w:autoSpaceDN/>
        <w:bidi w:val="0"/>
        <w:adjustRightInd/>
        <w:snapToGrid/>
        <w:spacing w:line="360" w:lineRule="auto"/>
        <w:ind w:left="2860"/>
        <w:textAlignment w:val="auto"/>
        <w:outlineLvl w:val="0"/>
        <w:rPr>
          <w:rFonts w:hint="eastAsia" w:ascii="宋体" w:hAnsi="宋体" w:eastAsia="宋体" w:cs="宋体"/>
          <w:b/>
          <w:color w:val="auto"/>
          <w:sz w:val="36"/>
          <w:szCs w:val="36"/>
          <w:highlight w:val="none"/>
        </w:rPr>
      </w:pPr>
    </w:p>
    <w:p>
      <w:pPr>
        <w:keepNext w:val="0"/>
        <w:keepLines w:val="0"/>
        <w:pageBreakBefore w:val="0"/>
        <w:widowControl/>
        <w:kinsoku/>
        <w:wordWrap/>
        <w:overflowPunct/>
        <w:topLinePunct w:val="0"/>
        <w:autoSpaceDE/>
        <w:autoSpaceDN/>
        <w:bidi w:val="0"/>
        <w:adjustRightInd/>
        <w:snapToGrid/>
        <w:spacing w:line="360" w:lineRule="auto"/>
        <w:ind w:left="2860"/>
        <w:textAlignment w:val="auto"/>
        <w:outlineLvl w:val="0"/>
        <w:rPr>
          <w:rFonts w:hint="eastAsia" w:ascii="宋体" w:hAnsi="宋体" w:eastAsia="宋体" w:cs="宋体"/>
          <w:b/>
          <w:color w:val="auto"/>
          <w:sz w:val="36"/>
          <w:szCs w:val="36"/>
          <w:highlight w:val="none"/>
        </w:rPr>
      </w:pPr>
    </w:p>
    <w:p>
      <w:pPr>
        <w:keepNext w:val="0"/>
        <w:keepLines w:val="0"/>
        <w:pageBreakBefore w:val="0"/>
        <w:widowControl/>
        <w:kinsoku/>
        <w:wordWrap/>
        <w:overflowPunct/>
        <w:topLinePunct w:val="0"/>
        <w:autoSpaceDE/>
        <w:autoSpaceDN/>
        <w:bidi w:val="0"/>
        <w:adjustRightInd/>
        <w:snapToGrid/>
        <w:spacing w:line="360" w:lineRule="auto"/>
        <w:ind w:left="2860"/>
        <w:textAlignment w:val="auto"/>
        <w:outlineLvl w:val="0"/>
        <w:rPr>
          <w:rFonts w:hint="eastAsia" w:ascii="宋体" w:hAnsi="宋体" w:eastAsia="宋体" w:cs="宋体"/>
          <w:b/>
          <w:color w:val="auto"/>
          <w:sz w:val="36"/>
          <w:szCs w:val="36"/>
          <w:highlight w:val="none"/>
        </w:rPr>
      </w:pPr>
    </w:p>
    <w:p>
      <w:pPr>
        <w:keepNext w:val="0"/>
        <w:keepLines w:val="0"/>
        <w:pageBreakBefore w:val="0"/>
        <w:widowControl/>
        <w:kinsoku/>
        <w:wordWrap/>
        <w:overflowPunct/>
        <w:topLinePunct w:val="0"/>
        <w:autoSpaceDE/>
        <w:autoSpaceDN/>
        <w:bidi w:val="0"/>
        <w:adjustRightInd/>
        <w:snapToGrid/>
        <w:spacing w:line="360" w:lineRule="auto"/>
        <w:ind w:left="2860"/>
        <w:textAlignment w:val="auto"/>
        <w:outlineLvl w:val="0"/>
        <w:rPr>
          <w:rFonts w:hint="eastAsia" w:ascii="宋体" w:hAnsi="宋体" w:eastAsia="宋体" w:cs="宋体"/>
          <w:b/>
          <w:color w:val="auto"/>
          <w:sz w:val="36"/>
          <w:szCs w:val="36"/>
          <w:highlight w:val="none"/>
        </w:rPr>
      </w:pPr>
    </w:p>
    <w:p>
      <w:pPr>
        <w:keepNext w:val="0"/>
        <w:keepLines w:val="0"/>
        <w:pageBreakBefore w:val="0"/>
        <w:widowControl/>
        <w:kinsoku/>
        <w:wordWrap/>
        <w:overflowPunct/>
        <w:topLinePunct w:val="0"/>
        <w:autoSpaceDE/>
        <w:autoSpaceDN/>
        <w:bidi w:val="0"/>
        <w:adjustRightInd/>
        <w:snapToGrid/>
        <w:spacing w:line="360" w:lineRule="auto"/>
        <w:ind w:left="2860"/>
        <w:textAlignment w:val="auto"/>
        <w:outlineLvl w:val="0"/>
        <w:rPr>
          <w:rFonts w:hint="eastAsia" w:ascii="宋体" w:hAnsi="宋体" w:eastAsia="宋体" w:cs="宋体"/>
          <w:b/>
          <w:color w:val="auto"/>
          <w:sz w:val="36"/>
          <w:szCs w:val="36"/>
          <w:highlight w:val="none"/>
        </w:rPr>
      </w:pPr>
    </w:p>
    <w:p>
      <w:pPr>
        <w:keepNext w:val="0"/>
        <w:keepLines w:val="0"/>
        <w:pageBreakBefore w:val="0"/>
        <w:widowControl/>
        <w:kinsoku/>
        <w:wordWrap/>
        <w:overflowPunct/>
        <w:topLinePunct w:val="0"/>
        <w:autoSpaceDE/>
        <w:autoSpaceDN/>
        <w:bidi w:val="0"/>
        <w:adjustRightInd/>
        <w:snapToGrid/>
        <w:spacing w:line="360" w:lineRule="auto"/>
        <w:ind w:left="2860"/>
        <w:textAlignment w:val="auto"/>
        <w:outlineLvl w:val="0"/>
        <w:rPr>
          <w:rFonts w:hint="eastAsia" w:ascii="宋体" w:hAnsi="宋体" w:eastAsia="宋体" w:cs="宋体"/>
          <w:b/>
          <w:color w:val="auto"/>
          <w:sz w:val="36"/>
          <w:szCs w:val="36"/>
          <w:highlight w:val="none"/>
        </w:rPr>
      </w:pPr>
    </w:p>
    <w:p>
      <w:pPr>
        <w:keepNext w:val="0"/>
        <w:keepLines w:val="0"/>
        <w:pageBreakBefore w:val="0"/>
        <w:widowControl/>
        <w:kinsoku/>
        <w:wordWrap/>
        <w:overflowPunct/>
        <w:topLinePunct w:val="0"/>
        <w:autoSpaceDE/>
        <w:autoSpaceDN/>
        <w:bidi w:val="0"/>
        <w:adjustRightInd/>
        <w:snapToGrid/>
        <w:spacing w:line="360" w:lineRule="auto"/>
        <w:ind w:left="2860"/>
        <w:textAlignment w:val="auto"/>
        <w:outlineLvl w:val="0"/>
        <w:rPr>
          <w:rFonts w:hint="eastAsia" w:ascii="宋体" w:hAnsi="宋体" w:eastAsia="宋体" w:cs="宋体"/>
          <w:b/>
          <w:color w:val="auto"/>
          <w:sz w:val="36"/>
          <w:szCs w:val="36"/>
          <w:highlight w:val="none"/>
        </w:rPr>
      </w:pPr>
    </w:p>
    <w:p>
      <w:pPr>
        <w:keepNext w:val="0"/>
        <w:keepLines w:val="0"/>
        <w:pageBreakBefore w:val="0"/>
        <w:widowControl/>
        <w:kinsoku/>
        <w:wordWrap/>
        <w:overflowPunct/>
        <w:topLinePunct w:val="0"/>
        <w:autoSpaceDE/>
        <w:autoSpaceDN/>
        <w:bidi w:val="0"/>
        <w:adjustRightInd/>
        <w:snapToGrid/>
        <w:spacing w:line="360" w:lineRule="auto"/>
        <w:ind w:left="2860"/>
        <w:textAlignment w:val="auto"/>
        <w:outlineLvl w:val="0"/>
        <w:rPr>
          <w:rFonts w:hint="eastAsia" w:ascii="宋体" w:hAnsi="宋体" w:eastAsia="宋体" w:cs="宋体"/>
          <w:b/>
          <w:color w:val="auto"/>
          <w:sz w:val="36"/>
          <w:szCs w:val="36"/>
          <w:highlight w:val="none"/>
        </w:rPr>
      </w:pPr>
    </w:p>
    <w:p>
      <w:pPr>
        <w:keepNext w:val="0"/>
        <w:keepLines w:val="0"/>
        <w:pageBreakBefore w:val="0"/>
        <w:widowControl/>
        <w:kinsoku/>
        <w:wordWrap/>
        <w:overflowPunct/>
        <w:topLinePunct w:val="0"/>
        <w:autoSpaceDE/>
        <w:autoSpaceDN/>
        <w:bidi w:val="0"/>
        <w:adjustRightInd/>
        <w:snapToGrid/>
        <w:spacing w:line="360" w:lineRule="auto"/>
        <w:ind w:left="2860"/>
        <w:textAlignment w:val="auto"/>
        <w:outlineLvl w:val="0"/>
        <w:rPr>
          <w:rFonts w:hint="eastAsia" w:ascii="宋体" w:hAnsi="宋体" w:eastAsia="宋体" w:cs="宋体"/>
          <w:b/>
          <w:color w:val="auto"/>
          <w:sz w:val="36"/>
          <w:szCs w:val="36"/>
          <w:highlight w:val="none"/>
        </w:rPr>
      </w:pPr>
    </w:p>
    <w:p>
      <w:pPr>
        <w:keepNext w:val="0"/>
        <w:keepLines w:val="0"/>
        <w:pageBreakBefore w:val="0"/>
        <w:widowControl/>
        <w:kinsoku/>
        <w:wordWrap/>
        <w:overflowPunct/>
        <w:topLinePunct w:val="0"/>
        <w:autoSpaceDE/>
        <w:autoSpaceDN/>
        <w:bidi w:val="0"/>
        <w:adjustRightInd/>
        <w:snapToGrid/>
        <w:spacing w:line="360" w:lineRule="auto"/>
        <w:ind w:left="2860"/>
        <w:textAlignment w:val="auto"/>
        <w:outlineLvl w:val="0"/>
        <w:rPr>
          <w:rFonts w:hint="eastAsia" w:ascii="宋体" w:hAnsi="宋体" w:eastAsia="宋体" w:cs="宋体"/>
          <w:b/>
          <w:color w:val="auto"/>
          <w:sz w:val="36"/>
          <w:szCs w:val="36"/>
          <w:highlight w:val="none"/>
        </w:rPr>
      </w:pPr>
    </w:p>
    <w:p>
      <w:pPr>
        <w:keepNext w:val="0"/>
        <w:keepLines w:val="0"/>
        <w:pageBreakBefore w:val="0"/>
        <w:widowControl/>
        <w:kinsoku/>
        <w:wordWrap/>
        <w:overflowPunct/>
        <w:topLinePunct w:val="0"/>
        <w:autoSpaceDE/>
        <w:autoSpaceDN/>
        <w:bidi w:val="0"/>
        <w:adjustRightInd/>
        <w:snapToGrid/>
        <w:spacing w:line="360" w:lineRule="auto"/>
        <w:ind w:left="2860"/>
        <w:textAlignment w:val="auto"/>
        <w:outlineLvl w:val="0"/>
        <w:rPr>
          <w:rFonts w:hint="eastAsia" w:ascii="宋体" w:hAnsi="宋体" w:eastAsia="宋体" w:cs="宋体"/>
          <w:b/>
          <w:color w:val="auto"/>
          <w:sz w:val="36"/>
          <w:szCs w:val="36"/>
          <w:highlight w:val="none"/>
        </w:rPr>
      </w:pPr>
    </w:p>
    <w:p>
      <w:pPr>
        <w:keepNext w:val="0"/>
        <w:keepLines w:val="0"/>
        <w:pageBreakBefore w:val="0"/>
        <w:widowControl/>
        <w:kinsoku/>
        <w:wordWrap/>
        <w:overflowPunct/>
        <w:topLinePunct w:val="0"/>
        <w:autoSpaceDE/>
        <w:autoSpaceDN/>
        <w:bidi w:val="0"/>
        <w:adjustRightInd/>
        <w:snapToGrid/>
        <w:spacing w:line="360" w:lineRule="auto"/>
        <w:ind w:left="2860"/>
        <w:textAlignment w:val="auto"/>
        <w:outlineLvl w:val="0"/>
        <w:rPr>
          <w:rFonts w:hint="eastAsia" w:ascii="宋体" w:hAnsi="宋体" w:eastAsia="宋体" w:cs="宋体"/>
          <w:b/>
          <w:color w:val="auto"/>
          <w:sz w:val="36"/>
          <w:szCs w:val="36"/>
          <w:highlight w:val="none"/>
        </w:rPr>
      </w:pPr>
    </w:p>
    <w:p>
      <w:pPr>
        <w:keepNext w:val="0"/>
        <w:keepLines w:val="0"/>
        <w:pageBreakBefore w:val="0"/>
        <w:widowControl/>
        <w:kinsoku/>
        <w:wordWrap/>
        <w:overflowPunct/>
        <w:topLinePunct w:val="0"/>
        <w:autoSpaceDE/>
        <w:autoSpaceDN/>
        <w:bidi w:val="0"/>
        <w:adjustRightInd/>
        <w:snapToGrid/>
        <w:spacing w:line="360" w:lineRule="auto"/>
        <w:ind w:left="2860"/>
        <w:textAlignment w:val="auto"/>
        <w:outlineLvl w:val="0"/>
        <w:rPr>
          <w:rFonts w:hint="eastAsia" w:ascii="宋体" w:hAnsi="宋体" w:eastAsia="宋体" w:cs="宋体"/>
          <w:b/>
          <w:color w:val="auto"/>
          <w:sz w:val="36"/>
          <w:szCs w:val="36"/>
          <w:highlight w:val="none"/>
        </w:rPr>
      </w:pPr>
    </w:p>
    <w:p>
      <w:pPr>
        <w:keepNext w:val="0"/>
        <w:keepLines w:val="0"/>
        <w:pageBreakBefore w:val="0"/>
        <w:widowControl/>
        <w:kinsoku/>
        <w:wordWrap/>
        <w:overflowPunct/>
        <w:topLinePunct w:val="0"/>
        <w:autoSpaceDE/>
        <w:autoSpaceDN/>
        <w:bidi w:val="0"/>
        <w:adjustRightInd/>
        <w:snapToGrid/>
        <w:spacing w:line="360" w:lineRule="auto"/>
        <w:ind w:left="2860"/>
        <w:textAlignment w:val="auto"/>
        <w:outlineLvl w:val="0"/>
        <w:rPr>
          <w:rFonts w:hint="eastAsia" w:ascii="宋体" w:hAnsi="宋体" w:eastAsia="宋体" w:cs="宋体"/>
          <w:b/>
          <w:color w:val="auto"/>
          <w:sz w:val="36"/>
          <w:szCs w:val="36"/>
          <w:highlight w:val="none"/>
        </w:rPr>
      </w:pPr>
    </w:p>
    <w:p>
      <w:pPr>
        <w:keepNext w:val="0"/>
        <w:keepLines w:val="0"/>
        <w:pageBreakBefore w:val="0"/>
        <w:widowControl/>
        <w:kinsoku/>
        <w:wordWrap/>
        <w:overflowPunct/>
        <w:topLinePunct w:val="0"/>
        <w:autoSpaceDE/>
        <w:autoSpaceDN/>
        <w:bidi w:val="0"/>
        <w:adjustRightInd/>
        <w:snapToGrid/>
        <w:spacing w:line="360" w:lineRule="auto"/>
        <w:ind w:left="2860"/>
        <w:textAlignment w:val="auto"/>
        <w:outlineLvl w:val="0"/>
        <w:rPr>
          <w:rFonts w:hint="eastAsia" w:ascii="宋体" w:hAnsi="宋体" w:eastAsia="宋体" w:cs="宋体"/>
          <w:b/>
          <w:color w:val="auto"/>
          <w:sz w:val="36"/>
          <w:szCs w:val="36"/>
          <w:highlight w:val="none"/>
        </w:rPr>
      </w:pPr>
    </w:p>
    <w:p>
      <w:pPr>
        <w:keepNext w:val="0"/>
        <w:keepLines w:val="0"/>
        <w:pageBreakBefore w:val="0"/>
        <w:widowControl/>
        <w:kinsoku/>
        <w:wordWrap/>
        <w:overflowPunct/>
        <w:topLinePunct w:val="0"/>
        <w:autoSpaceDE/>
        <w:autoSpaceDN/>
        <w:bidi w:val="0"/>
        <w:adjustRightInd/>
        <w:snapToGrid/>
        <w:spacing w:line="360" w:lineRule="auto"/>
        <w:ind w:left="2860"/>
        <w:textAlignment w:val="auto"/>
        <w:outlineLvl w:val="0"/>
        <w:rPr>
          <w:rFonts w:hint="eastAsia" w:ascii="宋体" w:hAnsi="宋体" w:eastAsia="宋体" w:cs="宋体"/>
          <w:color w:val="auto"/>
          <w:sz w:val="36"/>
          <w:szCs w:val="36"/>
          <w:highlight w:val="none"/>
        </w:rPr>
      </w:pPr>
      <w:r>
        <w:rPr>
          <w:rFonts w:hint="eastAsia" w:ascii="宋体" w:hAnsi="宋体" w:eastAsia="宋体" w:cs="宋体"/>
          <w:b/>
          <w:color w:val="auto"/>
          <w:sz w:val="36"/>
          <w:szCs w:val="36"/>
          <w:highlight w:val="none"/>
        </w:rPr>
        <w:t xml:space="preserve">第一部分 </w:t>
      </w:r>
      <w:r>
        <w:rPr>
          <w:rFonts w:hint="eastAsia" w:ascii="宋体" w:hAnsi="宋体" w:cs="宋体"/>
          <w:b/>
          <w:color w:val="auto"/>
          <w:sz w:val="36"/>
          <w:szCs w:val="36"/>
          <w:highlight w:val="none"/>
          <w:lang w:eastAsia="zh-CN"/>
        </w:rPr>
        <w:t>公开招标</w:t>
      </w:r>
      <w:r>
        <w:rPr>
          <w:rFonts w:hint="eastAsia" w:ascii="宋体" w:hAnsi="宋体" w:eastAsia="宋体" w:cs="宋体"/>
          <w:b/>
          <w:color w:val="auto"/>
          <w:sz w:val="36"/>
          <w:szCs w:val="36"/>
          <w:highlight w:val="none"/>
        </w:rPr>
        <w:t>公告</w:t>
      </w:r>
      <w:bookmarkEnd w:id="0"/>
    </w:p>
    <w:p>
      <w:pPr>
        <w:spacing w:line="360" w:lineRule="auto"/>
        <w:ind w:left="120"/>
        <w:rPr>
          <w:rFonts w:hint="eastAsia" w:ascii="宋体" w:hAnsi="宋体" w:cs="宋体"/>
          <w:sz w:val="24"/>
          <w:szCs w:val="24"/>
        </w:rPr>
      </w:pPr>
      <w:bookmarkStart w:id="1" w:name="_Toc12362"/>
      <w:r>
        <w:rPr>
          <w:rFonts w:hint="eastAsia" w:ascii="宋体" w:hAnsi="宋体" w:cs="宋体"/>
          <w:b/>
          <w:sz w:val="24"/>
          <w:szCs w:val="24"/>
        </w:rPr>
        <w:t>一、采购人</w:t>
      </w:r>
      <w:r>
        <w:rPr>
          <w:rFonts w:hint="eastAsia" w:ascii="宋体" w:hAnsi="宋体" w:cs="宋体"/>
          <w:sz w:val="24"/>
          <w:szCs w:val="24"/>
        </w:rPr>
        <w:t>：济南市消防支队章丘区大队</w:t>
      </w:r>
    </w:p>
    <w:p>
      <w:pPr>
        <w:tabs>
          <w:tab w:val="left" w:pos="1060"/>
        </w:tabs>
        <w:spacing w:line="360" w:lineRule="auto"/>
        <w:ind w:left="600"/>
        <w:rPr>
          <w:rFonts w:hint="eastAsia" w:ascii="宋体" w:hAnsi="宋体" w:cs="宋体"/>
          <w:sz w:val="24"/>
          <w:szCs w:val="24"/>
        </w:rPr>
      </w:pPr>
      <w:r>
        <w:rPr>
          <w:rFonts w:hint="eastAsia" w:ascii="宋体" w:hAnsi="宋体" w:cs="宋体"/>
          <w:sz w:val="24"/>
          <w:szCs w:val="24"/>
        </w:rPr>
        <w:t>地</w:t>
      </w:r>
      <w:r>
        <w:rPr>
          <w:rFonts w:hint="eastAsia" w:ascii="宋体" w:hAnsi="宋体" w:cs="宋体"/>
          <w:sz w:val="24"/>
          <w:szCs w:val="24"/>
        </w:rPr>
        <w:tab/>
      </w:r>
      <w:r>
        <w:rPr>
          <w:rFonts w:hint="eastAsia" w:ascii="宋体" w:hAnsi="宋体" w:cs="宋体"/>
          <w:sz w:val="24"/>
          <w:szCs w:val="24"/>
        </w:rPr>
        <w:t xml:space="preserve">址：济南市章丘区 </w:t>
      </w:r>
    </w:p>
    <w:p>
      <w:pPr>
        <w:tabs>
          <w:tab w:val="left" w:pos="1060"/>
        </w:tabs>
        <w:spacing w:line="360" w:lineRule="auto"/>
        <w:rPr>
          <w:rFonts w:hint="eastAsia" w:ascii="宋体" w:hAnsi="宋体" w:cs="宋体"/>
          <w:color w:val="FF0000"/>
          <w:sz w:val="24"/>
          <w:szCs w:val="24"/>
        </w:rPr>
      </w:pPr>
      <w:r>
        <w:rPr>
          <w:rFonts w:hint="eastAsia" w:ascii="宋体" w:hAnsi="宋体" w:cs="宋体"/>
          <w:sz w:val="24"/>
          <w:szCs w:val="24"/>
        </w:rPr>
        <w:t xml:space="preserve">     联系人：张老师</w:t>
      </w:r>
    </w:p>
    <w:p>
      <w:pPr>
        <w:tabs>
          <w:tab w:val="left" w:pos="1060"/>
        </w:tabs>
        <w:spacing w:line="360" w:lineRule="auto"/>
        <w:rPr>
          <w:rFonts w:hint="eastAsia" w:ascii="宋体" w:hAnsi="宋体" w:cs="宋体"/>
          <w:sz w:val="24"/>
          <w:szCs w:val="24"/>
        </w:rPr>
      </w:pPr>
      <w:r>
        <w:rPr>
          <w:rFonts w:hint="eastAsia" w:ascii="宋体" w:hAnsi="宋体" w:cs="宋体"/>
          <w:sz w:val="24"/>
          <w:szCs w:val="24"/>
        </w:rPr>
        <w:t xml:space="preserve">     联系方式：0531-83323169    </w:t>
      </w:r>
    </w:p>
    <w:p>
      <w:pPr>
        <w:spacing w:line="360" w:lineRule="auto"/>
        <w:ind w:left="600"/>
        <w:rPr>
          <w:rFonts w:hint="eastAsia" w:ascii="宋体" w:hAnsi="宋体" w:cs="宋体"/>
          <w:sz w:val="24"/>
          <w:szCs w:val="24"/>
        </w:rPr>
      </w:pPr>
      <w:r>
        <w:rPr>
          <w:rFonts w:hint="eastAsia" w:ascii="宋体" w:hAnsi="宋体" w:cs="宋体"/>
          <w:sz w:val="24"/>
          <w:szCs w:val="24"/>
        </w:rPr>
        <w:t>采购代理机构：山东蓝盾招标代理有限公司</w:t>
      </w:r>
    </w:p>
    <w:p>
      <w:pPr>
        <w:spacing w:line="360" w:lineRule="auto"/>
        <w:ind w:left="600"/>
        <w:rPr>
          <w:rFonts w:hint="eastAsia" w:ascii="宋体" w:hAnsi="宋体" w:cs="宋体"/>
          <w:sz w:val="24"/>
          <w:szCs w:val="24"/>
        </w:rPr>
      </w:pPr>
      <w:r>
        <w:rPr>
          <w:rFonts w:hint="eastAsia" w:ascii="宋体" w:hAnsi="宋体" w:cs="宋体"/>
          <w:sz w:val="24"/>
          <w:szCs w:val="24"/>
        </w:rPr>
        <w:t>地址：济南市高新区工业南路59号中铁财智中心6号楼15楼</w:t>
      </w:r>
    </w:p>
    <w:p>
      <w:pPr>
        <w:spacing w:line="360" w:lineRule="auto"/>
        <w:ind w:left="600"/>
        <w:rPr>
          <w:rFonts w:hint="eastAsia" w:ascii="宋体" w:hAnsi="宋体" w:cs="宋体"/>
          <w:sz w:val="24"/>
          <w:szCs w:val="24"/>
        </w:rPr>
      </w:pPr>
      <w:r>
        <w:rPr>
          <w:rFonts w:hint="eastAsia" w:ascii="宋体" w:hAnsi="宋体" w:cs="宋体"/>
          <w:sz w:val="24"/>
          <w:szCs w:val="24"/>
        </w:rPr>
        <w:t>联系人：田生</w:t>
      </w:r>
    </w:p>
    <w:p>
      <w:pPr>
        <w:spacing w:line="360" w:lineRule="auto"/>
        <w:ind w:left="600"/>
        <w:rPr>
          <w:rFonts w:ascii="宋体" w:hAnsi="宋体" w:cs="宋体"/>
          <w:sz w:val="24"/>
          <w:szCs w:val="24"/>
        </w:rPr>
      </w:pPr>
      <w:r>
        <w:rPr>
          <w:rFonts w:hint="eastAsia" w:ascii="宋体" w:hAnsi="宋体" w:cs="宋体"/>
          <w:sz w:val="24"/>
          <w:szCs w:val="24"/>
        </w:rPr>
        <w:t>联系方式：0531-88809762转8010</w:t>
      </w:r>
    </w:p>
    <w:p>
      <w:pPr>
        <w:spacing w:line="360" w:lineRule="auto"/>
        <w:ind w:left="1044" w:leftChars="40" w:hanging="964" w:hangingChars="400"/>
        <w:rPr>
          <w:rFonts w:hint="eastAsia" w:ascii="宋体" w:hAnsi="宋体" w:cs="宋体"/>
          <w:sz w:val="24"/>
          <w:szCs w:val="24"/>
        </w:rPr>
      </w:pPr>
      <w:bookmarkStart w:id="2" w:name="_Toc22560_WPSOffice_Level2"/>
      <w:bookmarkStart w:id="3" w:name="_Toc11336_WPSOffice_Level2"/>
      <w:r>
        <w:rPr>
          <w:rFonts w:hint="eastAsia" w:ascii="宋体" w:hAnsi="宋体" w:cs="宋体"/>
          <w:b/>
          <w:sz w:val="24"/>
          <w:szCs w:val="24"/>
        </w:rPr>
        <w:t>二、采购项目名称</w:t>
      </w:r>
      <w:r>
        <w:rPr>
          <w:rFonts w:hint="eastAsia" w:ascii="宋体" w:hAnsi="宋体" w:cs="宋体"/>
          <w:sz w:val="24"/>
          <w:szCs w:val="24"/>
        </w:rPr>
        <w:t>：济南市消防支队章丘区大队车辆维修定点入围项目</w:t>
      </w:r>
      <w:bookmarkEnd w:id="2"/>
      <w:bookmarkEnd w:id="3"/>
    </w:p>
    <w:p>
      <w:pPr>
        <w:spacing w:line="360" w:lineRule="auto"/>
        <w:ind w:left="600"/>
        <w:rPr>
          <w:rFonts w:hint="eastAsia" w:ascii="宋体" w:hAnsi="宋体" w:cs="宋体"/>
          <w:sz w:val="24"/>
          <w:szCs w:val="24"/>
        </w:rPr>
      </w:pPr>
      <w:r>
        <w:rPr>
          <w:rFonts w:hint="eastAsia" w:ascii="宋体" w:hAnsi="宋体" w:cs="宋体"/>
          <w:sz w:val="24"/>
          <w:szCs w:val="24"/>
        </w:rPr>
        <w:t>采购项目编号：SDLD2019GK005</w:t>
      </w:r>
    </w:p>
    <w:p>
      <w:pPr>
        <w:spacing w:line="360" w:lineRule="auto"/>
        <w:rPr>
          <w:rFonts w:hint="eastAsia" w:ascii="宋体" w:hAnsi="宋体" w:cs="宋体"/>
          <w:b/>
          <w:bCs/>
          <w:sz w:val="24"/>
          <w:szCs w:val="24"/>
        </w:rPr>
      </w:pPr>
      <w:bookmarkStart w:id="4" w:name="_Toc26725_WPSOffice_Level2"/>
      <w:bookmarkStart w:id="5" w:name="_Toc26085_WPSOffice_Level2"/>
      <w:r>
        <w:rPr>
          <w:rFonts w:hint="eastAsia" w:ascii="宋体" w:hAnsi="宋体" w:cs="宋体"/>
          <w:b/>
          <w:bCs/>
          <w:sz w:val="24"/>
          <w:szCs w:val="24"/>
        </w:rPr>
        <w:t>三、采购项目分包情况：</w:t>
      </w:r>
      <w:bookmarkEnd w:id="4"/>
      <w:bookmarkEnd w:id="5"/>
    </w:p>
    <w:tbl>
      <w:tblPr>
        <w:tblStyle w:val="21"/>
        <w:tblW w:w="9294" w:type="dxa"/>
        <w:jc w:val="center"/>
        <w:tblInd w:w="-1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372"/>
        <w:gridCol w:w="765"/>
        <w:gridCol w:w="7110"/>
        <w:gridCol w:w="104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859" w:hRule="atLeast"/>
          <w:jc w:val="center"/>
        </w:trPr>
        <w:tc>
          <w:tcPr>
            <w:tcW w:w="372"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包</w:t>
            </w:r>
          </w:p>
          <w:p>
            <w:pPr>
              <w:spacing w:line="360" w:lineRule="auto"/>
              <w:jc w:val="center"/>
              <w:rPr>
                <w:rFonts w:hint="eastAsia" w:ascii="宋体" w:hAnsi="宋体" w:cs="宋体"/>
                <w:sz w:val="24"/>
                <w:szCs w:val="24"/>
              </w:rPr>
            </w:pPr>
            <w:r>
              <w:rPr>
                <w:rFonts w:hint="eastAsia" w:ascii="宋体" w:hAnsi="宋体" w:cs="宋体"/>
                <w:sz w:val="24"/>
                <w:szCs w:val="24"/>
              </w:rPr>
              <w:t>号</w:t>
            </w:r>
          </w:p>
        </w:tc>
        <w:tc>
          <w:tcPr>
            <w:tcW w:w="765"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名称</w:t>
            </w:r>
          </w:p>
        </w:tc>
        <w:tc>
          <w:tcPr>
            <w:tcW w:w="7110"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供应商资格要求</w:t>
            </w:r>
          </w:p>
        </w:tc>
        <w:tc>
          <w:tcPr>
            <w:tcW w:w="1047"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预算金额</w:t>
            </w:r>
          </w:p>
          <w:p>
            <w:pPr>
              <w:spacing w:line="360" w:lineRule="auto"/>
              <w:jc w:val="center"/>
              <w:rPr>
                <w:rFonts w:hint="eastAsia" w:ascii="宋体" w:hAnsi="宋体" w:cs="宋体"/>
                <w:sz w:val="24"/>
                <w:szCs w:val="24"/>
              </w:rPr>
            </w:pPr>
            <w:r>
              <w:rPr>
                <w:rFonts w:hint="eastAsia" w:ascii="宋体" w:hAnsi="宋体" w:cs="宋体"/>
                <w:sz w:val="24"/>
                <w:szCs w:val="24"/>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063" w:hRule="atLeast"/>
          <w:jc w:val="center"/>
        </w:trPr>
        <w:tc>
          <w:tcPr>
            <w:tcW w:w="372"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A</w:t>
            </w:r>
          </w:p>
        </w:tc>
        <w:tc>
          <w:tcPr>
            <w:tcW w:w="765"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车辆维修定点入围项目</w:t>
            </w:r>
          </w:p>
        </w:tc>
        <w:tc>
          <w:tcPr>
            <w:tcW w:w="7110" w:type="dxa"/>
            <w:noWrap w:val="0"/>
            <w:vAlign w:val="center"/>
          </w:tcPr>
          <w:p>
            <w:pPr>
              <w:spacing w:line="360" w:lineRule="auto"/>
              <w:rPr>
                <w:rFonts w:hint="eastAsia" w:ascii="宋体" w:hAnsi="宋体" w:cs="宋体"/>
                <w:sz w:val="24"/>
                <w:szCs w:val="24"/>
              </w:rPr>
            </w:pPr>
            <w:r>
              <w:rPr>
                <w:rFonts w:hint="eastAsia" w:ascii="宋体" w:hAnsi="宋体" w:cs="宋体"/>
                <w:sz w:val="24"/>
                <w:szCs w:val="24"/>
              </w:rPr>
              <w:t>1）供应商应符合《中华人民共和国政府采购法》第二十二条规定且应为未被列入信用中国网站（www.creditchina.gov.cn ）、中国政府采购网(www.ccgp.gov.cn)、信用山东（www.creditsd.gov.cn）等渠道信用记录失信被执行人、重大税收违法案件当事人名单、政府采购严重违法失信行为记录名单；（三方网站截图报名时均须携带）</w:t>
            </w:r>
          </w:p>
          <w:p>
            <w:pPr>
              <w:spacing w:line="360" w:lineRule="auto"/>
              <w:jc w:val="both"/>
              <w:rPr>
                <w:rFonts w:hint="eastAsia" w:ascii="宋体" w:hAnsi="宋体" w:cs="宋体"/>
                <w:sz w:val="24"/>
                <w:szCs w:val="24"/>
              </w:rPr>
            </w:pPr>
            <w:r>
              <w:rPr>
                <w:rFonts w:hint="eastAsia" w:ascii="宋体" w:hAnsi="宋体" w:cs="宋体"/>
                <w:sz w:val="24"/>
                <w:szCs w:val="24"/>
              </w:rPr>
              <w:t>2）供应商须为在中华人民共和国境内登记注册，</w:t>
            </w:r>
            <w:r>
              <w:rPr>
                <w:rFonts w:hint="eastAsia" w:ascii="宋体" w:hAnsi="宋体" w:cs="宋体"/>
                <w:sz w:val="24"/>
                <w:szCs w:val="24"/>
                <w:lang w:eastAsia="zh-CN"/>
              </w:rPr>
              <w:t>具备独立法人或其他组织，</w:t>
            </w:r>
            <w:r>
              <w:rPr>
                <w:rFonts w:hint="eastAsia" w:ascii="宋体" w:hAnsi="宋体" w:cs="宋体"/>
                <w:sz w:val="24"/>
                <w:szCs w:val="24"/>
                <w:lang w:val="zh-CN"/>
              </w:rPr>
              <w:t>并在人员、设备等方面具备相应的服务能力；</w:t>
            </w:r>
          </w:p>
          <w:p>
            <w:pPr>
              <w:spacing w:line="360" w:lineRule="auto"/>
              <w:jc w:val="both"/>
              <w:rPr>
                <w:rFonts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）具备维修各类公务用车的能力，并具有履行合同所必需的设备和专业技术能力；</w:t>
            </w:r>
          </w:p>
          <w:p>
            <w:pPr>
              <w:spacing w:line="360" w:lineRule="auto"/>
              <w:jc w:val="both"/>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）在济南市（含各区县）有固定的经营场所；</w:t>
            </w:r>
          </w:p>
          <w:p>
            <w:pPr>
              <w:spacing w:line="360" w:lineRule="auto"/>
              <w:jc w:val="both"/>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）不接受联合体投标。</w:t>
            </w:r>
          </w:p>
        </w:tc>
        <w:tc>
          <w:tcPr>
            <w:tcW w:w="1047" w:type="dxa"/>
            <w:noWrap w:val="0"/>
            <w:vAlign w:val="center"/>
          </w:tcPr>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r>
    </w:tbl>
    <w:p>
      <w:pPr>
        <w:spacing w:line="360" w:lineRule="auto"/>
        <w:rPr>
          <w:rFonts w:hint="eastAsia" w:ascii="宋体" w:hAnsi="宋体" w:cs="宋体"/>
          <w:sz w:val="24"/>
          <w:szCs w:val="24"/>
        </w:rPr>
      </w:pPr>
      <w:bookmarkStart w:id="6" w:name="page5"/>
      <w:bookmarkEnd w:id="6"/>
      <w:bookmarkStart w:id="7" w:name="_Toc32291_WPSOffice_Level2"/>
      <w:bookmarkStart w:id="8" w:name="_Toc16189_WPSOffice_Level2"/>
      <w:r>
        <w:rPr>
          <w:rFonts w:hint="eastAsia" w:ascii="宋体" w:hAnsi="宋体" w:cs="宋体"/>
          <w:b/>
          <w:sz w:val="24"/>
          <w:szCs w:val="24"/>
        </w:rPr>
        <w:t>四、获取</w:t>
      </w:r>
      <w:r>
        <w:rPr>
          <w:rFonts w:hint="eastAsia" w:ascii="宋体" w:hAnsi="宋体" w:cs="宋体"/>
          <w:b/>
          <w:sz w:val="24"/>
          <w:szCs w:val="24"/>
          <w:lang w:eastAsia="zh-CN"/>
        </w:rPr>
        <w:t>招标文件</w:t>
      </w:r>
      <w:r>
        <w:rPr>
          <w:rFonts w:hint="eastAsia" w:ascii="宋体" w:hAnsi="宋体" w:cs="宋体"/>
          <w:b/>
          <w:sz w:val="24"/>
          <w:szCs w:val="24"/>
        </w:rPr>
        <w:t>文件:</w:t>
      </w:r>
      <w:bookmarkEnd w:id="7"/>
      <w:bookmarkEnd w:id="8"/>
    </w:p>
    <w:p>
      <w:pPr>
        <w:spacing w:line="360" w:lineRule="auto"/>
        <w:ind w:firstLine="480"/>
        <w:jc w:val="both"/>
        <w:rPr>
          <w:rFonts w:hint="eastAsia" w:ascii="宋体" w:hAnsi="宋体" w:cs="宋体"/>
          <w:sz w:val="24"/>
          <w:szCs w:val="24"/>
        </w:rPr>
      </w:pPr>
      <w:r>
        <w:rPr>
          <w:rFonts w:hint="eastAsia" w:ascii="宋体" w:hAnsi="宋体" w:cs="宋体"/>
          <w:sz w:val="24"/>
          <w:szCs w:val="24"/>
        </w:rPr>
        <w:t>1.时间：2019年</w:t>
      </w:r>
      <w:r>
        <w:rPr>
          <w:rFonts w:hint="eastAsia" w:ascii="宋体" w:hAnsi="宋体" w:cs="宋体"/>
          <w:sz w:val="24"/>
          <w:szCs w:val="24"/>
          <w:lang w:val="en-US" w:eastAsia="zh-CN"/>
        </w:rPr>
        <w:t>4</w:t>
      </w:r>
      <w:r>
        <w:rPr>
          <w:rFonts w:hint="eastAsia" w:ascii="宋体" w:hAnsi="宋体" w:cs="宋体"/>
          <w:sz w:val="24"/>
          <w:szCs w:val="24"/>
        </w:rPr>
        <w:t>月</w:t>
      </w:r>
      <w:r>
        <w:rPr>
          <w:rFonts w:hint="eastAsia" w:ascii="宋体" w:hAnsi="宋体" w:cs="宋体"/>
          <w:sz w:val="24"/>
          <w:szCs w:val="24"/>
          <w:lang w:val="en-US" w:eastAsia="zh-CN"/>
        </w:rPr>
        <w:t>25</w:t>
      </w:r>
      <w:r>
        <w:rPr>
          <w:rFonts w:hint="eastAsia" w:ascii="宋体" w:hAnsi="宋体" w:cs="宋体"/>
          <w:sz w:val="24"/>
          <w:szCs w:val="24"/>
        </w:rPr>
        <w:t>日9时00分至2019年4月</w:t>
      </w:r>
      <w:r>
        <w:rPr>
          <w:rFonts w:hint="eastAsia" w:ascii="宋体" w:hAnsi="宋体" w:cs="宋体"/>
          <w:sz w:val="24"/>
          <w:szCs w:val="24"/>
          <w:lang w:val="en-US" w:eastAsia="zh-CN"/>
        </w:rPr>
        <w:t>30</w:t>
      </w:r>
      <w:r>
        <w:rPr>
          <w:rFonts w:hint="eastAsia" w:ascii="宋体" w:hAnsi="宋体" w:cs="宋体"/>
          <w:sz w:val="24"/>
          <w:szCs w:val="24"/>
        </w:rPr>
        <w:t>日16时00分（北京时间，法定节假日除外）</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2.地点：济南市高新区工业南路59号中铁财智中心6号楼15楼财务部</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3.方式：请携带：</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（1）营业执照副本（三证合一）；</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）法人代表授权委托书及被授权人身份证；</w:t>
      </w:r>
    </w:p>
    <w:p>
      <w:pPr>
        <w:spacing w:line="360" w:lineRule="auto"/>
        <w:ind w:firstLine="480" w:firstLineChars="200"/>
        <w:rPr>
          <w:rFonts w:hint="eastAsia" w:ascii="宋体" w:hAnsi="宋体" w:cs="宋体"/>
          <w:color w:val="auto"/>
          <w:sz w:val="24"/>
          <w:szCs w:val="24"/>
        </w:rPr>
      </w:pP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）办公场所房产证原件或租赁协议原件</w:t>
      </w:r>
      <w:r>
        <w:rPr>
          <w:rFonts w:hint="eastAsia" w:ascii="宋体" w:hAnsi="宋体" w:cs="宋体"/>
          <w:color w:val="auto"/>
          <w:sz w:val="24"/>
          <w:szCs w:val="24"/>
        </w:rPr>
        <w:t>(及租赁房屋的携带承租房屋的房产证复印件</w:t>
      </w:r>
      <w:r>
        <w:rPr>
          <w:rFonts w:ascii="宋体" w:hAnsi="宋体" w:cs="宋体"/>
          <w:color w:val="auto"/>
          <w:sz w:val="24"/>
          <w:szCs w:val="24"/>
        </w:rPr>
        <w:t>)</w:t>
      </w:r>
      <w:r>
        <w:rPr>
          <w:rFonts w:hint="eastAsia" w:ascii="宋体" w:hAnsi="宋体" w:cs="宋体"/>
          <w:color w:val="auto"/>
          <w:sz w:val="24"/>
          <w:szCs w:val="24"/>
        </w:rPr>
        <w:t>；</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4</w:t>
      </w:r>
      <w:r>
        <w:rPr>
          <w:rFonts w:hint="eastAsia" w:ascii="宋体" w:hAnsi="宋体" w:cs="宋体"/>
          <w:sz w:val="24"/>
          <w:szCs w:val="24"/>
        </w:rPr>
        <w:t>）三方网站截图报名时均须携带；</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以上证件需提供原件及加盖公章复印件各一套,否则不接受报名。</w:t>
      </w:r>
      <w:r>
        <w:rPr>
          <w:rFonts w:hint="eastAsia" w:ascii="宋体" w:hAnsi="宋体" w:cs="宋体"/>
          <w:b/>
          <w:bCs/>
          <w:sz w:val="24"/>
          <w:szCs w:val="24"/>
        </w:rPr>
        <w:t>报名时的资料查验不代表资格审查的最终通过或合格。</w:t>
      </w:r>
    </w:p>
    <w:p>
      <w:pPr>
        <w:spacing w:line="360" w:lineRule="auto"/>
        <w:ind w:left="480"/>
        <w:rPr>
          <w:rFonts w:hint="eastAsia" w:ascii="宋体" w:hAnsi="宋体" w:cs="宋体"/>
          <w:sz w:val="24"/>
          <w:szCs w:val="24"/>
        </w:rPr>
      </w:pPr>
      <w:r>
        <w:rPr>
          <w:rFonts w:hint="eastAsia" w:ascii="宋体" w:hAnsi="宋体" w:cs="宋体"/>
          <w:sz w:val="24"/>
          <w:szCs w:val="24"/>
        </w:rPr>
        <w:t>4.售价：300元/包，文件售后不退。</w:t>
      </w:r>
    </w:p>
    <w:p>
      <w:pPr>
        <w:spacing w:line="360" w:lineRule="auto"/>
        <w:rPr>
          <w:rFonts w:hint="eastAsia" w:ascii="宋体" w:hAnsi="宋体" w:cs="宋体"/>
          <w:sz w:val="24"/>
          <w:szCs w:val="24"/>
        </w:rPr>
      </w:pPr>
      <w:bookmarkStart w:id="9" w:name="_Toc25263_WPSOffice_Level2"/>
      <w:bookmarkStart w:id="10" w:name="_Toc18651_WPSOffice_Level2"/>
      <w:r>
        <w:rPr>
          <w:rFonts w:hint="eastAsia" w:ascii="宋体" w:hAnsi="宋体" w:cs="宋体"/>
          <w:b/>
          <w:sz w:val="24"/>
          <w:szCs w:val="24"/>
        </w:rPr>
        <w:t>五、公告期限：</w:t>
      </w:r>
      <w:r>
        <w:rPr>
          <w:rFonts w:hint="eastAsia" w:ascii="宋体" w:hAnsi="宋体" w:cs="宋体"/>
          <w:sz w:val="24"/>
          <w:szCs w:val="24"/>
        </w:rPr>
        <w:t>2019年</w:t>
      </w:r>
      <w:r>
        <w:rPr>
          <w:rFonts w:hint="eastAsia" w:ascii="宋体" w:hAnsi="宋体" w:cs="宋体"/>
          <w:bCs/>
          <w:sz w:val="24"/>
          <w:szCs w:val="24"/>
          <w:lang w:val="en-US" w:eastAsia="zh-CN"/>
        </w:rPr>
        <w:t>4</w:t>
      </w:r>
      <w:r>
        <w:rPr>
          <w:rFonts w:hint="eastAsia" w:ascii="宋体" w:hAnsi="宋体" w:cs="宋体"/>
          <w:sz w:val="24"/>
          <w:szCs w:val="24"/>
        </w:rPr>
        <w:t>月</w:t>
      </w:r>
      <w:r>
        <w:rPr>
          <w:rFonts w:hint="eastAsia" w:ascii="宋体" w:hAnsi="宋体" w:cs="宋体"/>
          <w:bCs/>
          <w:sz w:val="24"/>
          <w:szCs w:val="24"/>
          <w:lang w:val="en-US" w:eastAsia="zh-CN"/>
        </w:rPr>
        <w:t>25</w:t>
      </w:r>
      <w:r>
        <w:rPr>
          <w:rFonts w:hint="eastAsia" w:ascii="宋体" w:hAnsi="宋体" w:cs="宋体"/>
          <w:sz w:val="24"/>
          <w:szCs w:val="24"/>
        </w:rPr>
        <w:t>日至</w:t>
      </w:r>
      <w:r>
        <w:rPr>
          <w:rFonts w:hint="eastAsia" w:ascii="宋体" w:hAnsi="宋体" w:cs="宋体"/>
          <w:b/>
          <w:sz w:val="24"/>
          <w:szCs w:val="24"/>
        </w:rPr>
        <w:t xml:space="preserve"> </w:t>
      </w:r>
      <w:r>
        <w:rPr>
          <w:rFonts w:hint="eastAsia" w:ascii="宋体" w:hAnsi="宋体" w:cs="宋体"/>
          <w:sz w:val="24"/>
          <w:szCs w:val="24"/>
        </w:rPr>
        <w:t>2019年4月</w:t>
      </w:r>
      <w:r>
        <w:rPr>
          <w:rFonts w:hint="eastAsia" w:ascii="宋体" w:hAnsi="宋体" w:cs="宋体"/>
          <w:bCs/>
          <w:sz w:val="24"/>
          <w:szCs w:val="24"/>
          <w:lang w:val="en-US" w:eastAsia="zh-CN"/>
        </w:rPr>
        <w:t>30</w:t>
      </w:r>
      <w:r>
        <w:rPr>
          <w:rFonts w:hint="eastAsia" w:ascii="宋体" w:hAnsi="宋体" w:cs="宋体"/>
          <w:sz w:val="24"/>
          <w:szCs w:val="24"/>
        </w:rPr>
        <w:t>日</w:t>
      </w:r>
      <w:bookmarkEnd w:id="9"/>
      <w:bookmarkEnd w:id="10"/>
    </w:p>
    <w:p>
      <w:pPr>
        <w:spacing w:line="360" w:lineRule="auto"/>
        <w:rPr>
          <w:rFonts w:hint="eastAsia" w:ascii="宋体" w:hAnsi="宋体" w:cs="宋体"/>
          <w:sz w:val="24"/>
          <w:szCs w:val="24"/>
        </w:rPr>
      </w:pPr>
      <w:bookmarkStart w:id="11" w:name="_Toc17997_WPSOffice_Level2"/>
      <w:bookmarkStart w:id="12" w:name="_Toc922_WPSOffice_Level2"/>
      <w:r>
        <w:rPr>
          <w:rFonts w:hint="eastAsia" w:ascii="宋体" w:hAnsi="宋体" w:cs="宋体"/>
          <w:b/>
          <w:sz w:val="24"/>
          <w:szCs w:val="24"/>
        </w:rPr>
        <w:t>六、递交响应文件时间及地点:</w:t>
      </w:r>
      <w:bookmarkEnd w:id="11"/>
      <w:bookmarkEnd w:id="12"/>
    </w:p>
    <w:p>
      <w:pPr>
        <w:spacing w:line="360" w:lineRule="auto"/>
        <w:ind w:left="480"/>
        <w:rPr>
          <w:rFonts w:hint="eastAsia" w:ascii="宋体" w:hAnsi="宋体" w:cs="宋体"/>
          <w:sz w:val="24"/>
          <w:szCs w:val="24"/>
        </w:rPr>
      </w:pPr>
      <w:r>
        <w:rPr>
          <w:rFonts w:hint="eastAsia" w:ascii="宋体" w:hAnsi="宋体" w:cs="宋体"/>
          <w:sz w:val="24"/>
          <w:szCs w:val="24"/>
        </w:rPr>
        <w:t>1.时间：2019年</w:t>
      </w:r>
      <w:r>
        <w:rPr>
          <w:rFonts w:hint="eastAsia" w:ascii="宋体" w:hAnsi="宋体" w:cs="宋体"/>
          <w:sz w:val="24"/>
          <w:szCs w:val="24"/>
          <w:lang w:val="en-US" w:eastAsia="zh-CN"/>
        </w:rPr>
        <w:t>5</w:t>
      </w:r>
      <w:r>
        <w:rPr>
          <w:rFonts w:hint="eastAsia" w:ascii="宋体" w:hAnsi="宋体" w:cs="宋体"/>
          <w:sz w:val="24"/>
          <w:szCs w:val="24"/>
        </w:rPr>
        <w:t>月</w:t>
      </w:r>
      <w:r>
        <w:rPr>
          <w:rFonts w:hint="eastAsia" w:ascii="宋体" w:hAnsi="宋体" w:cs="宋体"/>
          <w:sz w:val="24"/>
          <w:szCs w:val="24"/>
          <w:lang w:val="en-US" w:eastAsia="zh-CN"/>
        </w:rPr>
        <w:t>16</w:t>
      </w:r>
      <w:r>
        <w:rPr>
          <w:rFonts w:hint="eastAsia" w:ascii="宋体" w:hAnsi="宋体" w:cs="宋体"/>
          <w:sz w:val="24"/>
          <w:szCs w:val="24"/>
        </w:rPr>
        <w:t>日9时00分至 2019年</w:t>
      </w:r>
      <w:r>
        <w:rPr>
          <w:rFonts w:hint="eastAsia" w:ascii="宋体" w:hAnsi="宋体" w:cs="宋体"/>
          <w:sz w:val="24"/>
          <w:szCs w:val="24"/>
          <w:lang w:val="en-US" w:eastAsia="zh-CN"/>
        </w:rPr>
        <w:t>5</w:t>
      </w:r>
      <w:r>
        <w:rPr>
          <w:rFonts w:hint="eastAsia" w:ascii="宋体" w:hAnsi="宋体" w:cs="宋体"/>
          <w:sz w:val="24"/>
          <w:szCs w:val="24"/>
        </w:rPr>
        <w:t>月</w:t>
      </w:r>
      <w:r>
        <w:rPr>
          <w:rFonts w:hint="eastAsia" w:ascii="宋体" w:hAnsi="宋体" w:cs="宋体"/>
          <w:sz w:val="24"/>
          <w:szCs w:val="24"/>
          <w:lang w:val="en-US" w:eastAsia="zh-CN"/>
        </w:rPr>
        <w:t>16</w:t>
      </w:r>
      <w:r>
        <w:rPr>
          <w:rFonts w:hint="eastAsia" w:ascii="宋体" w:hAnsi="宋体" w:cs="宋体"/>
          <w:sz w:val="24"/>
          <w:szCs w:val="24"/>
        </w:rPr>
        <w:t>日9时30分（北京时间）</w:t>
      </w:r>
    </w:p>
    <w:p>
      <w:pPr>
        <w:spacing w:line="360" w:lineRule="auto"/>
        <w:ind w:left="480"/>
        <w:rPr>
          <w:rFonts w:hint="eastAsia" w:ascii="宋体" w:hAnsi="宋体" w:cs="宋体"/>
          <w:sz w:val="24"/>
          <w:szCs w:val="24"/>
        </w:rPr>
      </w:pPr>
      <w:r>
        <w:rPr>
          <w:rFonts w:hint="eastAsia" w:ascii="宋体" w:hAnsi="宋体" w:cs="宋体"/>
          <w:sz w:val="24"/>
          <w:szCs w:val="24"/>
        </w:rPr>
        <w:t>2.地点：济南市高新区工业南路59号中铁财智中心6号楼15楼</w:t>
      </w:r>
    </w:p>
    <w:p>
      <w:pPr>
        <w:spacing w:line="360" w:lineRule="auto"/>
        <w:rPr>
          <w:rFonts w:hint="eastAsia" w:ascii="宋体" w:hAnsi="宋体" w:cs="宋体"/>
          <w:sz w:val="24"/>
          <w:szCs w:val="24"/>
        </w:rPr>
      </w:pPr>
      <w:bookmarkStart w:id="13" w:name="_Toc28886_WPSOffice_Level2"/>
      <w:bookmarkStart w:id="14" w:name="_Toc29191_WPSOffice_Level2"/>
      <w:r>
        <w:rPr>
          <w:rFonts w:hint="eastAsia" w:ascii="宋体" w:hAnsi="宋体" w:cs="宋体"/>
          <w:b/>
          <w:sz w:val="24"/>
          <w:szCs w:val="24"/>
        </w:rPr>
        <w:t>七、</w:t>
      </w:r>
      <w:r>
        <w:rPr>
          <w:rFonts w:hint="eastAsia" w:ascii="宋体" w:hAnsi="宋体" w:cs="宋体"/>
          <w:b/>
          <w:sz w:val="24"/>
          <w:szCs w:val="24"/>
          <w:lang w:eastAsia="zh-CN"/>
        </w:rPr>
        <w:t>开标</w:t>
      </w:r>
      <w:r>
        <w:rPr>
          <w:rFonts w:hint="eastAsia" w:ascii="宋体" w:hAnsi="宋体" w:cs="宋体"/>
          <w:b/>
          <w:sz w:val="24"/>
          <w:szCs w:val="24"/>
        </w:rPr>
        <w:t>时间及地点:</w:t>
      </w:r>
      <w:bookmarkEnd w:id="13"/>
      <w:bookmarkEnd w:id="14"/>
    </w:p>
    <w:p>
      <w:pPr>
        <w:spacing w:line="360" w:lineRule="auto"/>
        <w:ind w:left="480"/>
        <w:rPr>
          <w:rFonts w:hint="eastAsia" w:ascii="宋体" w:hAnsi="宋体" w:cs="宋体"/>
          <w:sz w:val="24"/>
          <w:szCs w:val="24"/>
        </w:rPr>
      </w:pPr>
      <w:r>
        <w:rPr>
          <w:rFonts w:hint="eastAsia" w:ascii="宋体" w:hAnsi="宋体" w:cs="宋体"/>
          <w:sz w:val="24"/>
          <w:szCs w:val="24"/>
        </w:rPr>
        <w:t>1.时间：2019年</w:t>
      </w:r>
      <w:r>
        <w:rPr>
          <w:rFonts w:hint="eastAsia" w:ascii="宋体" w:hAnsi="宋体" w:cs="宋体"/>
          <w:sz w:val="24"/>
          <w:szCs w:val="24"/>
          <w:lang w:val="en-US" w:eastAsia="zh-CN"/>
        </w:rPr>
        <w:t>5</w:t>
      </w:r>
      <w:r>
        <w:rPr>
          <w:rFonts w:hint="eastAsia" w:ascii="宋体" w:hAnsi="宋体" w:cs="宋体"/>
          <w:sz w:val="24"/>
          <w:szCs w:val="24"/>
        </w:rPr>
        <w:t>月</w:t>
      </w:r>
      <w:r>
        <w:rPr>
          <w:rFonts w:hint="eastAsia" w:ascii="宋体" w:hAnsi="宋体" w:cs="宋体"/>
          <w:sz w:val="24"/>
          <w:szCs w:val="24"/>
          <w:lang w:val="en-US" w:eastAsia="zh-CN"/>
        </w:rPr>
        <w:t>16</w:t>
      </w:r>
      <w:r>
        <w:rPr>
          <w:rFonts w:hint="eastAsia" w:ascii="宋体" w:hAnsi="宋体" w:cs="宋体"/>
          <w:sz w:val="24"/>
          <w:szCs w:val="24"/>
        </w:rPr>
        <w:t>日9时30分（北京时间）</w:t>
      </w:r>
    </w:p>
    <w:p>
      <w:pPr>
        <w:spacing w:line="360" w:lineRule="auto"/>
        <w:ind w:left="480"/>
        <w:rPr>
          <w:rFonts w:hint="eastAsia" w:ascii="宋体" w:hAnsi="宋体" w:cs="宋体"/>
          <w:sz w:val="24"/>
          <w:szCs w:val="24"/>
        </w:rPr>
      </w:pPr>
      <w:r>
        <w:rPr>
          <w:rFonts w:hint="eastAsia" w:ascii="宋体" w:hAnsi="宋体" w:cs="宋体"/>
          <w:sz w:val="24"/>
          <w:szCs w:val="24"/>
        </w:rPr>
        <w:t xml:space="preserve">2.地点：济南市高新区工业南路59号中铁财智中心6号楼15楼 </w:t>
      </w:r>
    </w:p>
    <w:p>
      <w:pPr>
        <w:spacing w:line="360" w:lineRule="auto"/>
        <w:rPr>
          <w:rFonts w:hint="eastAsia" w:ascii="宋体" w:hAnsi="宋体" w:cs="宋体"/>
          <w:sz w:val="24"/>
          <w:szCs w:val="24"/>
        </w:rPr>
      </w:pPr>
      <w:bookmarkStart w:id="15" w:name="_Toc6751_WPSOffice_Level2"/>
      <w:bookmarkStart w:id="16" w:name="_Toc5519_WPSOffice_Level2"/>
      <w:r>
        <w:rPr>
          <w:rFonts w:hint="eastAsia" w:ascii="宋体" w:hAnsi="宋体" w:cs="宋体"/>
          <w:b/>
          <w:sz w:val="24"/>
          <w:szCs w:val="24"/>
        </w:rPr>
        <w:t>八、采购项目联系方式:</w:t>
      </w:r>
      <w:bookmarkEnd w:id="15"/>
      <w:bookmarkEnd w:id="16"/>
    </w:p>
    <w:p>
      <w:pPr>
        <w:tabs>
          <w:tab w:val="left" w:pos="3460"/>
        </w:tabs>
        <w:spacing w:line="360" w:lineRule="auto"/>
        <w:ind w:left="480"/>
        <w:rPr>
          <w:rFonts w:ascii="宋体" w:hAnsi="宋体" w:cs="宋体"/>
          <w:sz w:val="24"/>
          <w:szCs w:val="24"/>
        </w:rPr>
      </w:pPr>
      <w:r>
        <w:rPr>
          <w:rFonts w:hint="eastAsia" w:ascii="宋体" w:hAnsi="宋体" w:cs="宋体"/>
          <w:sz w:val="24"/>
          <w:szCs w:val="24"/>
        </w:rPr>
        <w:t>联系人：田生    联系方式：0531-88809762 转8010</w:t>
      </w:r>
    </w:p>
    <w:p>
      <w:pPr>
        <w:spacing w:line="360" w:lineRule="auto"/>
        <w:rPr>
          <w:rFonts w:hint="eastAsia" w:ascii="宋体" w:hAnsi="宋体" w:cs="宋体"/>
          <w:sz w:val="24"/>
          <w:szCs w:val="24"/>
        </w:rPr>
      </w:pPr>
      <w:bookmarkStart w:id="17" w:name="_Toc21398_WPSOffice_Level2"/>
      <w:bookmarkStart w:id="18" w:name="_Toc20712_WPSOffice_Level2"/>
      <w:r>
        <w:rPr>
          <w:rFonts w:hint="eastAsia" w:ascii="宋体" w:hAnsi="宋体" w:cs="宋体"/>
          <w:b/>
          <w:sz w:val="24"/>
          <w:szCs w:val="24"/>
        </w:rPr>
        <w:t>九、采购项目的用途、数量、简要技术要求等</w:t>
      </w:r>
      <w:r>
        <w:rPr>
          <w:rFonts w:hint="eastAsia" w:ascii="宋体" w:hAnsi="宋体" w:cs="宋体"/>
          <w:sz w:val="24"/>
          <w:szCs w:val="24"/>
        </w:rPr>
        <w:t>：详见招标文件。</w:t>
      </w:r>
      <w:bookmarkEnd w:id="17"/>
      <w:bookmarkEnd w:id="18"/>
    </w:p>
    <w:p>
      <w:pPr>
        <w:spacing w:line="360" w:lineRule="auto"/>
        <w:rPr>
          <w:rFonts w:hint="eastAsia" w:ascii="宋体" w:hAnsi="宋体" w:cs="宋体"/>
          <w:sz w:val="24"/>
          <w:szCs w:val="24"/>
        </w:rPr>
      </w:pPr>
      <w:bookmarkStart w:id="19" w:name="_Toc16205_WPSOffice_Level2"/>
      <w:bookmarkStart w:id="20" w:name="_Toc2395_WPSOffice_Level2"/>
      <w:r>
        <w:rPr>
          <w:rFonts w:hint="eastAsia" w:ascii="宋体" w:hAnsi="宋体" w:cs="宋体"/>
          <w:b/>
          <w:sz w:val="24"/>
          <w:szCs w:val="24"/>
        </w:rPr>
        <w:t>十、采购项目需要落实的政府采购政策</w:t>
      </w:r>
      <w:r>
        <w:rPr>
          <w:rFonts w:hint="eastAsia" w:ascii="宋体" w:hAnsi="宋体" w:cs="宋体"/>
          <w:sz w:val="24"/>
          <w:szCs w:val="24"/>
        </w:rPr>
        <w:t>：详见招标文件。</w:t>
      </w:r>
      <w:bookmarkEnd w:id="19"/>
      <w:bookmarkEnd w:id="20"/>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jc w:val="right"/>
        <w:rPr>
          <w:rFonts w:hint="eastAsia" w:ascii="宋体" w:hAnsi="宋体" w:cs="宋体"/>
          <w:sz w:val="24"/>
          <w:szCs w:val="24"/>
        </w:rPr>
      </w:pPr>
      <w:r>
        <w:rPr>
          <w:rFonts w:hint="eastAsia" w:ascii="宋体" w:hAnsi="宋体" w:cs="宋体"/>
          <w:sz w:val="24"/>
          <w:szCs w:val="24"/>
        </w:rPr>
        <w:t>发布人：山东蓝盾招标代理有限公司</w:t>
      </w:r>
    </w:p>
    <w:p>
      <w:pPr>
        <w:spacing w:line="360" w:lineRule="auto"/>
        <w:jc w:val="center"/>
        <w:rPr>
          <w:rFonts w:hint="eastAsia"/>
        </w:rPr>
        <w:sectPr>
          <w:pgSz w:w="11900" w:h="16840"/>
          <w:pgMar w:top="1304" w:right="1202" w:bottom="1134" w:left="1202" w:header="567" w:footer="567" w:gutter="0"/>
          <w:cols w:space="720" w:num="1"/>
          <w:docGrid w:linePitch="360" w:charSpace="0"/>
        </w:sectPr>
      </w:pPr>
      <w:r>
        <w:rPr>
          <w:rFonts w:hint="eastAsia" w:ascii="宋体" w:hAnsi="宋体" w:cs="宋体"/>
          <w:sz w:val="24"/>
          <w:szCs w:val="24"/>
        </w:rPr>
        <w:t xml:space="preserve">                                         </w:t>
      </w:r>
      <w:bookmarkStart w:id="21" w:name="_Toc31536_WPSOffice_Level2"/>
      <w:bookmarkStart w:id="22" w:name="_Toc7186_WPSOffice_Level2"/>
      <w:r>
        <w:rPr>
          <w:rFonts w:hint="eastAsia" w:ascii="宋体" w:hAnsi="宋体" w:cs="宋体"/>
          <w:sz w:val="24"/>
          <w:szCs w:val="24"/>
        </w:rPr>
        <w:t>发布时间：2019年</w:t>
      </w:r>
      <w:r>
        <w:rPr>
          <w:rFonts w:hint="eastAsia" w:ascii="宋体" w:hAnsi="宋体" w:cs="宋体"/>
          <w:sz w:val="24"/>
          <w:szCs w:val="24"/>
          <w:lang w:val="en-US" w:eastAsia="zh-CN"/>
        </w:rPr>
        <w:t>4</w:t>
      </w:r>
      <w:r>
        <w:rPr>
          <w:rFonts w:hint="eastAsia" w:ascii="宋体" w:hAnsi="宋体" w:cs="宋体"/>
          <w:sz w:val="24"/>
          <w:szCs w:val="24"/>
        </w:rPr>
        <w:t>月</w:t>
      </w:r>
      <w:r>
        <w:rPr>
          <w:rFonts w:hint="eastAsia" w:ascii="宋体" w:hAnsi="宋体" w:cs="宋体"/>
          <w:sz w:val="24"/>
          <w:szCs w:val="24"/>
          <w:lang w:val="en-US" w:eastAsia="zh-CN"/>
        </w:rPr>
        <w:t>24</w:t>
      </w:r>
      <w:r>
        <w:rPr>
          <w:rFonts w:hint="eastAsia" w:ascii="宋体" w:hAnsi="宋体" w:cs="宋体"/>
          <w:sz w:val="24"/>
          <w:szCs w:val="24"/>
        </w:rPr>
        <w:t>日</w:t>
      </w:r>
      <w:bookmarkEnd w:id="21"/>
      <w:bookmarkEnd w:id="22"/>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2860"/>
        <w:textAlignment w:val="auto"/>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lang w:eastAsia="zh-CN"/>
        </w:rPr>
        <w:t>投标人须知</w:t>
      </w:r>
      <w:bookmarkEnd w:id="1"/>
    </w:p>
    <w:p>
      <w:pPr>
        <w:bidi w:val="0"/>
        <w:jc w:val="center"/>
        <w:rPr>
          <w:rFonts w:hint="eastAsia"/>
          <w:b/>
          <w:bCs/>
          <w:sz w:val="32"/>
          <w:szCs w:val="32"/>
          <w:highlight w:val="none"/>
          <w:lang w:eastAsia="zh-CN"/>
        </w:rPr>
      </w:pPr>
      <w:r>
        <w:rPr>
          <w:rFonts w:hint="eastAsia"/>
          <w:b/>
          <w:bCs/>
          <w:sz w:val="32"/>
          <w:szCs w:val="32"/>
          <w:highlight w:val="none"/>
          <w:lang w:eastAsia="zh-CN"/>
        </w:rPr>
        <w:t>前附表</w:t>
      </w:r>
    </w:p>
    <w:tbl>
      <w:tblPr>
        <w:tblStyle w:val="21"/>
        <w:tblW w:w="91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34"/>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828" w:type="dxa"/>
            <w:vAlign w:val="bottom"/>
          </w:tcPr>
          <w:p>
            <w:pPr>
              <w:tabs>
                <w:tab w:val="left" w:pos="2730"/>
                <w:tab w:val="left" w:pos="2835"/>
              </w:tabs>
              <w:adjustRightInd w:val="0"/>
              <w:snapToGrid w:val="0"/>
              <w:spacing w:before="100" w:beforeAutospacing="1" w:after="100" w:afterAutospacing="1"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序号</w:t>
            </w:r>
          </w:p>
        </w:tc>
        <w:tc>
          <w:tcPr>
            <w:tcW w:w="1634" w:type="dxa"/>
            <w:vAlign w:val="bottom"/>
          </w:tcPr>
          <w:p>
            <w:pPr>
              <w:tabs>
                <w:tab w:val="left" w:pos="2730"/>
                <w:tab w:val="left" w:pos="2835"/>
              </w:tabs>
              <w:adjustRightInd w:val="0"/>
              <w:snapToGrid w:val="0"/>
              <w:spacing w:before="100" w:beforeAutospacing="1" w:after="100" w:afterAutospacing="1" w:line="360" w:lineRule="auto"/>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内容</w:t>
            </w:r>
          </w:p>
        </w:tc>
        <w:tc>
          <w:tcPr>
            <w:tcW w:w="6659" w:type="dxa"/>
            <w:vAlign w:val="bottom"/>
          </w:tcPr>
          <w:p>
            <w:pPr>
              <w:tabs>
                <w:tab w:val="left" w:pos="2730"/>
                <w:tab w:val="left" w:pos="2835"/>
              </w:tabs>
              <w:adjustRightInd w:val="0"/>
              <w:snapToGrid w:val="0"/>
              <w:spacing w:before="100" w:beforeAutospacing="1" w:after="100" w:afterAutospacing="1" w:line="360" w:lineRule="auto"/>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0" w:hRule="atLeast"/>
          <w:jc w:val="center"/>
        </w:trPr>
        <w:tc>
          <w:tcPr>
            <w:tcW w:w="828" w:type="dxa"/>
            <w:vAlign w:val="center"/>
          </w:tcPr>
          <w:p>
            <w:pPr>
              <w:tabs>
                <w:tab w:val="left" w:pos="2730"/>
                <w:tab w:val="left" w:pos="2835"/>
              </w:tabs>
              <w:adjustRightInd w:val="0"/>
              <w:snapToGrid w:val="0"/>
              <w:spacing w:before="100" w:beforeAutospacing="1" w:after="100" w:afterAutospacing="1"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w:t>
            </w:r>
          </w:p>
        </w:tc>
        <w:tc>
          <w:tcPr>
            <w:tcW w:w="1634" w:type="dxa"/>
            <w:vAlign w:val="center"/>
          </w:tcPr>
          <w:p>
            <w:pPr>
              <w:pStyle w:val="7"/>
              <w:spacing w:before="0" w:line="360" w:lineRule="auto"/>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综合说明</w:t>
            </w:r>
          </w:p>
        </w:tc>
        <w:tc>
          <w:tcPr>
            <w:tcW w:w="6659" w:type="dxa"/>
            <w:vAlign w:val="center"/>
          </w:tcPr>
          <w:p>
            <w:pPr>
              <w:pStyle w:val="7"/>
              <w:spacing w:before="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项目名称：济南市消防支队章丘区大队车辆维修定点入围项目</w:t>
            </w:r>
          </w:p>
          <w:p>
            <w:pPr>
              <w:pStyle w:val="7"/>
              <w:spacing w:before="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项目编号：SDLD2019GK005</w:t>
            </w:r>
          </w:p>
          <w:p>
            <w:pPr>
              <w:pStyle w:val="7"/>
              <w:spacing w:before="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招标人：</w:t>
            </w:r>
            <w:r>
              <w:rPr>
                <w:rFonts w:hint="eastAsia" w:ascii="宋体" w:hAnsi="宋体" w:cs="宋体"/>
                <w:sz w:val="24"/>
                <w:szCs w:val="24"/>
                <w:highlight w:val="none"/>
                <w:lang w:eastAsia="zh-CN"/>
              </w:rPr>
              <w:t>济南市消防支队章丘区大队</w:t>
            </w:r>
          </w:p>
          <w:p>
            <w:pPr>
              <w:pStyle w:val="7"/>
              <w:spacing w:before="0"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采购代理机构：</w:t>
            </w:r>
            <w:r>
              <w:rPr>
                <w:rFonts w:hint="eastAsia" w:ascii="宋体" w:hAnsi="宋体" w:eastAsia="宋体" w:cs="宋体"/>
                <w:sz w:val="24"/>
                <w:szCs w:val="24"/>
                <w:highlight w:val="none"/>
                <w:lang w:val="zh-CN"/>
              </w:rPr>
              <w:t>山东蓝盾招标代理有限公司</w:t>
            </w:r>
          </w:p>
          <w:p>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rPr>
              <w:t>预算金额：</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828" w:type="dxa"/>
            <w:vAlign w:val="bottom"/>
          </w:tcPr>
          <w:p>
            <w:pPr>
              <w:tabs>
                <w:tab w:val="left" w:pos="2730"/>
                <w:tab w:val="left" w:pos="2835"/>
              </w:tabs>
              <w:adjustRightInd w:val="0"/>
              <w:snapToGrid w:val="0"/>
              <w:spacing w:before="100" w:beforeAutospacing="1" w:after="100" w:afterAutospacing="1" w:line="360" w:lineRule="auto"/>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w:t>
            </w:r>
          </w:p>
        </w:tc>
        <w:tc>
          <w:tcPr>
            <w:tcW w:w="1634" w:type="dxa"/>
            <w:vAlign w:val="center"/>
          </w:tcPr>
          <w:p>
            <w:pPr>
              <w:pStyle w:val="7"/>
              <w:spacing w:before="0" w:line="360" w:lineRule="auto"/>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招标方式</w:t>
            </w:r>
          </w:p>
        </w:tc>
        <w:tc>
          <w:tcPr>
            <w:tcW w:w="6659" w:type="dxa"/>
            <w:vAlign w:val="center"/>
          </w:tcPr>
          <w:p>
            <w:pPr>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3" w:hRule="atLeast"/>
          <w:jc w:val="center"/>
        </w:trPr>
        <w:tc>
          <w:tcPr>
            <w:tcW w:w="828" w:type="dxa"/>
            <w:vAlign w:val="center"/>
          </w:tcPr>
          <w:p>
            <w:pPr>
              <w:tabs>
                <w:tab w:val="left" w:pos="2730"/>
                <w:tab w:val="left" w:pos="2835"/>
              </w:tabs>
              <w:adjustRightInd w:val="0"/>
              <w:snapToGrid w:val="0"/>
              <w:spacing w:before="100" w:beforeAutospacing="1" w:after="100" w:afterAutospacing="1" w:line="360" w:lineRule="auto"/>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3</w:t>
            </w:r>
          </w:p>
        </w:tc>
        <w:tc>
          <w:tcPr>
            <w:tcW w:w="1634" w:type="dxa"/>
            <w:vAlign w:val="center"/>
          </w:tcPr>
          <w:p>
            <w:pPr>
              <w:pStyle w:val="7"/>
              <w:spacing w:before="0" w:line="360" w:lineRule="auto"/>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供应商资格要求</w:t>
            </w:r>
          </w:p>
        </w:tc>
        <w:tc>
          <w:tcPr>
            <w:tcW w:w="6659" w:type="dxa"/>
            <w:vAlign w:val="bottom"/>
          </w:tcPr>
          <w:p>
            <w:pPr>
              <w:spacing w:line="360" w:lineRule="auto"/>
              <w:rPr>
                <w:rFonts w:hint="eastAsia" w:ascii="宋体" w:hAnsi="宋体" w:cs="宋体"/>
                <w:sz w:val="24"/>
                <w:szCs w:val="24"/>
              </w:rPr>
            </w:pPr>
            <w:r>
              <w:rPr>
                <w:rFonts w:hint="eastAsia" w:ascii="宋体" w:hAnsi="宋体" w:cs="宋体"/>
                <w:sz w:val="24"/>
                <w:szCs w:val="24"/>
              </w:rPr>
              <w:t>1）供应商应符合《中华人民共和国政府采购法》第二十二条规定且应为未被列入信用中国网站（www.creditchina.gov.cn ）、中国政府采购网(www.ccgp.gov.cn)、信用山东（www.creditsd.gov.cn）等渠道信用记录失信被执行人、重大税收违法案件当事人名单、政府采购严重违法失信行为记录名单；（三方网站截图报名时均须携带）</w:t>
            </w:r>
          </w:p>
          <w:p>
            <w:pPr>
              <w:spacing w:line="360" w:lineRule="auto"/>
              <w:jc w:val="both"/>
              <w:rPr>
                <w:rFonts w:hint="eastAsia" w:ascii="宋体" w:hAnsi="宋体" w:cs="宋体"/>
                <w:sz w:val="24"/>
                <w:szCs w:val="24"/>
              </w:rPr>
            </w:pPr>
            <w:r>
              <w:rPr>
                <w:rFonts w:hint="eastAsia" w:ascii="宋体" w:hAnsi="宋体" w:cs="宋体"/>
                <w:sz w:val="24"/>
                <w:szCs w:val="24"/>
              </w:rPr>
              <w:t>2）供应商须为在中华人民共和国境内登记注册，</w:t>
            </w:r>
            <w:r>
              <w:rPr>
                <w:rFonts w:hint="eastAsia" w:ascii="宋体" w:hAnsi="宋体" w:cs="宋体"/>
                <w:sz w:val="24"/>
                <w:szCs w:val="24"/>
                <w:lang w:eastAsia="zh-CN"/>
              </w:rPr>
              <w:t>具备独立法人或其他组织，</w:t>
            </w:r>
            <w:r>
              <w:rPr>
                <w:rFonts w:hint="eastAsia" w:ascii="宋体" w:hAnsi="宋体" w:cs="宋体"/>
                <w:sz w:val="24"/>
                <w:szCs w:val="24"/>
                <w:lang w:val="zh-CN"/>
              </w:rPr>
              <w:t>并在人员、设备等方面具备相应的服务能力；</w:t>
            </w:r>
          </w:p>
          <w:p>
            <w:pPr>
              <w:spacing w:line="360" w:lineRule="auto"/>
              <w:jc w:val="both"/>
              <w:rPr>
                <w:rFonts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）具备维修各类公务用车的能力，并具有履行合同所必需的设备和专业技术能力；</w:t>
            </w:r>
          </w:p>
          <w:p>
            <w:pPr>
              <w:spacing w:line="360" w:lineRule="auto"/>
              <w:jc w:val="both"/>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）在济南市（含各区县）有固定的经营场所；</w:t>
            </w:r>
          </w:p>
          <w:p>
            <w:pPr>
              <w:jc w:val="both"/>
              <w:rPr>
                <w:rFonts w:hint="eastAsia" w:ascii="宋体" w:hAnsi="宋体" w:eastAsia="宋体" w:cs="宋体"/>
                <w:color w:val="auto"/>
                <w:sz w:val="24"/>
                <w:szCs w:val="24"/>
                <w:highlight w:val="none"/>
                <w:lang w:val="zh-CN"/>
              </w:rPr>
            </w:pPr>
            <w:r>
              <w:rPr>
                <w:rFonts w:hint="eastAsia" w:ascii="宋体" w:hAnsi="宋体" w:cs="宋体"/>
                <w:sz w:val="24"/>
                <w:szCs w:val="24"/>
                <w:lang w:val="en-US" w:eastAsia="zh-CN"/>
              </w:rPr>
              <w:t>5</w:t>
            </w:r>
            <w:r>
              <w:rPr>
                <w:rFonts w:hint="eastAsia" w:ascii="宋体" w:hAnsi="宋体" w:cs="宋体"/>
                <w:sz w:val="24"/>
                <w:szCs w:val="24"/>
              </w:rPr>
              <w:t>）不接受联合体投标。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828" w:type="dxa"/>
            <w:vAlign w:val="center"/>
          </w:tcPr>
          <w:p>
            <w:pPr>
              <w:tabs>
                <w:tab w:val="left" w:pos="2730"/>
                <w:tab w:val="left" w:pos="2835"/>
              </w:tabs>
              <w:adjustRightInd w:val="0"/>
              <w:snapToGrid w:val="0"/>
              <w:spacing w:before="100" w:beforeAutospacing="1" w:after="100" w:afterAutospacing="1" w:line="360" w:lineRule="auto"/>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4</w:t>
            </w:r>
          </w:p>
        </w:tc>
        <w:tc>
          <w:tcPr>
            <w:tcW w:w="1634" w:type="dxa"/>
            <w:vAlign w:val="center"/>
          </w:tcPr>
          <w:p>
            <w:pPr>
              <w:pStyle w:val="7"/>
              <w:spacing w:before="0" w:line="360" w:lineRule="auto"/>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投标有效期</w:t>
            </w:r>
          </w:p>
        </w:tc>
        <w:tc>
          <w:tcPr>
            <w:tcW w:w="6659" w:type="dxa"/>
            <w:vAlign w:val="center"/>
          </w:tcPr>
          <w:p>
            <w:pPr>
              <w:pStyle w:val="7"/>
              <w:spacing w:before="0"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90日历天(从投标截止之日算起)。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828" w:type="dxa"/>
            <w:vAlign w:val="center"/>
          </w:tcPr>
          <w:p>
            <w:pPr>
              <w:tabs>
                <w:tab w:val="left" w:pos="2730"/>
                <w:tab w:val="left" w:pos="2835"/>
              </w:tabs>
              <w:adjustRightInd w:val="0"/>
              <w:snapToGrid w:val="0"/>
              <w:spacing w:before="100" w:beforeAutospacing="1" w:after="100" w:afterAutospacing="1" w:line="360" w:lineRule="auto"/>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5</w:t>
            </w:r>
          </w:p>
        </w:tc>
        <w:tc>
          <w:tcPr>
            <w:tcW w:w="1634" w:type="dxa"/>
            <w:vAlign w:val="center"/>
          </w:tcPr>
          <w:p>
            <w:pPr>
              <w:pStyle w:val="7"/>
              <w:spacing w:before="0" w:line="360" w:lineRule="auto"/>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资格审查</w:t>
            </w:r>
          </w:p>
        </w:tc>
        <w:tc>
          <w:tcPr>
            <w:tcW w:w="6659" w:type="dxa"/>
            <w:vAlign w:val="center"/>
          </w:tcPr>
          <w:p>
            <w:pPr>
              <w:pStyle w:val="7"/>
              <w:spacing w:before="0"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eastAsia="zh-CN"/>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828" w:type="dxa"/>
            <w:vAlign w:val="center"/>
          </w:tcPr>
          <w:p>
            <w:pPr>
              <w:tabs>
                <w:tab w:val="left" w:pos="2730"/>
                <w:tab w:val="left" w:pos="2835"/>
              </w:tabs>
              <w:adjustRightInd w:val="0"/>
              <w:snapToGrid w:val="0"/>
              <w:spacing w:before="100" w:beforeAutospacing="1" w:after="100" w:afterAutospacing="1" w:line="360" w:lineRule="auto"/>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6</w:t>
            </w:r>
          </w:p>
        </w:tc>
        <w:tc>
          <w:tcPr>
            <w:tcW w:w="1634" w:type="dxa"/>
            <w:vAlign w:val="center"/>
          </w:tcPr>
          <w:p>
            <w:pPr>
              <w:pStyle w:val="7"/>
              <w:spacing w:before="0" w:line="360" w:lineRule="auto"/>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资金来源</w:t>
            </w:r>
          </w:p>
        </w:tc>
        <w:tc>
          <w:tcPr>
            <w:tcW w:w="6659" w:type="dxa"/>
            <w:vAlign w:val="center"/>
          </w:tcPr>
          <w:p>
            <w:pPr>
              <w:pStyle w:val="7"/>
              <w:spacing w:before="0"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eastAsia="zh-CN"/>
              </w:rPr>
              <w:t>本级资金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8" w:type="dxa"/>
            <w:vAlign w:val="center"/>
          </w:tcPr>
          <w:p>
            <w:pPr>
              <w:tabs>
                <w:tab w:val="left" w:pos="2730"/>
                <w:tab w:val="left" w:pos="2835"/>
              </w:tabs>
              <w:adjustRightInd w:val="0"/>
              <w:snapToGrid w:val="0"/>
              <w:spacing w:before="100" w:beforeAutospacing="1" w:after="100" w:afterAutospacing="1" w:line="360" w:lineRule="auto"/>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7</w:t>
            </w:r>
          </w:p>
        </w:tc>
        <w:tc>
          <w:tcPr>
            <w:tcW w:w="1634" w:type="dxa"/>
            <w:vAlign w:val="center"/>
          </w:tcPr>
          <w:p>
            <w:pPr>
              <w:tabs>
                <w:tab w:val="left" w:pos="3122"/>
              </w:tabs>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投标保证金</w:t>
            </w:r>
          </w:p>
        </w:tc>
        <w:tc>
          <w:tcPr>
            <w:tcW w:w="6659" w:type="dxa"/>
            <w:vAlign w:val="center"/>
          </w:tcPr>
          <w:p>
            <w:pPr>
              <w:pStyle w:val="31"/>
              <w:spacing w:line="360" w:lineRule="auto"/>
              <w:ind w:left="0" w:leftChars="0" w:firstLine="0" w:firstLineChars="0"/>
              <w:rPr>
                <w:rFonts w:hint="eastAsia" w:ascii="宋体" w:hAnsi="宋体" w:cs="宋体"/>
                <w:sz w:val="24"/>
              </w:rPr>
            </w:pPr>
            <w:r>
              <w:rPr>
                <w:rFonts w:hint="eastAsia" w:ascii="宋体" w:hAnsi="宋体" w:cs="宋体"/>
                <w:sz w:val="24"/>
              </w:rPr>
              <w:t>投标保证金应当以电汇、转账支票、汇票方式等非现金形式由投标单位的基本账户支出或以投标担保函、履约担保函形式缴纳保证金；</w:t>
            </w:r>
          </w:p>
          <w:p>
            <w:pPr>
              <w:widowControl w:val="0"/>
              <w:spacing w:line="360" w:lineRule="auto"/>
              <w:jc w:val="both"/>
              <w:rPr>
                <w:rFonts w:hint="eastAsia" w:ascii="宋体" w:hAnsi="宋体" w:eastAsia="宋体" w:cs="宋体"/>
                <w:sz w:val="24"/>
                <w:szCs w:val="24"/>
                <w:highlight w:val="none"/>
              </w:rPr>
            </w:pPr>
            <w:r>
              <w:rPr>
                <w:rFonts w:hint="eastAsia" w:ascii="宋体" w:hAnsi="宋体" w:cs="宋体"/>
                <w:sz w:val="24"/>
                <w:lang w:eastAsia="zh-CN"/>
              </w:rPr>
              <w:t>投标保证金</w:t>
            </w:r>
            <w:r>
              <w:rPr>
                <w:rFonts w:hint="eastAsia" w:ascii="宋体" w:hAnsi="宋体" w:cs="宋体"/>
                <w:sz w:val="24"/>
              </w:rPr>
              <w:t>须在</w:t>
            </w:r>
            <w:r>
              <w:rPr>
                <w:rFonts w:hint="eastAsia" w:ascii="宋体" w:hAnsi="宋体" w:cs="宋体"/>
                <w:color w:val="auto"/>
                <w:sz w:val="24"/>
              </w:rPr>
              <w:t>201</w:t>
            </w:r>
            <w:r>
              <w:rPr>
                <w:rFonts w:hint="eastAsia" w:ascii="宋体" w:hAnsi="宋体" w:cs="宋体"/>
                <w:color w:val="auto"/>
                <w:sz w:val="24"/>
                <w:lang w:val="en-US" w:eastAsia="zh-CN"/>
              </w:rPr>
              <w:t>9</w:t>
            </w:r>
            <w:r>
              <w:rPr>
                <w:rFonts w:hint="eastAsia" w:ascii="宋体" w:hAnsi="宋体" w:cs="宋体"/>
                <w:color w:val="auto"/>
                <w:sz w:val="24"/>
              </w:rPr>
              <w:t>年</w:t>
            </w:r>
            <w:r>
              <w:rPr>
                <w:rFonts w:hint="eastAsia" w:ascii="宋体" w:hAnsi="宋体" w:cs="宋体"/>
                <w:color w:val="auto"/>
                <w:sz w:val="24"/>
                <w:lang w:val="en-US" w:eastAsia="zh-CN"/>
              </w:rPr>
              <w:t>5</w:t>
            </w:r>
            <w:r>
              <w:rPr>
                <w:rFonts w:hint="eastAsia" w:ascii="宋体" w:hAnsi="宋体" w:cs="宋体"/>
                <w:color w:val="auto"/>
                <w:sz w:val="24"/>
              </w:rPr>
              <w:t>月</w:t>
            </w:r>
            <w:r>
              <w:rPr>
                <w:rFonts w:hint="eastAsia" w:ascii="宋体" w:hAnsi="宋体" w:cs="宋体"/>
                <w:color w:val="auto"/>
                <w:sz w:val="24"/>
                <w:lang w:val="en-US" w:eastAsia="zh-CN"/>
              </w:rPr>
              <w:t>15</w:t>
            </w:r>
            <w:r>
              <w:rPr>
                <w:rFonts w:hint="eastAsia" w:ascii="宋体" w:hAnsi="宋体" w:cs="宋体"/>
                <w:color w:val="auto"/>
                <w:sz w:val="24"/>
              </w:rPr>
              <w:t>日</w:t>
            </w:r>
            <w:r>
              <w:rPr>
                <w:rFonts w:hint="eastAsia" w:ascii="宋体" w:hAnsi="宋体" w:cs="宋体"/>
                <w:sz w:val="24"/>
              </w:rPr>
              <w:t>中午12时00分之前提交</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pacing w:afterAutospacing="0" w:line="360" w:lineRule="auto"/>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保证金金额：</w:t>
            </w:r>
            <w:r>
              <w:rPr>
                <w:rFonts w:hint="eastAsia" w:ascii="宋体" w:hAnsi="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val="en-US" w:eastAsia="zh-CN"/>
              </w:rPr>
              <w:t>000.00元（大写：</w:t>
            </w:r>
            <w:r>
              <w:rPr>
                <w:rFonts w:hint="eastAsia" w:ascii="宋体" w:hAnsi="宋体" w:cs="宋体"/>
                <w:color w:val="auto"/>
                <w:sz w:val="24"/>
                <w:szCs w:val="24"/>
                <w:highlight w:val="none"/>
                <w:u w:val="single"/>
                <w:lang w:val="en-US" w:eastAsia="zh-CN"/>
              </w:rPr>
              <w:t>贰</w:t>
            </w:r>
            <w:r>
              <w:rPr>
                <w:rFonts w:hint="eastAsia" w:ascii="宋体" w:hAnsi="宋体" w:eastAsia="宋体" w:cs="宋体"/>
                <w:color w:val="auto"/>
                <w:sz w:val="24"/>
                <w:szCs w:val="24"/>
                <w:highlight w:val="none"/>
                <w:u w:val="single"/>
                <w:lang w:val="en-US" w:eastAsia="zh-CN"/>
              </w:rPr>
              <w:t>仟元整）；</w:t>
            </w:r>
          </w:p>
          <w:p>
            <w:pPr>
              <w:keepNext w:val="0"/>
              <w:keepLines w:val="0"/>
              <w:pageBreakBefore w:val="0"/>
              <w:widowControl/>
              <w:kinsoku/>
              <w:wordWrap/>
              <w:overflowPunct/>
              <w:topLinePunct w:val="0"/>
              <w:bidi w:val="0"/>
              <w:adjustRightInd/>
              <w:snapToGrid/>
              <w:spacing w:line="360" w:lineRule="auto"/>
              <w:jc w:val="both"/>
              <w:textAlignment w:val="auto"/>
              <w:outlineLvl w:val="9"/>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(1)若采用电汇或支票，投标人应将投标保证金由投标人的基本账户转入指定账户，接收账户如下：</w:t>
            </w:r>
          </w:p>
          <w:p>
            <w:pPr>
              <w:keepNext w:val="0"/>
              <w:keepLines w:val="0"/>
              <w:pageBreakBefore w:val="0"/>
              <w:widowControl/>
              <w:kinsoku/>
              <w:wordWrap/>
              <w:overflowPunct/>
              <w:topLinePunct w:val="0"/>
              <w:bidi w:val="0"/>
              <w:adjustRightInd/>
              <w:snapToGrid/>
              <w:spacing w:line="360" w:lineRule="auto"/>
              <w:jc w:val="both"/>
              <w:textAlignment w:val="auto"/>
              <w:outlineLvl w:val="9"/>
              <w:rPr>
                <w:rFonts w:hint="eastAsia"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单位名称：山东蓝盾招标代理有限公司</w:t>
            </w:r>
          </w:p>
          <w:p>
            <w:pPr>
              <w:keepNext w:val="0"/>
              <w:keepLines w:val="0"/>
              <w:pageBreakBefore w:val="0"/>
              <w:widowControl/>
              <w:kinsoku/>
              <w:wordWrap/>
              <w:overflowPunct/>
              <w:topLinePunct w:val="0"/>
              <w:bidi w:val="0"/>
              <w:adjustRightInd/>
              <w:snapToGrid/>
              <w:spacing w:line="360" w:lineRule="auto"/>
              <w:jc w:val="both"/>
              <w:textAlignment w:val="auto"/>
              <w:outlineLvl w:val="9"/>
              <w:rPr>
                <w:rFonts w:hint="eastAsia"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开户银行：中国农业银行股份有限公司济南会展中心分理处</w:t>
            </w:r>
          </w:p>
          <w:p>
            <w:pPr>
              <w:keepNext w:val="0"/>
              <w:keepLines w:val="0"/>
              <w:pageBreakBefore w:val="0"/>
              <w:widowControl/>
              <w:kinsoku/>
              <w:wordWrap/>
              <w:overflowPunct/>
              <w:topLinePunct w:val="0"/>
              <w:bidi w:val="0"/>
              <w:adjustRightInd/>
              <w:snapToGrid/>
              <w:spacing w:line="360" w:lineRule="auto"/>
              <w:jc w:val="both"/>
              <w:textAlignment w:val="auto"/>
              <w:outlineLvl w:val="9"/>
              <w:rPr>
                <w:rFonts w:hint="eastAsia"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帐    号：15132401040008055</w:t>
            </w:r>
          </w:p>
          <w:p>
            <w:pPr>
              <w:keepNext w:val="0"/>
              <w:keepLines w:val="0"/>
              <w:pageBreakBefore w:val="0"/>
              <w:widowControl/>
              <w:kinsoku/>
              <w:wordWrap/>
              <w:overflowPunct/>
              <w:topLinePunct w:val="0"/>
              <w:bidi w:val="0"/>
              <w:adjustRightInd/>
              <w:snapToGrid/>
              <w:spacing w:line="360" w:lineRule="auto"/>
              <w:jc w:val="both"/>
              <w:textAlignment w:val="auto"/>
              <w:outlineLvl w:val="9"/>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投标保证金必须由</w:t>
            </w:r>
            <w:r>
              <w:rPr>
                <w:rFonts w:hint="eastAsia" w:ascii="宋体" w:hAnsi="宋体" w:eastAsia="宋体" w:cs="宋体"/>
                <w:b/>
                <w:bCs/>
                <w:spacing w:val="6"/>
                <w:sz w:val="24"/>
                <w:szCs w:val="24"/>
                <w:highlight w:val="none"/>
              </w:rPr>
              <w:t>供应商基本账户</w:t>
            </w:r>
            <w:r>
              <w:rPr>
                <w:rFonts w:hint="eastAsia" w:ascii="宋体" w:hAnsi="宋体" w:eastAsia="宋体" w:cs="宋体"/>
                <w:spacing w:val="6"/>
                <w:sz w:val="24"/>
                <w:szCs w:val="24"/>
                <w:highlight w:val="none"/>
              </w:rPr>
              <w:t>支出。</w:t>
            </w:r>
          </w:p>
          <w:p>
            <w:pPr>
              <w:pStyle w:val="31"/>
              <w:keepNext w:val="0"/>
              <w:keepLines w:val="0"/>
              <w:pageBreakBefore w:val="0"/>
              <w:widowControl/>
              <w:kinsoku/>
              <w:wordWrap/>
              <w:overflowPunct/>
              <w:topLinePunct w:val="0"/>
              <w:bidi w:val="0"/>
              <w:adjustRightInd/>
              <w:snapToGrid/>
              <w:spacing w:line="360" w:lineRule="auto"/>
              <w:ind w:firstLine="0" w:firstLineChars="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未按规定交纳报价保证金的供应商，其</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不予接收。</w:t>
            </w:r>
          </w:p>
          <w:p>
            <w:pPr>
              <w:pStyle w:val="31"/>
              <w:keepNext w:val="0"/>
              <w:keepLines w:val="0"/>
              <w:pageBreakBefore w:val="0"/>
              <w:widowControl/>
              <w:kinsoku/>
              <w:wordWrap/>
              <w:overflowPunct/>
              <w:topLinePunct w:val="0"/>
              <w:bidi w:val="0"/>
              <w:adjustRightInd/>
              <w:snapToGrid/>
              <w:spacing w:line="360" w:lineRule="auto"/>
              <w:ind w:left="0" w:leftChars="0" w:firstLine="0" w:firstLineChars="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①投标保证金必须由投标单位的基本账户支出</w:t>
            </w:r>
          </w:p>
          <w:p>
            <w:pPr>
              <w:pStyle w:val="31"/>
              <w:keepNext w:val="0"/>
              <w:keepLines w:val="0"/>
              <w:pageBreakBefore w:val="0"/>
              <w:widowControl/>
              <w:kinsoku/>
              <w:wordWrap/>
              <w:overflowPunct/>
              <w:topLinePunct w:val="0"/>
              <w:bidi w:val="0"/>
              <w:adjustRightInd/>
              <w:snapToGrid/>
              <w:spacing w:line="360" w:lineRule="auto"/>
              <w:ind w:left="0" w:leftChars="0" w:firstLine="0" w:firstLineChars="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②保证金递交时间以代理公司实际到账时间为准。</w:t>
            </w:r>
          </w:p>
          <w:p>
            <w:pPr>
              <w:pStyle w:val="31"/>
              <w:keepNext w:val="0"/>
              <w:keepLines w:val="0"/>
              <w:pageBreakBefore w:val="0"/>
              <w:widowControl/>
              <w:kinsoku/>
              <w:wordWrap/>
              <w:overflowPunct/>
              <w:topLinePunct w:val="0"/>
              <w:bidi w:val="0"/>
              <w:adjustRightInd/>
              <w:snapToGrid/>
              <w:spacing w:line="360" w:lineRule="auto"/>
              <w:ind w:left="0" w:leftChars="0" w:firstLine="0" w:firstLineChars="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③投标保证金须在规定的时间内提交，否则视为无效投标。供应商须在备注栏注明“【</w:t>
            </w:r>
            <w:r>
              <w:rPr>
                <w:rFonts w:hint="eastAsia" w:ascii="宋体" w:hAnsi="宋体" w:eastAsia="宋体" w:cs="宋体"/>
                <w:sz w:val="24"/>
                <w:szCs w:val="24"/>
                <w:highlight w:val="none"/>
                <w:lang w:eastAsia="zh-CN"/>
              </w:rPr>
              <w:t>项目名称</w:t>
            </w:r>
            <w:r>
              <w:rPr>
                <w:rFonts w:hint="eastAsia" w:ascii="宋体" w:hAnsi="宋体" w:cs="宋体"/>
                <w:sz w:val="24"/>
                <w:szCs w:val="24"/>
                <w:highlight w:val="none"/>
                <w:lang w:eastAsia="zh-CN"/>
              </w:rPr>
              <w:t>（可简写）</w:t>
            </w:r>
            <w:r>
              <w:rPr>
                <w:rFonts w:hint="eastAsia" w:ascii="宋体" w:hAnsi="宋体" w:eastAsia="宋体" w:cs="宋体"/>
                <w:sz w:val="24"/>
                <w:szCs w:val="24"/>
                <w:highlight w:val="none"/>
              </w:rPr>
              <w:t>】报价保证金 ”。</w:t>
            </w:r>
          </w:p>
          <w:p>
            <w:pPr>
              <w:pStyle w:val="31"/>
              <w:keepNext w:val="0"/>
              <w:keepLines w:val="0"/>
              <w:pageBreakBefore w:val="0"/>
              <w:widowControl/>
              <w:kinsoku/>
              <w:wordWrap/>
              <w:overflowPunct/>
              <w:topLinePunct w:val="0"/>
              <w:bidi w:val="0"/>
              <w:adjustRightInd/>
              <w:snapToGrid/>
              <w:spacing w:line="360" w:lineRule="auto"/>
              <w:ind w:left="0" w:leftChars="0" w:firstLine="0" w:firstLineChars="0"/>
              <w:jc w:val="both"/>
              <w:textAlignment w:val="auto"/>
              <w:outlineLvl w:val="9"/>
              <w:rPr>
                <w:rFonts w:hint="eastAsia" w:ascii="宋体" w:hAnsi="宋体" w:eastAsia="宋体" w:cs="宋体"/>
                <w:b/>
                <w:bCs/>
                <w:sz w:val="24"/>
                <w:szCs w:val="24"/>
                <w:highlight w:val="none"/>
              </w:rPr>
            </w:pPr>
            <w:r>
              <w:rPr>
                <w:rFonts w:hint="eastAsia" w:ascii="宋体" w:hAnsi="宋体" w:eastAsia="宋体" w:cs="宋体"/>
                <w:sz w:val="24"/>
                <w:szCs w:val="24"/>
                <w:highlight w:val="none"/>
              </w:rPr>
              <w:t>(2)以专业担保机构出具的担保函的形式交纳投标保证金（格式见附件）供应商须在201</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rPr>
              <w:t>日中午12时00分之前发送担保函扫描件</w:t>
            </w:r>
            <w:r>
              <w:rPr>
                <w:rStyle w:val="27"/>
                <w:rFonts w:hint="eastAsia" w:ascii="宋体" w:hAnsi="宋体" w:eastAsia="宋体" w:cs="宋体"/>
                <w:color w:val="auto"/>
                <w:sz w:val="24"/>
                <w:szCs w:val="24"/>
                <w:highlight w:val="none"/>
              </w:rPr>
              <w:t>SDLDZBDL@163.com</w:t>
            </w:r>
            <w:r>
              <w:rPr>
                <w:rFonts w:hint="eastAsia" w:ascii="宋体" w:hAnsi="宋体" w:eastAsia="宋体" w:cs="宋体"/>
                <w:sz w:val="24"/>
                <w:szCs w:val="24"/>
                <w:highlight w:val="none"/>
              </w:rPr>
              <w:t>邮箱,逾期视为自动放弃投标资格。</w:t>
            </w:r>
          </w:p>
          <w:p>
            <w:pPr>
              <w:pStyle w:val="31"/>
              <w:keepNext w:val="0"/>
              <w:keepLines w:val="0"/>
              <w:pageBreakBefore w:val="0"/>
              <w:widowControl/>
              <w:kinsoku/>
              <w:wordWrap/>
              <w:overflowPunct/>
              <w:topLinePunct w:val="0"/>
              <w:bidi w:val="0"/>
              <w:adjustRightInd/>
              <w:snapToGrid/>
              <w:spacing w:line="360" w:lineRule="auto"/>
              <w:ind w:left="0" w:leftChars="0" w:firstLine="0" w:firstLineChars="0"/>
              <w:jc w:val="both"/>
              <w:textAlignment w:val="auto"/>
              <w:outlineLvl w:val="9"/>
              <w:rPr>
                <w:rFonts w:hint="eastAsia" w:ascii="宋体" w:hAnsi="宋体" w:eastAsia="宋体" w:cs="宋体"/>
                <w:sz w:val="24"/>
                <w:szCs w:val="24"/>
                <w:highlight w:val="none"/>
              </w:rPr>
            </w:pPr>
            <w:r>
              <w:rPr>
                <w:rFonts w:hint="eastAsia" w:ascii="宋体" w:hAnsi="宋体" w:eastAsia="宋体" w:cs="宋体"/>
                <w:b/>
                <w:bCs/>
                <w:sz w:val="24"/>
                <w:szCs w:val="24"/>
                <w:highlight w:val="none"/>
              </w:rPr>
              <w:t>退还：</w:t>
            </w:r>
          </w:p>
          <w:p>
            <w:pPr>
              <w:keepNext w:val="0"/>
              <w:keepLines w:val="0"/>
              <w:pageBreakBefore w:val="0"/>
              <w:widowControl w:val="0"/>
              <w:kinsoku/>
              <w:wordWrap/>
              <w:overflowPunct/>
              <w:topLinePunct w:val="0"/>
              <w:bidi w:val="0"/>
              <w:spacing w:afterAutospacing="0"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未成交供应商的保证金将在确定成交供应商后 5 个工作日内退还。成交供应商的保证金将在采购人与成交供应商签订合同并交由招标代理公司后，五个工作日内退还保证金。（采购代理费于领取成交通知书之前交纳）。逾期办理造成损失由成交供应商自行承担。</w:t>
            </w:r>
          </w:p>
          <w:p>
            <w:pPr>
              <w:keepNext w:val="0"/>
              <w:keepLines w:val="0"/>
              <w:pageBreakBefore w:val="0"/>
              <w:widowControl w:val="0"/>
              <w:kinsoku/>
              <w:wordWrap/>
              <w:overflowPunct/>
              <w:topLinePunct w:val="0"/>
              <w:bidi w:val="0"/>
              <w:spacing w:afterAutospacing="0"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保证金退还办理流程：</w:t>
            </w:r>
          </w:p>
          <w:p>
            <w:pPr>
              <w:keepNext w:val="0"/>
              <w:keepLines w:val="0"/>
              <w:pageBreakBefore w:val="0"/>
              <w:widowControl w:val="0"/>
              <w:kinsoku/>
              <w:wordWrap/>
              <w:overflowPunct/>
              <w:topLinePunct w:val="0"/>
              <w:bidi w:val="0"/>
              <w:spacing w:afterAutospacing="0"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请携带投标单位对招标代理公司开的退保证金收据</w:t>
            </w:r>
            <w:r>
              <w:rPr>
                <w:rFonts w:hint="eastAsia" w:ascii="宋体" w:hAnsi="宋体" w:eastAsia="宋体" w:cs="宋体"/>
                <w:b/>
                <w:bCs/>
                <w:color w:val="auto"/>
                <w:sz w:val="24"/>
                <w:szCs w:val="24"/>
                <w:highlight w:val="none"/>
                <w:lang w:eastAsia="zh-CN"/>
              </w:rPr>
              <w:t>（加盖财务章）</w:t>
            </w:r>
            <w:r>
              <w:rPr>
                <w:rFonts w:hint="eastAsia" w:ascii="宋体" w:hAnsi="宋体" w:eastAsia="宋体" w:cs="宋体"/>
                <w:b/>
                <w:bCs/>
                <w:color w:val="auto"/>
                <w:sz w:val="24"/>
                <w:szCs w:val="24"/>
                <w:highlight w:val="none"/>
              </w:rPr>
              <w:t>及开户许可证复印件加盖公章到公司财务部办理</w:t>
            </w:r>
            <w:r>
              <w:rPr>
                <w:rFonts w:hint="eastAsia" w:ascii="宋体" w:hAnsi="宋体" w:eastAsia="宋体" w:cs="宋体"/>
                <w:color w:val="auto"/>
                <w:sz w:val="24"/>
                <w:szCs w:val="24"/>
                <w:highlight w:val="none"/>
              </w:rPr>
              <w:t>。</w:t>
            </w:r>
          </w:p>
          <w:p>
            <w:pPr>
              <w:tabs>
                <w:tab w:val="left" w:pos="3122"/>
              </w:tabs>
              <w:spacing w:line="360" w:lineRule="exact"/>
              <w:jc w:val="both"/>
              <w:rPr>
                <w:rFonts w:hint="eastAsia" w:ascii="宋体" w:hAnsi="宋体" w:eastAsia="宋体" w:cs="宋体"/>
                <w:kern w:val="0"/>
                <w:sz w:val="24"/>
                <w:szCs w:val="24"/>
                <w:highlight w:val="none"/>
              </w:rPr>
            </w:pPr>
            <w:r>
              <w:rPr>
                <w:rFonts w:hint="eastAsia" w:ascii="宋体" w:hAnsi="宋体" w:eastAsia="宋体" w:cs="宋体"/>
                <w:color w:val="auto"/>
                <w:sz w:val="24"/>
                <w:szCs w:val="24"/>
                <w:highlight w:val="none"/>
              </w:rPr>
              <w:t>电话：0531-88809761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5" w:hRule="atLeast"/>
          <w:jc w:val="center"/>
        </w:trPr>
        <w:tc>
          <w:tcPr>
            <w:tcW w:w="828" w:type="dxa"/>
            <w:vAlign w:val="center"/>
          </w:tcPr>
          <w:p>
            <w:pPr>
              <w:tabs>
                <w:tab w:val="left" w:pos="2730"/>
                <w:tab w:val="left" w:pos="2835"/>
              </w:tabs>
              <w:adjustRightInd w:val="0"/>
              <w:snapToGrid w:val="0"/>
              <w:spacing w:before="100" w:beforeAutospacing="1" w:after="100" w:afterAutospacing="1" w:line="360" w:lineRule="auto"/>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8</w:t>
            </w:r>
          </w:p>
        </w:tc>
        <w:tc>
          <w:tcPr>
            <w:tcW w:w="1634" w:type="dxa"/>
            <w:vAlign w:val="center"/>
          </w:tcPr>
          <w:p>
            <w:pPr>
              <w:pStyle w:val="7"/>
              <w:spacing w:before="0" w:line="360" w:lineRule="auto"/>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响应文件份数</w:t>
            </w:r>
          </w:p>
        </w:tc>
        <w:tc>
          <w:tcPr>
            <w:tcW w:w="6659" w:type="dxa"/>
            <w:vAlign w:val="center"/>
          </w:tcPr>
          <w:p>
            <w:pPr>
              <w:keepNext w:val="0"/>
              <w:keepLines w:val="0"/>
              <w:pageBreakBefore w:val="0"/>
              <w:widowControl w:val="0"/>
              <w:kinsoku/>
              <w:wordWrap/>
              <w:overflowPunct/>
              <w:topLinePunct w:val="0"/>
              <w:bidi w:val="0"/>
              <w:spacing w:line="360" w:lineRule="auto"/>
              <w:jc w:val="both"/>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正本一份，副本</w:t>
            </w:r>
            <w:r>
              <w:rPr>
                <w:rFonts w:hint="eastAsia" w:ascii="宋体" w:hAnsi="宋体" w:eastAsia="宋体" w:cs="宋体"/>
                <w:color w:val="auto"/>
                <w:spacing w:val="6"/>
                <w:sz w:val="24"/>
                <w:szCs w:val="24"/>
                <w:highlight w:val="none"/>
                <w:lang w:eastAsia="zh-CN"/>
              </w:rPr>
              <w:t>四</w:t>
            </w:r>
            <w:r>
              <w:rPr>
                <w:rFonts w:hint="eastAsia" w:ascii="宋体" w:hAnsi="宋体" w:eastAsia="宋体" w:cs="宋体"/>
                <w:color w:val="auto"/>
                <w:spacing w:val="6"/>
                <w:sz w:val="24"/>
                <w:szCs w:val="24"/>
                <w:highlight w:val="none"/>
              </w:rPr>
              <w:t>份。</w:t>
            </w:r>
          </w:p>
          <w:p>
            <w:pPr>
              <w:keepNext w:val="0"/>
              <w:keepLines w:val="0"/>
              <w:pageBreakBefore w:val="0"/>
              <w:widowControl w:val="0"/>
              <w:kinsoku/>
              <w:wordWrap/>
              <w:overflowPunct/>
              <w:topLinePunct w:val="0"/>
              <w:bidi w:val="0"/>
              <w:spacing w:line="360" w:lineRule="auto"/>
              <w:jc w:val="both"/>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投标人资质文件原件（资格后审内容）一份，可不密封。</w:t>
            </w:r>
          </w:p>
          <w:p>
            <w:pPr>
              <w:keepNext w:val="0"/>
              <w:keepLines w:val="0"/>
              <w:pageBreakBefore w:val="0"/>
              <w:widowControl w:val="0"/>
              <w:kinsoku/>
              <w:wordWrap/>
              <w:overflowPunct/>
              <w:topLinePunct w:val="0"/>
              <w:bidi w:val="0"/>
              <w:spacing w:line="360" w:lineRule="auto"/>
              <w:jc w:val="both"/>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投标文件电子版U盘或光盘一份（内容包含投标书所有内容）。</w:t>
            </w:r>
          </w:p>
          <w:p>
            <w:pPr>
              <w:pStyle w:val="7"/>
              <w:spacing w:before="0" w:line="360" w:lineRule="auto"/>
              <w:rPr>
                <w:rFonts w:hint="eastAsia" w:ascii="宋体" w:hAnsi="宋体" w:eastAsia="宋体" w:cs="宋体"/>
                <w:kern w:val="0"/>
                <w:sz w:val="24"/>
                <w:szCs w:val="24"/>
                <w:highlight w:val="none"/>
              </w:rPr>
            </w:pPr>
            <w:r>
              <w:rPr>
                <w:rFonts w:hint="eastAsia" w:ascii="宋体" w:hAnsi="宋体" w:eastAsia="宋体" w:cs="宋体"/>
                <w:color w:val="auto"/>
                <w:spacing w:val="6"/>
                <w:sz w:val="24"/>
                <w:szCs w:val="24"/>
                <w:highlight w:val="none"/>
              </w:rPr>
              <w:t>唱标一览表三份（单独密封）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8" w:type="dxa"/>
            <w:vAlign w:val="center"/>
          </w:tcPr>
          <w:p>
            <w:pPr>
              <w:tabs>
                <w:tab w:val="left" w:pos="2730"/>
                <w:tab w:val="left" w:pos="2835"/>
              </w:tabs>
              <w:adjustRightInd w:val="0"/>
              <w:snapToGrid w:val="0"/>
              <w:spacing w:before="100" w:beforeAutospacing="1" w:after="100" w:afterAutospacing="1" w:line="360" w:lineRule="auto"/>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9</w:t>
            </w:r>
          </w:p>
        </w:tc>
        <w:tc>
          <w:tcPr>
            <w:tcW w:w="1634" w:type="dxa"/>
            <w:vAlign w:val="center"/>
          </w:tcPr>
          <w:p>
            <w:pPr>
              <w:pStyle w:val="7"/>
              <w:spacing w:before="0"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提出疑问时间及方式</w:t>
            </w:r>
          </w:p>
        </w:tc>
        <w:tc>
          <w:tcPr>
            <w:tcW w:w="6659" w:type="dxa"/>
            <w:vAlign w:val="center"/>
          </w:tcPr>
          <w:p>
            <w:pPr>
              <w:pStyle w:val="7"/>
              <w:spacing w:before="0"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时间：2019年</w:t>
            </w:r>
            <w:r>
              <w:rPr>
                <w:rFonts w:hint="eastAsia" w:ascii="宋体" w:hAnsi="宋体" w:cs="宋体"/>
                <w:kern w:val="0"/>
                <w:sz w:val="24"/>
                <w:szCs w:val="24"/>
                <w:highlight w:val="none"/>
                <w:lang w:val="en-US" w:eastAsia="zh-CN"/>
              </w:rPr>
              <w:t>4</w:t>
            </w:r>
            <w:r>
              <w:rPr>
                <w:rFonts w:hint="eastAsia" w:ascii="宋体" w:hAnsi="宋体" w:eastAsia="宋体" w:cs="宋体"/>
                <w:kern w:val="0"/>
                <w:sz w:val="24"/>
                <w:szCs w:val="24"/>
                <w:highlight w:val="none"/>
              </w:rPr>
              <w:t>月</w:t>
            </w:r>
            <w:r>
              <w:rPr>
                <w:rFonts w:hint="eastAsia" w:ascii="宋体" w:hAnsi="宋体" w:cs="宋体"/>
                <w:kern w:val="0"/>
                <w:sz w:val="24"/>
                <w:szCs w:val="24"/>
                <w:highlight w:val="none"/>
                <w:lang w:val="en-US" w:eastAsia="zh-CN"/>
              </w:rPr>
              <w:t>30</w:t>
            </w:r>
            <w:r>
              <w:rPr>
                <w:rFonts w:hint="eastAsia" w:ascii="宋体" w:hAnsi="宋体" w:eastAsia="宋体" w:cs="宋体"/>
                <w:kern w:val="0"/>
                <w:sz w:val="24"/>
                <w:szCs w:val="24"/>
                <w:highlight w:val="none"/>
              </w:rPr>
              <w:t>日</w:t>
            </w:r>
            <w:r>
              <w:rPr>
                <w:rFonts w:hint="eastAsia" w:ascii="宋体" w:hAnsi="宋体" w:cs="宋体"/>
                <w:kern w:val="0"/>
                <w:sz w:val="24"/>
                <w:szCs w:val="24"/>
                <w:highlight w:val="none"/>
                <w:lang w:eastAsia="zh-CN"/>
              </w:rPr>
              <w:t>下</w:t>
            </w:r>
            <w:r>
              <w:rPr>
                <w:rFonts w:hint="eastAsia" w:ascii="宋体" w:hAnsi="宋体" w:eastAsia="宋体" w:cs="宋体"/>
                <w:kern w:val="0"/>
                <w:sz w:val="24"/>
                <w:szCs w:val="24"/>
                <w:highlight w:val="none"/>
              </w:rPr>
              <w:t>午</w:t>
            </w:r>
            <w:r>
              <w:rPr>
                <w:rFonts w:hint="eastAsia" w:ascii="宋体" w:hAnsi="宋体" w:cs="宋体"/>
                <w:kern w:val="0"/>
                <w:sz w:val="24"/>
                <w:szCs w:val="24"/>
                <w:highlight w:val="none"/>
                <w:lang w:val="en-US" w:eastAsia="zh-CN"/>
              </w:rPr>
              <w:t>17</w:t>
            </w:r>
            <w:r>
              <w:rPr>
                <w:rFonts w:hint="eastAsia" w:ascii="宋体" w:hAnsi="宋体" w:eastAsia="宋体" w:cs="宋体"/>
                <w:kern w:val="0"/>
                <w:sz w:val="24"/>
                <w:szCs w:val="24"/>
                <w:highlight w:val="none"/>
              </w:rPr>
              <w:t>:</w:t>
            </w:r>
            <w:r>
              <w:rPr>
                <w:rFonts w:hint="eastAsia" w:ascii="宋体" w:hAnsi="宋体" w:cs="宋体"/>
                <w:kern w:val="0"/>
                <w:sz w:val="24"/>
                <w:szCs w:val="24"/>
                <w:highlight w:val="none"/>
                <w:lang w:val="en-US" w:eastAsia="zh-CN"/>
              </w:rPr>
              <w:t>3</w:t>
            </w:r>
            <w:r>
              <w:rPr>
                <w:rFonts w:hint="eastAsia" w:ascii="宋体" w:hAnsi="宋体" w:eastAsia="宋体" w:cs="宋体"/>
                <w:kern w:val="0"/>
                <w:sz w:val="24"/>
                <w:szCs w:val="24"/>
                <w:highlight w:val="none"/>
              </w:rPr>
              <w:t>0前（北京时间）</w:t>
            </w:r>
          </w:p>
          <w:p>
            <w:pPr>
              <w:pStyle w:val="7"/>
              <w:spacing w:before="0" w:line="360" w:lineRule="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招标文件答疑：开标截止时间15日前</w:t>
            </w:r>
            <w:r>
              <w:rPr>
                <w:rFonts w:hint="eastAsia" w:ascii="宋体" w:hAnsi="宋体" w:cs="宋体"/>
                <w:kern w:val="0"/>
                <w:sz w:val="24"/>
                <w:szCs w:val="24"/>
                <w:highlight w:val="none"/>
                <w:lang w:eastAsia="zh-CN"/>
              </w:rPr>
              <w:t>，</w:t>
            </w:r>
            <w:r>
              <w:rPr>
                <w:rFonts w:hint="eastAsia" w:ascii="宋体" w:hAnsi="宋体" w:eastAsia="宋体" w:cs="宋体"/>
                <w:kern w:val="0"/>
                <w:sz w:val="24"/>
                <w:szCs w:val="24"/>
                <w:highlight w:val="none"/>
              </w:rPr>
              <w:t>投标人可提交纸质文件至济南市高新区工业南路59号中铁财智中心6号楼15楼，同时，发送一份质疑文件的电子文档至SDLDZBDL@163.com并电话通知查收 ；</w:t>
            </w:r>
          </w:p>
          <w:p>
            <w:pPr>
              <w:pStyle w:val="7"/>
              <w:spacing w:before="0"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招标代理机构将澄清文件以书面形式（电子邮件）发至所有投标人邮箱。投标人收到该澄清文件后，以书面形式给予确认。</w:t>
            </w:r>
          </w:p>
          <w:p>
            <w:pPr>
              <w:pStyle w:val="7"/>
              <w:spacing w:before="0"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联系电话：0531-88809762转80</w:t>
            </w:r>
            <w:r>
              <w:rPr>
                <w:rFonts w:hint="eastAsia" w:ascii="宋体" w:hAnsi="宋体" w:cs="宋体"/>
                <w:kern w:val="0"/>
                <w:sz w:val="24"/>
                <w:szCs w:val="24"/>
                <w:highlight w:val="none"/>
                <w:lang w:val="en-US" w:eastAsia="zh-CN"/>
              </w:rPr>
              <w:t>10</w:t>
            </w:r>
            <w:r>
              <w:rPr>
                <w:rFonts w:hint="eastAsia" w:ascii="宋体" w:hAnsi="宋体" w:eastAsia="宋体" w:cs="宋体"/>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9" w:hRule="atLeast"/>
          <w:jc w:val="center"/>
        </w:trPr>
        <w:tc>
          <w:tcPr>
            <w:tcW w:w="828" w:type="dxa"/>
            <w:vAlign w:val="center"/>
          </w:tcPr>
          <w:p>
            <w:pPr>
              <w:tabs>
                <w:tab w:val="left" w:pos="2730"/>
                <w:tab w:val="left" w:pos="2835"/>
              </w:tabs>
              <w:adjustRightInd w:val="0"/>
              <w:snapToGrid w:val="0"/>
              <w:spacing w:before="100" w:beforeAutospacing="1" w:after="100" w:afterAutospacing="1" w:line="360" w:lineRule="auto"/>
              <w:jc w:val="center"/>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w:t>
            </w:r>
            <w:r>
              <w:rPr>
                <w:rFonts w:hint="eastAsia" w:ascii="宋体" w:hAnsi="宋体" w:cs="宋体"/>
                <w:bCs/>
                <w:sz w:val="24"/>
                <w:szCs w:val="24"/>
                <w:highlight w:val="none"/>
                <w:lang w:val="en-US" w:eastAsia="zh-CN"/>
              </w:rPr>
              <w:t>0</w:t>
            </w:r>
          </w:p>
        </w:tc>
        <w:tc>
          <w:tcPr>
            <w:tcW w:w="1634" w:type="dxa"/>
            <w:vAlign w:val="center"/>
          </w:tcPr>
          <w:p>
            <w:pPr>
              <w:pStyle w:val="7"/>
              <w:spacing w:before="0" w:line="360" w:lineRule="auto"/>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rPr>
              <w:t>递交响应文件截止时间、地点</w:t>
            </w:r>
          </w:p>
        </w:tc>
        <w:tc>
          <w:tcPr>
            <w:tcW w:w="6659" w:type="dxa"/>
            <w:vAlign w:val="center"/>
          </w:tcPr>
          <w:p>
            <w:pPr>
              <w:pStyle w:val="7"/>
              <w:spacing w:before="0" w:line="360" w:lineRule="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时间：201</w:t>
            </w:r>
            <w:r>
              <w:rPr>
                <w:rFonts w:hint="eastAsia" w:ascii="宋体" w:hAnsi="宋体" w:eastAsia="宋体" w:cs="宋体"/>
                <w:color w:val="auto"/>
                <w:spacing w:val="6"/>
                <w:sz w:val="24"/>
                <w:szCs w:val="24"/>
                <w:highlight w:val="none"/>
                <w:lang w:val="en-US" w:eastAsia="zh-CN"/>
              </w:rPr>
              <w:t>9</w:t>
            </w:r>
            <w:r>
              <w:rPr>
                <w:rFonts w:hint="eastAsia" w:ascii="宋体" w:hAnsi="宋体" w:eastAsia="宋体" w:cs="宋体"/>
                <w:color w:val="auto"/>
                <w:spacing w:val="6"/>
                <w:sz w:val="24"/>
                <w:szCs w:val="24"/>
                <w:highlight w:val="none"/>
              </w:rPr>
              <w:t>年</w:t>
            </w:r>
            <w:r>
              <w:rPr>
                <w:rFonts w:hint="eastAsia" w:ascii="宋体" w:hAnsi="宋体" w:cs="宋体"/>
                <w:color w:val="auto"/>
                <w:spacing w:val="6"/>
                <w:sz w:val="24"/>
                <w:szCs w:val="24"/>
                <w:highlight w:val="none"/>
                <w:lang w:val="en-US" w:eastAsia="zh-CN"/>
              </w:rPr>
              <w:t>5</w:t>
            </w:r>
            <w:r>
              <w:rPr>
                <w:rFonts w:hint="eastAsia" w:ascii="宋体" w:hAnsi="宋体" w:eastAsia="宋体" w:cs="宋体"/>
                <w:color w:val="auto"/>
                <w:spacing w:val="6"/>
                <w:sz w:val="24"/>
                <w:szCs w:val="24"/>
                <w:highlight w:val="none"/>
              </w:rPr>
              <w:t>月</w:t>
            </w:r>
            <w:r>
              <w:rPr>
                <w:rFonts w:hint="eastAsia" w:ascii="宋体" w:hAnsi="宋体" w:cs="宋体"/>
                <w:color w:val="auto"/>
                <w:spacing w:val="6"/>
                <w:sz w:val="24"/>
                <w:szCs w:val="24"/>
                <w:highlight w:val="none"/>
                <w:lang w:val="en-US" w:eastAsia="zh-CN"/>
              </w:rPr>
              <w:t>16</w:t>
            </w:r>
            <w:r>
              <w:rPr>
                <w:rFonts w:hint="eastAsia" w:ascii="宋体" w:hAnsi="宋体" w:eastAsia="宋体" w:cs="宋体"/>
                <w:color w:val="auto"/>
                <w:spacing w:val="6"/>
                <w:sz w:val="24"/>
                <w:szCs w:val="24"/>
                <w:highlight w:val="none"/>
              </w:rPr>
              <w:t>日</w:t>
            </w:r>
            <w:r>
              <w:rPr>
                <w:rFonts w:hint="eastAsia" w:ascii="宋体" w:hAnsi="宋体" w:eastAsia="宋体" w:cs="宋体"/>
                <w:color w:val="auto"/>
                <w:spacing w:val="6"/>
                <w:sz w:val="24"/>
                <w:szCs w:val="24"/>
                <w:highlight w:val="none"/>
                <w:lang w:val="en-US" w:eastAsia="zh-CN"/>
              </w:rPr>
              <w:t>09</w:t>
            </w:r>
            <w:r>
              <w:rPr>
                <w:rFonts w:hint="eastAsia" w:ascii="宋体" w:hAnsi="宋体" w:eastAsia="宋体" w:cs="宋体"/>
                <w:color w:val="auto"/>
                <w:spacing w:val="6"/>
                <w:sz w:val="24"/>
                <w:szCs w:val="24"/>
                <w:highlight w:val="none"/>
              </w:rPr>
              <w:t>时</w:t>
            </w:r>
            <w:r>
              <w:rPr>
                <w:rFonts w:hint="eastAsia" w:ascii="宋体" w:hAnsi="宋体" w:eastAsia="宋体" w:cs="宋体"/>
                <w:color w:val="auto"/>
                <w:spacing w:val="6"/>
                <w:sz w:val="24"/>
                <w:szCs w:val="24"/>
                <w:highlight w:val="none"/>
                <w:lang w:val="en-US" w:eastAsia="zh-CN"/>
              </w:rPr>
              <w:t>30</w:t>
            </w:r>
            <w:r>
              <w:rPr>
                <w:rFonts w:hint="eastAsia" w:ascii="宋体" w:hAnsi="宋体" w:eastAsia="宋体" w:cs="宋体"/>
                <w:color w:val="auto"/>
                <w:spacing w:val="6"/>
                <w:sz w:val="24"/>
                <w:szCs w:val="24"/>
                <w:highlight w:val="none"/>
              </w:rPr>
              <w:t xml:space="preserve">分(北京时间) </w:t>
            </w:r>
          </w:p>
          <w:p>
            <w:pPr>
              <w:pStyle w:val="7"/>
              <w:spacing w:before="0" w:line="360" w:lineRule="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地点：</w:t>
            </w:r>
            <w:r>
              <w:rPr>
                <w:rFonts w:hint="eastAsia" w:ascii="宋体" w:hAnsi="宋体" w:eastAsia="宋体" w:cs="宋体"/>
                <w:color w:val="auto"/>
                <w:spacing w:val="6"/>
                <w:sz w:val="24"/>
                <w:szCs w:val="24"/>
                <w:highlight w:val="none"/>
                <w:lang w:eastAsia="zh-CN"/>
              </w:rPr>
              <w:t>济南市高新区工业南路59号中铁财智中心6号楼15楼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8" w:type="dxa"/>
            <w:vAlign w:val="center"/>
          </w:tcPr>
          <w:p>
            <w:pPr>
              <w:tabs>
                <w:tab w:val="left" w:pos="2730"/>
                <w:tab w:val="left" w:pos="2835"/>
              </w:tabs>
              <w:adjustRightInd w:val="0"/>
              <w:snapToGrid w:val="0"/>
              <w:spacing w:before="100" w:beforeAutospacing="1" w:after="100" w:afterAutospacing="1" w:line="360" w:lineRule="auto"/>
              <w:jc w:val="center"/>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w:t>
            </w:r>
            <w:r>
              <w:rPr>
                <w:rFonts w:hint="eastAsia" w:ascii="宋体" w:hAnsi="宋体" w:cs="宋体"/>
                <w:bCs/>
                <w:sz w:val="24"/>
                <w:szCs w:val="24"/>
                <w:highlight w:val="none"/>
                <w:lang w:val="en-US" w:eastAsia="zh-CN"/>
              </w:rPr>
              <w:t>1</w:t>
            </w:r>
          </w:p>
        </w:tc>
        <w:tc>
          <w:tcPr>
            <w:tcW w:w="1634" w:type="dxa"/>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公开报价</w:t>
            </w:r>
          </w:p>
          <w:p>
            <w:pPr>
              <w:pStyle w:val="7"/>
              <w:spacing w:before="0" w:line="360" w:lineRule="auto"/>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时间及地点</w:t>
            </w:r>
          </w:p>
        </w:tc>
        <w:tc>
          <w:tcPr>
            <w:tcW w:w="6659" w:type="dxa"/>
            <w:vAlign w:val="center"/>
          </w:tcPr>
          <w:p>
            <w:pPr>
              <w:keepNext w:val="0"/>
              <w:keepLines w:val="0"/>
              <w:pageBreakBefore w:val="0"/>
              <w:widowControl w:val="0"/>
              <w:kinsoku/>
              <w:wordWrap/>
              <w:overflowPunct/>
              <w:topLinePunct w:val="0"/>
              <w:bidi w:val="0"/>
              <w:spacing w:line="360" w:lineRule="auto"/>
              <w:jc w:val="both"/>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时间：201</w:t>
            </w:r>
            <w:r>
              <w:rPr>
                <w:rFonts w:hint="eastAsia" w:ascii="宋体" w:hAnsi="宋体" w:eastAsia="宋体" w:cs="宋体"/>
                <w:color w:val="auto"/>
                <w:spacing w:val="6"/>
                <w:sz w:val="24"/>
                <w:szCs w:val="24"/>
                <w:highlight w:val="none"/>
                <w:lang w:val="en-US" w:eastAsia="zh-CN"/>
              </w:rPr>
              <w:t>9</w:t>
            </w:r>
            <w:r>
              <w:rPr>
                <w:rFonts w:hint="eastAsia" w:ascii="宋体" w:hAnsi="宋体" w:eastAsia="宋体" w:cs="宋体"/>
                <w:color w:val="auto"/>
                <w:spacing w:val="6"/>
                <w:sz w:val="24"/>
                <w:szCs w:val="24"/>
                <w:highlight w:val="none"/>
              </w:rPr>
              <w:t>年</w:t>
            </w:r>
            <w:r>
              <w:rPr>
                <w:rFonts w:hint="eastAsia" w:ascii="宋体" w:hAnsi="宋体" w:cs="宋体"/>
                <w:color w:val="auto"/>
                <w:spacing w:val="6"/>
                <w:sz w:val="24"/>
                <w:szCs w:val="24"/>
                <w:highlight w:val="none"/>
                <w:lang w:val="en-US" w:eastAsia="zh-CN"/>
              </w:rPr>
              <w:t>5</w:t>
            </w:r>
            <w:r>
              <w:rPr>
                <w:rFonts w:hint="eastAsia" w:ascii="宋体" w:hAnsi="宋体" w:eastAsia="宋体" w:cs="宋体"/>
                <w:color w:val="auto"/>
                <w:spacing w:val="6"/>
                <w:sz w:val="24"/>
                <w:szCs w:val="24"/>
                <w:highlight w:val="none"/>
              </w:rPr>
              <w:t>月</w:t>
            </w:r>
            <w:r>
              <w:rPr>
                <w:rFonts w:hint="eastAsia" w:ascii="宋体" w:hAnsi="宋体" w:cs="宋体"/>
                <w:color w:val="auto"/>
                <w:spacing w:val="6"/>
                <w:sz w:val="24"/>
                <w:szCs w:val="24"/>
                <w:highlight w:val="none"/>
                <w:lang w:val="en-US" w:eastAsia="zh-CN"/>
              </w:rPr>
              <w:t>16</w:t>
            </w:r>
            <w:r>
              <w:rPr>
                <w:rFonts w:hint="eastAsia" w:ascii="宋体" w:hAnsi="宋体" w:eastAsia="宋体" w:cs="宋体"/>
                <w:color w:val="auto"/>
                <w:spacing w:val="6"/>
                <w:sz w:val="24"/>
                <w:szCs w:val="24"/>
                <w:highlight w:val="none"/>
              </w:rPr>
              <w:t>日</w:t>
            </w:r>
            <w:r>
              <w:rPr>
                <w:rFonts w:hint="eastAsia" w:ascii="宋体" w:hAnsi="宋体" w:eastAsia="宋体" w:cs="宋体"/>
                <w:color w:val="auto"/>
                <w:spacing w:val="6"/>
                <w:sz w:val="24"/>
                <w:szCs w:val="24"/>
                <w:highlight w:val="none"/>
                <w:lang w:val="en-US" w:eastAsia="zh-CN"/>
              </w:rPr>
              <w:t>09</w:t>
            </w:r>
            <w:r>
              <w:rPr>
                <w:rFonts w:hint="eastAsia" w:ascii="宋体" w:hAnsi="宋体" w:eastAsia="宋体" w:cs="宋体"/>
                <w:color w:val="auto"/>
                <w:spacing w:val="6"/>
                <w:sz w:val="24"/>
                <w:szCs w:val="24"/>
                <w:highlight w:val="none"/>
              </w:rPr>
              <w:t>时</w:t>
            </w:r>
            <w:r>
              <w:rPr>
                <w:rFonts w:hint="eastAsia" w:ascii="宋体" w:hAnsi="宋体" w:eastAsia="宋体" w:cs="宋体"/>
                <w:color w:val="auto"/>
                <w:spacing w:val="6"/>
                <w:sz w:val="24"/>
                <w:szCs w:val="24"/>
                <w:highlight w:val="none"/>
                <w:lang w:val="en-US" w:eastAsia="zh-CN"/>
              </w:rPr>
              <w:t>30</w:t>
            </w:r>
            <w:r>
              <w:rPr>
                <w:rFonts w:hint="eastAsia" w:ascii="宋体" w:hAnsi="宋体" w:eastAsia="宋体" w:cs="宋体"/>
                <w:color w:val="auto"/>
                <w:spacing w:val="6"/>
                <w:sz w:val="24"/>
                <w:szCs w:val="24"/>
                <w:highlight w:val="none"/>
              </w:rPr>
              <w:t>分(北京时间)</w:t>
            </w:r>
          </w:p>
          <w:p>
            <w:pPr>
              <w:keepNext w:val="0"/>
              <w:keepLines w:val="0"/>
              <w:pageBreakBefore w:val="0"/>
              <w:widowControl w:val="0"/>
              <w:kinsoku/>
              <w:wordWrap/>
              <w:overflowPunct/>
              <w:topLinePunct w:val="0"/>
              <w:bidi w:val="0"/>
              <w:spacing w:line="360" w:lineRule="auto"/>
              <w:jc w:val="both"/>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地点：</w:t>
            </w:r>
            <w:r>
              <w:rPr>
                <w:rFonts w:hint="eastAsia" w:ascii="宋体" w:hAnsi="宋体" w:eastAsia="宋体" w:cs="宋体"/>
                <w:color w:val="auto"/>
                <w:spacing w:val="6"/>
                <w:sz w:val="24"/>
                <w:szCs w:val="24"/>
                <w:highlight w:val="none"/>
                <w:lang w:eastAsia="zh-CN"/>
              </w:rPr>
              <w:t>济南市高新区工业南路59号中铁财智中心6号楼15楼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828" w:type="dxa"/>
            <w:vAlign w:val="center"/>
          </w:tcPr>
          <w:p>
            <w:pPr>
              <w:tabs>
                <w:tab w:val="left" w:pos="2730"/>
                <w:tab w:val="left" w:pos="2835"/>
              </w:tabs>
              <w:adjustRightInd w:val="0"/>
              <w:snapToGrid w:val="0"/>
              <w:spacing w:before="100" w:beforeAutospacing="1" w:after="100" w:afterAutospacing="1" w:line="360" w:lineRule="auto"/>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w:t>
            </w:r>
            <w:r>
              <w:rPr>
                <w:rFonts w:hint="eastAsia" w:ascii="宋体" w:hAnsi="宋体" w:cs="宋体"/>
                <w:bCs/>
                <w:sz w:val="24"/>
                <w:szCs w:val="24"/>
                <w:highlight w:val="none"/>
                <w:lang w:val="en-US" w:eastAsia="zh-CN"/>
              </w:rPr>
              <w:t>2</w:t>
            </w:r>
          </w:p>
        </w:tc>
        <w:tc>
          <w:tcPr>
            <w:tcW w:w="1634" w:type="dxa"/>
            <w:vAlign w:val="center"/>
          </w:tcPr>
          <w:p>
            <w:pPr>
              <w:pStyle w:val="7"/>
              <w:spacing w:before="0"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付款方式</w:t>
            </w:r>
          </w:p>
        </w:tc>
        <w:tc>
          <w:tcPr>
            <w:tcW w:w="6659" w:type="dxa"/>
            <w:vAlign w:val="center"/>
          </w:tcPr>
          <w:p>
            <w:pPr>
              <w:keepNext w:val="0"/>
              <w:keepLines w:val="0"/>
              <w:pageBreakBefore w:val="0"/>
              <w:widowControl w:val="0"/>
              <w:kinsoku/>
              <w:wordWrap/>
              <w:overflowPunct/>
              <w:topLinePunct w:val="0"/>
              <w:bidi w:val="0"/>
              <w:spacing w:line="360" w:lineRule="auto"/>
              <w:jc w:val="both"/>
              <w:textAlignment w:val="auto"/>
              <w:rPr>
                <w:rFonts w:hint="eastAsia" w:ascii="宋体" w:hAnsi="宋体" w:eastAsia="宋体" w:cs="宋体"/>
                <w:kern w:val="0"/>
                <w:sz w:val="24"/>
                <w:szCs w:val="24"/>
                <w:highlight w:val="none"/>
              </w:rPr>
            </w:pPr>
            <w:r>
              <w:rPr>
                <w:rFonts w:hint="eastAsia" w:ascii="宋体" w:hAnsi="宋体" w:eastAsia="宋体" w:cs="宋体"/>
                <w:b w:val="0"/>
                <w:bCs w:val="0"/>
                <w:sz w:val="24"/>
                <w:szCs w:val="24"/>
                <w:highlight w:val="none"/>
              </w:rPr>
              <w:t>经双方对账确认后，招标人每季度最后一个工作日前以银行网银转账的方式支付入围单位维修费用至基本帐户。付款前，入围单位需提供所付货款的正规机打发票和维修详单。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828" w:type="dxa"/>
            <w:vAlign w:val="center"/>
          </w:tcPr>
          <w:p>
            <w:pPr>
              <w:tabs>
                <w:tab w:val="left" w:pos="2730"/>
                <w:tab w:val="left" w:pos="2835"/>
              </w:tabs>
              <w:adjustRightInd w:val="0"/>
              <w:snapToGrid w:val="0"/>
              <w:spacing w:before="100" w:beforeAutospacing="1" w:after="100" w:afterAutospacing="1" w:line="360" w:lineRule="auto"/>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w:t>
            </w:r>
            <w:r>
              <w:rPr>
                <w:rFonts w:hint="eastAsia" w:ascii="宋体" w:hAnsi="宋体" w:cs="宋体"/>
                <w:bCs/>
                <w:sz w:val="24"/>
                <w:szCs w:val="24"/>
                <w:highlight w:val="none"/>
                <w:lang w:val="en-US" w:eastAsia="zh-CN"/>
              </w:rPr>
              <w:t>3</w:t>
            </w:r>
          </w:p>
        </w:tc>
        <w:tc>
          <w:tcPr>
            <w:tcW w:w="1634" w:type="dxa"/>
            <w:vAlign w:val="center"/>
          </w:tcPr>
          <w:p>
            <w:pPr>
              <w:pStyle w:val="7"/>
              <w:spacing w:before="0" w:line="360" w:lineRule="auto"/>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装订方式</w:t>
            </w:r>
          </w:p>
        </w:tc>
        <w:tc>
          <w:tcPr>
            <w:tcW w:w="6659" w:type="dxa"/>
            <w:vAlign w:val="center"/>
          </w:tcPr>
          <w:p>
            <w:pPr>
              <w:keepNext w:val="0"/>
              <w:keepLines w:val="0"/>
              <w:pageBreakBefore w:val="0"/>
              <w:widowControl w:val="0"/>
              <w:kinsoku/>
              <w:wordWrap/>
              <w:overflowPunct/>
              <w:topLinePunct w:val="0"/>
              <w:bidi w:val="0"/>
              <w:spacing w:line="360" w:lineRule="auto"/>
              <w:jc w:val="both"/>
              <w:textAlignment w:val="auto"/>
              <w:rPr>
                <w:rFonts w:hint="eastAsia" w:ascii="宋体" w:hAnsi="宋体" w:eastAsia="宋体" w:cs="宋体"/>
                <w:kern w:val="0"/>
                <w:sz w:val="24"/>
                <w:szCs w:val="24"/>
                <w:highlight w:val="none"/>
              </w:rPr>
            </w:pPr>
            <w:r>
              <w:rPr>
                <w:rFonts w:hint="eastAsia" w:ascii="宋体" w:hAnsi="宋体" w:eastAsia="宋体" w:cs="宋体"/>
                <w:color w:val="auto"/>
                <w:spacing w:val="6"/>
                <w:sz w:val="24"/>
                <w:szCs w:val="24"/>
                <w:highlight w:val="none"/>
              </w:rPr>
              <w:t>胶装（否则按废标处理）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828" w:type="dxa"/>
            <w:vAlign w:val="center"/>
          </w:tcPr>
          <w:p>
            <w:pPr>
              <w:tabs>
                <w:tab w:val="left" w:pos="2730"/>
                <w:tab w:val="left" w:pos="2835"/>
              </w:tabs>
              <w:adjustRightInd w:val="0"/>
              <w:snapToGrid w:val="0"/>
              <w:spacing w:before="100" w:beforeAutospacing="1" w:after="100" w:afterAutospacing="1" w:line="360" w:lineRule="auto"/>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w:t>
            </w:r>
            <w:r>
              <w:rPr>
                <w:rFonts w:hint="eastAsia" w:ascii="宋体" w:hAnsi="宋体" w:cs="宋体"/>
                <w:bCs/>
                <w:sz w:val="24"/>
                <w:szCs w:val="24"/>
                <w:highlight w:val="none"/>
                <w:lang w:val="en-US" w:eastAsia="zh-CN"/>
              </w:rPr>
              <w:t>4</w:t>
            </w:r>
          </w:p>
        </w:tc>
        <w:tc>
          <w:tcPr>
            <w:tcW w:w="1634" w:type="dxa"/>
            <w:vAlign w:val="center"/>
          </w:tcPr>
          <w:p>
            <w:pPr>
              <w:pStyle w:val="7"/>
              <w:spacing w:before="0"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eastAsia="zh-CN"/>
              </w:rPr>
              <w:t>其他说明</w:t>
            </w:r>
          </w:p>
        </w:tc>
        <w:tc>
          <w:tcPr>
            <w:tcW w:w="6659" w:type="dxa"/>
            <w:vAlign w:val="center"/>
          </w:tcPr>
          <w:p>
            <w:pPr>
              <w:pStyle w:val="7"/>
              <w:spacing w:before="0"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投标费用：投标人自行承担投标保证金等与参加投标有关的所有费用。</w:t>
            </w:r>
          </w:p>
          <w:p>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招标人不承诺在服务期内中标人一定能获得提供服务的</w:t>
            </w:r>
            <w:r>
              <w:rPr>
                <w:rFonts w:hint="eastAsia" w:ascii="宋体" w:hAnsi="宋体" w:eastAsia="宋体" w:cs="宋体"/>
                <w:sz w:val="24"/>
                <w:szCs w:val="24"/>
                <w:highlight w:val="none"/>
                <w:lang w:eastAsia="zh-CN"/>
              </w:rPr>
              <w:t>机</w:t>
            </w:r>
            <w:r>
              <w:rPr>
                <w:rFonts w:hint="eastAsia" w:ascii="宋体" w:hAnsi="宋体" w:eastAsia="宋体" w:cs="宋体"/>
                <w:sz w:val="24"/>
                <w:szCs w:val="24"/>
                <w:highlight w:val="none"/>
              </w:rPr>
              <w:t>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8" w:type="dxa"/>
            <w:vAlign w:val="center"/>
          </w:tcPr>
          <w:p>
            <w:pPr>
              <w:tabs>
                <w:tab w:val="left" w:pos="2730"/>
                <w:tab w:val="left" w:pos="2835"/>
              </w:tabs>
              <w:adjustRightInd w:val="0"/>
              <w:snapToGrid w:val="0"/>
              <w:spacing w:before="100" w:beforeAutospacing="1" w:after="100" w:afterAutospacing="1" w:line="360" w:lineRule="auto"/>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1</w:t>
            </w:r>
            <w:r>
              <w:rPr>
                <w:rFonts w:hint="eastAsia" w:ascii="宋体" w:hAnsi="宋体" w:cs="宋体"/>
                <w:bCs/>
                <w:sz w:val="24"/>
                <w:szCs w:val="24"/>
                <w:highlight w:val="none"/>
                <w:lang w:val="en-US" w:eastAsia="zh-CN"/>
              </w:rPr>
              <w:t>5</w:t>
            </w:r>
          </w:p>
        </w:tc>
        <w:tc>
          <w:tcPr>
            <w:tcW w:w="1634" w:type="dxa"/>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评标方法</w:t>
            </w:r>
          </w:p>
        </w:tc>
        <w:tc>
          <w:tcPr>
            <w:tcW w:w="6659" w:type="dxa"/>
            <w:vAlign w:val="center"/>
          </w:tcPr>
          <w:p>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本次评标采用百分制综合评分法，评标委员会成员综合评定各投标人提交的投标文件，在最大限度地满足招标文件实质性要求的前提下按照招标文件中规定的各项因素进行综合评审后，按照评标得分由高到低顺序推荐入围中标人。（后附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8" w:type="dxa"/>
            <w:vAlign w:val="center"/>
          </w:tcPr>
          <w:p>
            <w:pPr>
              <w:tabs>
                <w:tab w:val="left" w:pos="2730"/>
                <w:tab w:val="left" w:pos="2835"/>
              </w:tabs>
              <w:adjustRightInd w:val="0"/>
              <w:snapToGrid w:val="0"/>
              <w:spacing w:before="100" w:beforeAutospacing="1" w:after="100" w:afterAutospacing="1" w:line="360" w:lineRule="auto"/>
              <w:jc w:val="center"/>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w:t>
            </w:r>
            <w:r>
              <w:rPr>
                <w:rFonts w:hint="eastAsia" w:ascii="宋体" w:hAnsi="宋体" w:cs="宋体"/>
                <w:bCs/>
                <w:sz w:val="24"/>
                <w:szCs w:val="24"/>
                <w:highlight w:val="none"/>
                <w:lang w:val="en-US" w:eastAsia="zh-CN"/>
              </w:rPr>
              <w:t>6</w:t>
            </w:r>
          </w:p>
        </w:tc>
        <w:tc>
          <w:tcPr>
            <w:tcW w:w="1634" w:type="dxa"/>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pacing w:val="6"/>
                <w:sz w:val="24"/>
                <w:szCs w:val="24"/>
                <w:highlight w:val="none"/>
                <w:lang w:eastAsia="zh-CN"/>
              </w:rPr>
              <w:t>政府采购优惠政策</w:t>
            </w:r>
          </w:p>
        </w:tc>
        <w:tc>
          <w:tcPr>
            <w:tcW w:w="6659" w:type="dxa"/>
            <w:vAlign w:val="center"/>
          </w:tcPr>
          <w:p>
            <w:pPr>
              <w:widowControl w:val="0"/>
              <w:numPr>
                <w:ilvl w:val="0"/>
                <w:numId w:val="0"/>
              </w:numPr>
              <w:tabs>
                <w:tab w:val="left" w:pos="558"/>
              </w:tabs>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节能、环保产品。</w:t>
            </w:r>
          </w:p>
          <w:p>
            <w:pPr>
              <w:widowControl w:val="0"/>
              <w:numPr>
                <w:ilvl w:val="0"/>
                <w:numId w:val="0"/>
              </w:numPr>
              <w:tabs>
                <w:tab w:val="left" w:pos="579"/>
              </w:tabs>
              <w:spacing w:line="360" w:lineRule="auto"/>
              <w:ind w:firstLine="240" w:firstLineChars="100"/>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本项目评标委员会在</w:t>
            </w:r>
            <w:r>
              <w:rPr>
                <w:rFonts w:hint="eastAsia" w:ascii="宋体" w:hAnsi="宋体" w:cs="宋体"/>
                <w:sz w:val="24"/>
                <w:szCs w:val="24"/>
                <w:highlight w:val="none"/>
                <w:lang w:eastAsia="zh-CN"/>
              </w:rPr>
              <w:t>价格评标项中，对节能、环保产品分别分别给予价格评标总分值的</w:t>
            </w:r>
            <w:r>
              <w:rPr>
                <w:rFonts w:hint="eastAsia" w:ascii="宋体" w:hAnsi="宋体" w:cs="宋体"/>
                <w:sz w:val="24"/>
                <w:szCs w:val="24"/>
                <w:highlight w:val="none"/>
                <w:lang w:val="en-US" w:eastAsia="zh-CN"/>
              </w:rPr>
              <w:t>4%的加分，总分值最高加评标价格总分值的4%；</w:t>
            </w:r>
          </w:p>
          <w:p>
            <w:pPr>
              <w:widowControl w:val="0"/>
              <w:numPr>
                <w:ilvl w:val="0"/>
                <w:numId w:val="0"/>
              </w:numPr>
              <w:tabs>
                <w:tab w:val="left" w:pos="579"/>
              </w:tabs>
              <w:spacing w:line="360" w:lineRule="auto"/>
              <w:ind w:firstLine="240" w:firstLineChars="100"/>
              <w:jc w:val="both"/>
              <w:rPr>
                <w:rFonts w:hint="default"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1.2</w:t>
            </w:r>
            <w:r>
              <w:rPr>
                <w:rFonts w:hint="eastAsia" w:ascii="宋体" w:hAnsi="宋体" w:cs="宋体"/>
                <w:sz w:val="24"/>
                <w:szCs w:val="24"/>
                <w:highlight w:val="none"/>
                <w:lang w:val="en-US" w:eastAsia="zh-CN"/>
              </w:rPr>
              <w:t>“节能产品政府采购清单”优采加分：加分=价格评标总分值*4%*【所投“节能产品政府采购清单”（政府强制采购节能产品除外）中的产品价格在投标报价中所占比例】</w:t>
            </w:r>
          </w:p>
          <w:p>
            <w:pPr>
              <w:widowControl w:val="0"/>
              <w:numPr>
                <w:ilvl w:val="0"/>
                <w:numId w:val="0"/>
              </w:numPr>
              <w:tabs>
                <w:tab w:val="left" w:pos="579"/>
              </w:tabs>
              <w:spacing w:line="360" w:lineRule="auto"/>
              <w:ind w:firstLine="240" w:firstLineChars="1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1.3</w:t>
            </w:r>
            <w:r>
              <w:rPr>
                <w:rFonts w:hint="eastAsia" w:ascii="宋体" w:hAnsi="宋体" w:cs="宋体"/>
                <w:sz w:val="24"/>
                <w:szCs w:val="24"/>
                <w:highlight w:val="none"/>
                <w:lang w:val="en-US" w:eastAsia="zh-CN"/>
              </w:rPr>
              <w:t>“环境标志产品政府采购清单”优采加分：加分=价格评标总分值*4%*【所投“环境标志产品政府采购清单”中的产品价格在投标报价中所占比例】</w:t>
            </w:r>
          </w:p>
          <w:p>
            <w:pPr>
              <w:widowControl w:val="0"/>
              <w:numPr>
                <w:ilvl w:val="0"/>
                <w:numId w:val="0"/>
              </w:numPr>
              <w:tabs>
                <w:tab w:val="left" w:pos="579"/>
              </w:tabs>
              <w:spacing w:line="360" w:lineRule="auto"/>
              <w:ind w:firstLine="240" w:firstLineChars="1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投标人所投产品如属于财政部、国家发展和改革委员会制定的最新的《节能产品政府采购清单》、《环境标志产品政府采购清单》中的产品，应在投标文件显著位置提供《节能产品政府采购清单》或《环境标志产品政府采购清单》当前页复印件，未按要求列明的，将不给予价格扣除的政策优惠；</w:t>
            </w:r>
          </w:p>
          <w:p>
            <w:pPr>
              <w:widowControl w:val="0"/>
              <w:numPr>
                <w:ilvl w:val="0"/>
                <w:numId w:val="0"/>
              </w:numPr>
              <w:tabs>
                <w:tab w:val="left" w:pos="579"/>
              </w:tabs>
              <w:spacing w:line="360" w:lineRule="auto"/>
              <w:ind w:firstLine="240" w:firstLineChars="1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如发现投标人不如实填写、列明的，如中标将取消中标资格；同时采购人及采购代理机构有权向财政监管部门申请将其列入不诚信投标人名单并停止其参与一定期限的政府采购活动。</w:t>
            </w:r>
          </w:p>
          <w:p>
            <w:pPr>
              <w:widowControl w:val="0"/>
              <w:numPr>
                <w:ilvl w:val="0"/>
                <w:numId w:val="0"/>
              </w:numPr>
              <w:tabs>
                <w:tab w:val="left" w:pos="558"/>
              </w:tabs>
              <w:spacing w:line="360" w:lineRule="auto"/>
              <w:ind w:firstLine="240" w:firstLineChars="1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1.6</w:t>
            </w:r>
            <w:r>
              <w:rPr>
                <w:rFonts w:hint="eastAsia" w:ascii="宋体" w:hAnsi="宋体" w:eastAsia="宋体" w:cs="宋体"/>
                <w:sz w:val="24"/>
                <w:szCs w:val="24"/>
                <w:highlight w:val="none"/>
              </w:rPr>
              <w:t>评标价格仅为评定价格，不作为最终的中标价格。</w:t>
            </w:r>
          </w:p>
          <w:p>
            <w:pPr>
              <w:widowControl w:val="0"/>
              <w:numPr>
                <w:ilvl w:val="0"/>
                <w:numId w:val="2"/>
              </w:numPr>
              <w:tabs>
                <w:tab w:val="left" w:pos="488"/>
              </w:tabs>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中小企业优惠办法</w:t>
            </w:r>
          </w:p>
          <w:p>
            <w:pPr>
              <w:widowControl w:val="0"/>
              <w:numPr>
                <w:ilvl w:val="0"/>
                <w:numId w:val="0"/>
              </w:numPr>
              <w:tabs>
                <w:tab w:val="left" w:pos="569"/>
              </w:tabs>
              <w:spacing w:line="360" w:lineRule="auto"/>
              <w:ind w:left="252" w:left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根据《政府采购促进中小企业发展暂行办法》的规定，本项目评标委员会在综合评审时将给予小微企业的评标价格 6%的价格扣除；小微企业将以扣除后的评标价格参与价格得分的计算及评审；</w:t>
            </w:r>
          </w:p>
          <w:p>
            <w:pPr>
              <w:widowControl w:val="0"/>
              <w:numPr>
                <w:ilvl w:val="0"/>
                <w:numId w:val="0"/>
              </w:numPr>
              <w:tabs>
                <w:tab w:val="left" w:pos="548"/>
              </w:tabs>
              <w:spacing w:line="360" w:lineRule="auto"/>
              <w:ind w:left="252" w:left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具体计算方式为：小微企业的评标价格=其投标报价—投标报价*扣除比例；</w:t>
            </w:r>
          </w:p>
          <w:p>
            <w:pPr>
              <w:widowControl w:val="0"/>
              <w:numPr>
                <w:ilvl w:val="0"/>
                <w:numId w:val="0"/>
              </w:numPr>
              <w:tabs>
                <w:tab w:val="left" w:pos="569"/>
              </w:tabs>
              <w:spacing w:line="360" w:lineRule="auto"/>
              <w:ind w:left="252" w:left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2.3</w:t>
            </w:r>
            <w:r>
              <w:rPr>
                <w:rFonts w:hint="eastAsia" w:ascii="宋体" w:hAnsi="宋体" w:eastAsia="宋体" w:cs="宋体"/>
                <w:sz w:val="24"/>
                <w:szCs w:val="24"/>
                <w:highlight w:val="none"/>
              </w:rPr>
              <w:t>如投标人为小微企业，应根据工业和信息化部、国家统计局、国家发展改革委、财政部《关于印发中小企业划型标准规定的通知》（工信部联企业〔2011〕300 号），结合本公司实际情况如实填写中小企业声明函，并在投标文件中提供声明函原件及相关证明材料原件；未按要求提供声明函原件及证明材料原件的，将不给予价格扣除的政策优惠；</w:t>
            </w:r>
          </w:p>
          <w:p>
            <w:pPr>
              <w:widowControl w:val="0"/>
              <w:numPr>
                <w:ilvl w:val="0"/>
                <w:numId w:val="0"/>
              </w:numPr>
              <w:tabs>
                <w:tab w:val="left" w:pos="569"/>
              </w:tabs>
              <w:spacing w:line="360" w:lineRule="auto"/>
              <w:ind w:left="252" w:left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2.4</w:t>
            </w:r>
            <w:r>
              <w:rPr>
                <w:rFonts w:hint="eastAsia" w:ascii="宋体" w:hAnsi="宋体" w:eastAsia="宋体" w:cs="宋体"/>
                <w:sz w:val="24"/>
                <w:szCs w:val="24"/>
                <w:highlight w:val="none"/>
              </w:rPr>
              <w:t>按照《财政部 司法部关于政府采购支持监狱企业发展有关问题的通知》（财库【2014】68 号）文件规定，在政府采购活动中，监狱企业视同小型、微型企业，享受评审中价格扣除的政府采购政策。</w:t>
            </w:r>
          </w:p>
          <w:p>
            <w:pPr>
              <w:widowControl w:val="0"/>
              <w:numPr>
                <w:ilvl w:val="0"/>
                <w:numId w:val="0"/>
              </w:numPr>
              <w:tabs>
                <w:tab w:val="left" w:pos="569"/>
              </w:tabs>
              <w:spacing w:line="360" w:lineRule="auto"/>
              <w:ind w:left="252" w:left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如发现投标人不如实填写小微企业声明函的，如中标将取消中标资格；同时采购人及采购代理机构有权向财政监管部门申请将其列入不诚信投标人名单并停止其参与一定期限的政府采购活动。</w:t>
            </w:r>
          </w:p>
          <w:p>
            <w:pPr>
              <w:widowControl w:val="0"/>
              <w:tabs>
                <w:tab w:val="left" w:pos="569"/>
              </w:tabs>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3.残疾人企业</w:t>
            </w:r>
          </w:p>
          <w:p>
            <w:pPr>
              <w:widowControl w:val="0"/>
              <w:tabs>
                <w:tab w:val="left" w:pos="569"/>
              </w:tabs>
              <w:spacing w:line="360" w:lineRule="auto"/>
              <w:ind w:firstLine="240" w:firstLineChars="1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1）根据财库〔2017〕141号文件规定，在政府采购活动中，残疾人福利性单位视同小型、微型企业，享受预留份额、评审中价格扣除等促进中小企业发展的政府采购政策</w:t>
            </w:r>
          </w:p>
          <w:p>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评标价格仅为评定价格，不作为最终的中标价格。</w:t>
            </w:r>
          </w:p>
        </w:tc>
      </w:tr>
    </w:tbl>
    <w:p>
      <w:pPr>
        <w:pStyle w:val="7"/>
        <w:adjustRightInd w:val="0"/>
        <w:snapToGrid w:val="0"/>
        <w:spacing w:before="0" w:line="360" w:lineRule="auto"/>
        <w:outlineLvl w:val="1"/>
        <w:rPr>
          <w:rFonts w:ascii="宋体" w:hAnsi="宋体"/>
          <w:b/>
          <w:bCs/>
          <w:szCs w:val="24"/>
          <w:highlight w:val="none"/>
        </w:rPr>
      </w:pPr>
      <w:bookmarkStart w:id="23" w:name="_Toc525723047"/>
    </w:p>
    <w:p>
      <w:pPr>
        <w:pStyle w:val="7"/>
        <w:adjustRightInd w:val="0"/>
        <w:snapToGrid w:val="0"/>
        <w:spacing w:before="0" w:line="360" w:lineRule="auto"/>
        <w:outlineLvl w:val="1"/>
        <w:rPr>
          <w:rFonts w:hint="eastAsia" w:ascii="宋体" w:hAnsi="宋体" w:eastAsia="宋体"/>
          <w:b/>
          <w:bCs/>
          <w:szCs w:val="24"/>
          <w:highlight w:val="none"/>
          <w:lang w:eastAsia="zh-CN"/>
        </w:rPr>
      </w:pPr>
    </w:p>
    <w:p>
      <w:pPr>
        <w:pStyle w:val="7"/>
        <w:adjustRightInd w:val="0"/>
        <w:snapToGrid w:val="0"/>
        <w:spacing w:before="0" w:line="360" w:lineRule="auto"/>
        <w:outlineLvl w:val="1"/>
        <w:rPr>
          <w:rFonts w:hint="eastAsia" w:ascii="宋体" w:hAnsi="宋体" w:eastAsia="宋体"/>
          <w:b/>
          <w:bCs/>
          <w:szCs w:val="24"/>
          <w:highlight w:val="none"/>
          <w:lang w:eastAsia="zh-CN"/>
        </w:rPr>
      </w:pPr>
    </w:p>
    <w:p>
      <w:pPr>
        <w:pStyle w:val="7"/>
        <w:adjustRightInd w:val="0"/>
        <w:snapToGrid w:val="0"/>
        <w:spacing w:before="0" w:line="360" w:lineRule="auto"/>
        <w:outlineLvl w:val="1"/>
        <w:rPr>
          <w:rFonts w:hint="eastAsia" w:ascii="宋体" w:hAnsi="宋体" w:eastAsia="宋体"/>
          <w:b/>
          <w:bCs/>
          <w:szCs w:val="24"/>
          <w:highlight w:val="none"/>
          <w:lang w:eastAsia="zh-CN"/>
        </w:rPr>
      </w:pPr>
    </w:p>
    <w:p>
      <w:pPr>
        <w:rPr>
          <w:rFonts w:hint="eastAsia" w:ascii="宋体" w:hAnsi="宋体" w:eastAsia="宋体"/>
          <w:b/>
          <w:bCs/>
          <w:szCs w:val="24"/>
          <w:highlight w:val="none"/>
          <w:lang w:eastAsia="zh-CN"/>
        </w:rPr>
      </w:pPr>
    </w:p>
    <w:p>
      <w:pPr>
        <w:pStyle w:val="28"/>
        <w:rPr>
          <w:rFonts w:hint="eastAsia"/>
          <w:highlight w:val="none"/>
          <w:lang w:eastAsia="zh-CN"/>
        </w:rPr>
      </w:pPr>
    </w:p>
    <w:p>
      <w:pPr>
        <w:pStyle w:val="7"/>
        <w:adjustRightInd w:val="0"/>
        <w:snapToGrid w:val="0"/>
        <w:spacing w:before="0" w:line="360" w:lineRule="auto"/>
        <w:outlineLvl w:val="1"/>
        <w:rPr>
          <w:rFonts w:hint="eastAsia" w:ascii="宋体" w:hAnsi="宋体" w:eastAsia="宋体" w:cs="宋体"/>
          <w:b/>
          <w:bCs/>
          <w:sz w:val="24"/>
          <w:szCs w:val="24"/>
          <w:highlight w:val="none"/>
        </w:rPr>
      </w:pPr>
      <w:bookmarkStart w:id="24" w:name="_Toc19815"/>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rPr>
        <w:t>适用范围</w:t>
      </w:r>
      <w:bookmarkEnd w:id="23"/>
      <w:bookmarkEnd w:id="24"/>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本招标文件仅适用于本次招标公告中所叙述的项目。</w:t>
      </w:r>
    </w:p>
    <w:p>
      <w:pPr>
        <w:pStyle w:val="7"/>
        <w:adjustRightInd w:val="0"/>
        <w:snapToGrid w:val="0"/>
        <w:spacing w:before="0" w:line="360" w:lineRule="auto"/>
        <w:outlineLvl w:val="1"/>
        <w:rPr>
          <w:rFonts w:hint="eastAsia" w:ascii="宋体" w:hAnsi="宋体" w:eastAsia="宋体" w:cs="宋体"/>
          <w:b/>
          <w:bCs/>
          <w:sz w:val="24"/>
          <w:szCs w:val="24"/>
          <w:highlight w:val="none"/>
        </w:rPr>
      </w:pPr>
      <w:bookmarkStart w:id="25" w:name="_Toc525723048"/>
      <w:bookmarkStart w:id="26" w:name="_Toc2501"/>
      <w:r>
        <w:rPr>
          <w:rFonts w:hint="eastAsia" w:ascii="宋体" w:hAnsi="宋体" w:eastAsia="宋体" w:cs="宋体"/>
          <w:b/>
          <w:bCs/>
          <w:sz w:val="24"/>
          <w:szCs w:val="24"/>
          <w:highlight w:val="none"/>
        </w:rPr>
        <w:t>二、定义</w:t>
      </w:r>
      <w:bookmarkEnd w:id="25"/>
      <w:bookmarkEnd w:id="26"/>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1、“招标人”系指</w:t>
      </w:r>
      <w:r>
        <w:rPr>
          <w:rFonts w:hint="eastAsia" w:ascii="宋体" w:hAnsi="宋体" w:cs="宋体"/>
          <w:kern w:val="1"/>
          <w:sz w:val="24"/>
          <w:szCs w:val="24"/>
          <w:highlight w:val="none"/>
          <w:lang w:eastAsia="zh-CN"/>
        </w:rPr>
        <w:t>济南市消防支队章丘区大队</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2、“采购代理机构”系指</w:t>
      </w:r>
      <w:r>
        <w:rPr>
          <w:rFonts w:hint="eastAsia" w:ascii="宋体" w:hAnsi="宋体" w:eastAsia="宋体" w:cs="宋体"/>
          <w:sz w:val="24"/>
          <w:szCs w:val="24"/>
          <w:highlight w:val="none"/>
          <w:lang w:eastAsia="zh-CN"/>
        </w:rPr>
        <w:t>山东蓝盾招标代理有限公司</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3、“投标人”系指购买招标文件并向采购代理机构提交投标文件的单位。</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4、“入围投标人”系指经评标委员会初步评审，投标文件符合招标文件要求，进入综合评审阶段的投标人。</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5、“入围中标人”系指由评标委员会对入围投标人进行综合评审后，评选出的对招标文件做出实质性响应、综合竞争实力最优、有能力提供工程、货物和服务，遵守投标文件和询标时的承诺，赢得与甲方签订采购合同资格的投标人。 </w:t>
      </w:r>
    </w:p>
    <w:p>
      <w:pPr>
        <w:pStyle w:val="4"/>
        <w:numPr>
          <w:ilvl w:val="0"/>
          <w:numId w:val="0"/>
        </w:numPr>
        <w:spacing w:before="0" w:after="0" w:line="360" w:lineRule="auto"/>
        <w:rPr>
          <w:rFonts w:hint="eastAsia" w:ascii="宋体" w:hAnsi="宋体" w:eastAsia="宋体" w:cs="宋体"/>
          <w:bCs/>
          <w:sz w:val="24"/>
          <w:szCs w:val="24"/>
          <w:highlight w:val="none"/>
        </w:rPr>
      </w:pPr>
      <w:bookmarkStart w:id="27" w:name="_Toc525723049"/>
      <w:bookmarkStart w:id="28" w:name="_Toc19649"/>
      <w:r>
        <w:rPr>
          <w:rFonts w:hint="eastAsia" w:ascii="宋体" w:hAnsi="宋体" w:eastAsia="宋体" w:cs="宋体"/>
          <w:bCs/>
          <w:sz w:val="24"/>
          <w:szCs w:val="24"/>
          <w:highlight w:val="none"/>
        </w:rPr>
        <w:t>三、招标文件说明</w:t>
      </w:r>
      <w:bookmarkEnd w:id="27"/>
      <w:bookmarkEnd w:id="28"/>
    </w:p>
    <w:p>
      <w:pPr>
        <w:pStyle w:val="14"/>
        <w:tabs>
          <w:tab w:val="right" w:leader="dot" w:pos="8302"/>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（一）招标文件的组成：</w:t>
      </w:r>
    </w:p>
    <w:p>
      <w:pPr>
        <w:spacing w:line="360"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1、招标公告；</w:t>
      </w:r>
    </w:p>
    <w:p>
      <w:pPr>
        <w:spacing w:line="360"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2、投标人须知；</w:t>
      </w:r>
    </w:p>
    <w:p>
      <w:pPr>
        <w:spacing w:line="360"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3、项目说明；</w:t>
      </w:r>
    </w:p>
    <w:p>
      <w:pPr>
        <w:spacing w:line="360"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4、开标、评标、定标；</w:t>
      </w:r>
    </w:p>
    <w:p>
      <w:pPr>
        <w:spacing w:line="360"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5、授予合同；</w:t>
      </w:r>
    </w:p>
    <w:p>
      <w:pPr>
        <w:spacing w:line="360"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6、附件。</w:t>
      </w:r>
    </w:p>
    <w:p>
      <w:pPr>
        <w:pStyle w:val="14"/>
        <w:tabs>
          <w:tab w:val="right" w:leader="dot" w:pos="8302"/>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（二）招标文件的修改</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采购代理机构对招标文件必要的澄清或修改的内容，须在招标文件要求提交投标文件截止时间15日前以书面形式通知已购买招标文件的每一投标人。补充文件将作为招标文件的组成部分，对所有投标人均具有约束力。</w:t>
      </w:r>
    </w:p>
    <w:p>
      <w:pPr>
        <w:adjustRightInd w:val="0"/>
        <w:snapToGrid w:val="0"/>
        <w:spacing w:line="360" w:lineRule="auto"/>
        <w:ind w:firstLine="480" w:firstLineChars="200"/>
        <w:rPr>
          <w:rFonts w:hint="eastAsia" w:ascii="宋体" w:hAnsi="宋体" w:eastAsia="宋体" w:cs="宋体"/>
          <w:sz w:val="24"/>
          <w:szCs w:val="24"/>
          <w:highlight w:val="none"/>
          <w:bdr w:val="single" w:color="auto" w:sz="4" w:space="0"/>
        </w:rPr>
      </w:pPr>
      <w:r>
        <w:rPr>
          <w:rFonts w:hint="eastAsia" w:ascii="宋体" w:hAnsi="宋体" w:eastAsia="宋体" w:cs="宋体"/>
          <w:sz w:val="24"/>
          <w:szCs w:val="24"/>
          <w:highlight w:val="none"/>
        </w:rPr>
        <w:t>2、为使投标人有足够的时间按招标文件的要求修改投标文件，采购代理机构可酌情推迟投标的截止日期和开标日期，并将此变更通知上述每一投标人。</w:t>
      </w:r>
    </w:p>
    <w:p>
      <w:pPr>
        <w:pStyle w:val="14"/>
        <w:tabs>
          <w:tab w:val="right" w:leader="dot" w:pos="8302"/>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（三）招标文件的澄清</w:t>
      </w:r>
    </w:p>
    <w:p>
      <w:pPr>
        <w:pStyle w:val="7"/>
        <w:adjustRightInd w:val="0"/>
        <w:snapToGrid w:val="0"/>
        <w:spacing w:before="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招标文件答疑：详见投标人须知前附表。</w:t>
      </w:r>
    </w:p>
    <w:p>
      <w:pPr>
        <w:pStyle w:val="7"/>
        <w:adjustRightInd w:val="0"/>
        <w:snapToGrid w:val="0"/>
        <w:spacing w:before="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当招标文件、答疑材料内容相互矛盾时，以最后发出的答疑材料为准。</w:t>
      </w:r>
    </w:p>
    <w:p>
      <w:pPr>
        <w:pStyle w:val="7"/>
        <w:adjustRightInd w:val="0"/>
        <w:snapToGrid w:val="0"/>
        <w:spacing w:before="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使投标人有足够的时间按招标文件的要求修改投标文件，代理招标人可酌情更改开标地点或推迟投标的截止与开标时间，延长投标截止时间和开标时间，至少应当在招标文件要求提交投标文件的截止时间三日前，将变更时间书面通知所有招标文件收受人。</w:t>
      </w:r>
    </w:p>
    <w:p>
      <w:pPr>
        <w:pStyle w:val="7"/>
        <w:adjustRightInd w:val="0"/>
        <w:snapToGrid w:val="0"/>
        <w:spacing w:before="0" w:line="360" w:lineRule="auto"/>
        <w:outlineLvl w:val="1"/>
        <w:rPr>
          <w:rFonts w:hint="eastAsia" w:ascii="宋体" w:hAnsi="宋体" w:eastAsia="宋体" w:cs="宋体"/>
          <w:b/>
          <w:bCs/>
          <w:sz w:val="24"/>
          <w:szCs w:val="24"/>
          <w:highlight w:val="none"/>
        </w:rPr>
      </w:pPr>
      <w:bookmarkStart w:id="29" w:name="_Toc525723050"/>
      <w:bookmarkStart w:id="30" w:name="_Toc16886"/>
      <w:r>
        <w:rPr>
          <w:rFonts w:hint="eastAsia" w:ascii="宋体" w:hAnsi="宋体" w:eastAsia="宋体" w:cs="宋体"/>
          <w:b/>
          <w:bCs/>
          <w:sz w:val="24"/>
          <w:szCs w:val="24"/>
          <w:highlight w:val="none"/>
        </w:rPr>
        <w:t>四、投标文件的编写</w:t>
      </w:r>
      <w:bookmarkEnd w:id="29"/>
      <w:bookmarkEnd w:id="30"/>
    </w:p>
    <w:p>
      <w:pPr>
        <w:adjustRightInd w:val="0"/>
        <w:snapToGrid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投标人应仔细阅读招标文件的所有内容，并按招标文件的要求提供投标文件，保证所提供的全部资料的真实性、准确性及完整性，以使其投标对招标文件做出实质性响应。否则，其投标有可能被拒绝。</w:t>
      </w:r>
    </w:p>
    <w:p>
      <w:pPr>
        <w:pStyle w:val="14"/>
        <w:tabs>
          <w:tab w:val="right" w:leader="dot" w:pos="8302"/>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（一）投标文件的组成与装订</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投标人应按招标文件的要求编写投标文件，提交包括证明其有资格进行投标和有能力履行合同的文件。投标文件包括以下内容：</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1、资格、资质证明文件</w:t>
      </w:r>
    </w:p>
    <w:p>
      <w:pPr>
        <w:spacing w:line="360" w:lineRule="auto"/>
        <w:ind w:left="40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（1）法定代表人或其授权人签署的投标函；</w:t>
      </w:r>
    </w:p>
    <w:p>
      <w:pPr>
        <w:spacing w:line="360" w:lineRule="auto"/>
        <w:ind w:left="40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（2）营业执照副本</w:t>
      </w:r>
      <w:r>
        <w:rPr>
          <w:rFonts w:hint="eastAsia" w:ascii="宋体" w:hAnsi="宋体" w:eastAsia="宋体" w:cs="宋体"/>
          <w:sz w:val="24"/>
          <w:szCs w:val="24"/>
          <w:highlight w:val="none"/>
          <w:lang w:eastAsia="zh-CN"/>
        </w:rPr>
        <w:t>（三证合一）</w:t>
      </w:r>
      <w:r>
        <w:rPr>
          <w:rFonts w:hint="eastAsia" w:ascii="宋体" w:hAnsi="宋体" w:eastAsia="宋体" w:cs="宋体"/>
          <w:sz w:val="24"/>
          <w:szCs w:val="24"/>
          <w:highlight w:val="none"/>
        </w:rPr>
        <w:t>复印件；</w:t>
      </w:r>
    </w:p>
    <w:p>
      <w:pPr>
        <w:spacing w:line="360" w:lineRule="auto"/>
        <w:ind w:left="40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（3）法定代表人授权委托书及授权代理人的身份证复印件；</w:t>
      </w:r>
    </w:p>
    <w:p>
      <w:pPr>
        <w:spacing w:line="360" w:lineRule="auto"/>
        <w:ind w:left="40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）投标人提供履行合同所必需的设备和专业技术力量的相关书面声明(格式自拟) ；</w:t>
      </w:r>
    </w:p>
    <w:p>
      <w:pPr>
        <w:spacing w:line="360" w:lineRule="auto"/>
        <w:ind w:left="40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）济南市市区办公场所房产证或租赁协议复印件。（开标时须携带原件）</w:t>
      </w:r>
    </w:p>
    <w:p>
      <w:pPr>
        <w:spacing w:line="360" w:lineRule="auto"/>
        <w:ind w:left="400" w:leftChars="200"/>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6</w:t>
      </w:r>
      <w:r>
        <w:rPr>
          <w:rFonts w:hint="eastAsia" w:ascii="宋体" w:hAnsi="宋体" w:cs="宋体"/>
          <w:sz w:val="24"/>
          <w:szCs w:val="24"/>
          <w:highlight w:val="none"/>
          <w:lang w:eastAsia="zh-CN"/>
        </w:rPr>
        <w:t>）</w:t>
      </w:r>
      <w:r>
        <w:rPr>
          <w:rFonts w:hint="eastAsia" w:hAnsi="宋体"/>
          <w:kern w:val="0"/>
          <w:sz w:val="24"/>
          <w:highlight w:val="none"/>
        </w:rPr>
        <w:t>参加政府采购活动前3年内在经营活动中没有重大违法记录的书面声明并加盖供应商公章；</w:t>
      </w:r>
    </w:p>
    <w:p>
      <w:pPr>
        <w:widowControl/>
        <w:adjustRightInd w:val="0"/>
        <w:snapToGrid w:val="0"/>
        <w:spacing w:line="360" w:lineRule="auto"/>
        <w:ind w:left="200" w:leftChars="100" w:firstLine="354" w:firstLineChars="147"/>
        <w:jc w:val="left"/>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注：以上内容需全部加盖公章，如资格证明文件中缺少其中任何一项，则视为资格后审不合格，不进入下一步评审。投标人对提供的以上资料的真实性负责，评审过程中评审委员会若对以上投标人提供的资料有异议，可要求投标人在评审阶段提供原件进行复核，若发现有不实之处，按无效投标处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2、技术文件</w:t>
      </w:r>
    </w:p>
    <w:p>
      <w:pPr>
        <w:numPr>
          <w:ilvl w:val="0"/>
          <w:numId w:val="3"/>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车辆维修服务的工作程序及实施方案；</w:t>
      </w:r>
    </w:p>
    <w:p>
      <w:pPr>
        <w:numPr>
          <w:ilvl w:val="0"/>
          <w:numId w:val="3"/>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服务主要内容、指标要求；</w:t>
      </w:r>
    </w:p>
    <w:p>
      <w:pPr>
        <w:numPr>
          <w:ilvl w:val="0"/>
          <w:numId w:val="3"/>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技术服务保障措施及工作安排；</w:t>
      </w:r>
    </w:p>
    <w:p>
      <w:pPr>
        <w:numPr>
          <w:ilvl w:val="0"/>
          <w:numId w:val="3"/>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投标人办公场所的地理位置、所有权、使用权证明、实景图片等；</w:t>
      </w:r>
    </w:p>
    <w:p>
      <w:pPr>
        <w:numPr>
          <w:ilvl w:val="0"/>
          <w:numId w:val="3"/>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提供服务所需设施、设备一览表；</w:t>
      </w:r>
    </w:p>
    <w:p>
      <w:pPr>
        <w:numPr>
          <w:ilvl w:val="0"/>
          <w:numId w:val="3"/>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项目技术负责人及服务团队专业人员配备情况； </w:t>
      </w:r>
    </w:p>
    <w:p>
      <w:pPr>
        <w:numPr>
          <w:ilvl w:val="0"/>
          <w:numId w:val="3"/>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服务承诺；</w:t>
      </w:r>
    </w:p>
    <w:p>
      <w:pPr>
        <w:numPr>
          <w:ilvl w:val="0"/>
          <w:numId w:val="3"/>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合理化建议；</w:t>
      </w:r>
    </w:p>
    <w:p>
      <w:pPr>
        <w:numPr>
          <w:ilvl w:val="0"/>
          <w:numId w:val="3"/>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服务要求偏离表（见附件）。</w:t>
      </w:r>
    </w:p>
    <w:p>
      <w:pPr>
        <w:autoSpaceDE w:val="0"/>
        <w:autoSpaceDN w:val="0"/>
        <w:adjustRightInd w:val="0"/>
        <w:spacing w:line="360" w:lineRule="auto"/>
        <w:ind w:firstLine="482" w:firstLineChars="200"/>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投标人必须对所提供的服务相关的一切产权关系负全部责任，并承担由此而引起的法律纠纷以及费用。</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3、商务文件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（1）报价一览表（见附件）；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（2）报价明细表（见附件）；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（3）2016年1月1日至今完成的类似项目业绩一览表（见附件），须附合同复印件（加盖公章）；</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（4）商务偏离表（见附件）；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（5）投标人的获奖证书等；</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（6）投标人认为需要加以说明的其他内容。</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4、投标文件的装订</w:t>
      </w:r>
      <w:r>
        <w:rPr>
          <w:rFonts w:hint="eastAsia" w:ascii="宋体" w:hAnsi="宋体" w:eastAsia="宋体" w:cs="宋体"/>
          <w:sz w:val="24"/>
          <w:szCs w:val="24"/>
          <w:highlight w:val="none"/>
        </w:rPr>
        <w:cr/>
      </w:r>
      <w:r>
        <w:rPr>
          <w:rFonts w:hint="eastAsia" w:ascii="宋体" w:hAnsi="宋体" w:eastAsia="宋体" w:cs="宋体"/>
          <w:sz w:val="24"/>
          <w:szCs w:val="24"/>
          <w:highlight w:val="none"/>
        </w:rPr>
        <w:t xml:space="preserve">    投标人必须将投标文件（正本、副本）中的有关文件按上述顺序排列</w:t>
      </w:r>
      <w:r>
        <w:rPr>
          <w:rFonts w:hint="eastAsia" w:ascii="宋体" w:hAnsi="宋体" w:eastAsia="宋体" w:cs="宋体"/>
          <w:sz w:val="24"/>
          <w:szCs w:val="24"/>
          <w:highlight w:val="none"/>
          <w:lang w:eastAsia="zh-CN"/>
        </w:rPr>
        <w:t>胶</w:t>
      </w:r>
      <w:r>
        <w:rPr>
          <w:rFonts w:hint="eastAsia" w:ascii="宋体" w:hAnsi="宋体" w:eastAsia="宋体" w:cs="宋体"/>
          <w:sz w:val="24"/>
          <w:szCs w:val="24"/>
          <w:highlight w:val="none"/>
        </w:rPr>
        <w:t>装成册，并在首页按照本“招标文件目录”的格式编制“投标文件目录”。</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（二）投标文件的编写方式</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投标文件正本和副本用A4幅面的纸张打印。</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（三）投标文件的签署</w:t>
      </w:r>
    </w:p>
    <w:p>
      <w:pPr>
        <w:pStyle w:val="31"/>
        <w:keepNext w:val="0"/>
        <w:keepLines w:val="0"/>
        <w:pageBreakBefore w:val="0"/>
        <w:widowControl w:val="0"/>
        <w:kinsoku/>
        <w:wordWrap/>
        <w:overflowPunct/>
        <w:topLinePunct w:val="0"/>
        <w:autoSpaceDE/>
        <w:autoSpaceDN/>
        <w:bidi w:val="0"/>
        <w:adjustRightInd/>
        <w:snapToGrid/>
        <w:spacing w:line="360" w:lineRule="auto"/>
        <w:ind w:firstLine="504"/>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供应商必须按</w:t>
      </w:r>
      <w:r>
        <w:rPr>
          <w:rFonts w:hint="eastAsia" w:ascii="宋体" w:hAnsi="宋体" w:cs="宋体"/>
          <w:color w:val="auto"/>
          <w:sz w:val="24"/>
          <w:szCs w:val="24"/>
          <w:highlight w:val="none"/>
          <w:lang w:eastAsia="zh-CN"/>
        </w:rPr>
        <w:t>招标</w:t>
      </w:r>
      <w:r>
        <w:rPr>
          <w:rFonts w:hint="eastAsia" w:ascii="宋体" w:hAnsi="宋体" w:eastAsia="宋体" w:cs="宋体"/>
          <w:color w:val="auto"/>
          <w:sz w:val="24"/>
          <w:szCs w:val="24"/>
          <w:highlight w:val="none"/>
        </w:rPr>
        <w:t>文件的规定签署响应文件（正本、副本）、报价一览表，并在响应文件封面、报价一览表上加盖供应商单位公章。</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（四）投标语言及计量单位</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1、投标文件及投标人和采购代理机构就招投标的来往文件，使用中文（简体）。</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2、除在招标文件的技术规格中另有规定外，投标文件中所使用的计量单位应使用中华人民共和国法定计量单位。</w:t>
      </w:r>
      <w:r>
        <w:rPr>
          <w:rFonts w:hint="eastAsia" w:ascii="宋体" w:hAnsi="宋体" w:eastAsia="宋体" w:cs="宋体"/>
          <w:sz w:val="24"/>
          <w:szCs w:val="24"/>
          <w:highlight w:val="none"/>
        </w:rPr>
        <w:cr/>
      </w:r>
      <w:r>
        <w:rPr>
          <w:rFonts w:hint="eastAsia" w:ascii="宋体" w:hAnsi="宋体" w:eastAsia="宋体" w:cs="宋体"/>
          <w:sz w:val="24"/>
          <w:szCs w:val="24"/>
          <w:highlight w:val="none"/>
        </w:rPr>
        <w:t>　　（五）投标文件的密封和标记</w:t>
      </w:r>
      <w:r>
        <w:rPr>
          <w:rFonts w:hint="eastAsia" w:ascii="宋体" w:hAnsi="宋体" w:eastAsia="宋体" w:cs="宋体"/>
          <w:sz w:val="24"/>
          <w:szCs w:val="24"/>
          <w:highlight w:val="none"/>
        </w:rPr>
        <w:cr/>
      </w:r>
      <w:r>
        <w:rPr>
          <w:rFonts w:hint="eastAsia" w:ascii="宋体" w:hAnsi="宋体" w:eastAsia="宋体" w:cs="宋体"/>
          <w:sz w:val="24"/>
          <w:szCs w:val="24"/>
          <w:highlight w:val="none"/>
        </w:rPr>
        <w:t xml:space="preserve">    1、投标人应准备五份投标文件（要求胶装），一份正本和四份副本，在每一份投标文件上都要明确注明“正本”或“副本”字样，一旦正本和副本有差异，以正本为准。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2、投标人应将投标文件正本、副本用信封分别密封，并在封口处加盖投标人单位公章，在信封和投标文件封面明显处注明（密封信封格式见附件）：</w:t>
      </w:r>
      <w:r>
        <w:rPr>
          <w:rFonts w:hint="eastAsia" w:ascii="宋体" w:hAnsi="宋体" w:eastAsia="宋体" w:cs="宋体"/>
          <w:sz w:val="24"/>
          <w:szCs w:val="24"/>
          <w:highlight w:val="none"/>
        </w:rPr>
        <w:cr/>
      </w:r>
      <w:r>
        <w:rPr>
          <w:rFonts w:hint="eastAsia" w:ascii="宋体" w:hAnsi="宋体" w:eastAsia="宋体" w:cs="宋体"/>
          <w:sz w:val="24"/>
          <w:szCs w:val="24"/>
          <w:highlight w:val="none"/>
        </w:rPr>
        <w:t>　　（1）项目编号、项目名称、包号；</w:t>
      </w:r>
      <w:r>
        <w:rPr>
          <w:rFonts w:hint="eastAsia" w:ascii="宋体" w:hAnsi="宋体" w:eastAsia="宋体" w:cs="宋体"/>
          <w:sz w:val="24"/>
          <w:szCs w:val="24"/>
          <w:highlight w:val="none"/>
        </w:rPr>
        <w:cr/>
      </w:r>
      <w:r>
        <w:rPr>
          <w:rFonts w:hint="eastAsia" w:ascii="宋体" w:hAnsi="宋体" w:eastAsia="宋体" w:cs="宋体"/>
          <w:sz w:val="24"/>
          <w:szCs w:val="24"/>
          <w:highlight w:val="none"/>
        </w:rPr>
        <w:t>　　（2）投标人名称（加盖公章）、地址、电话、传真；</w:t>
      </w:r>
      <w:r>
        <w:rPr>
          <w:rFonts w:hint="eastAsia" w:ascii="宋体" w:hAnsi="宋体" w:eastAsia="宋体" w:cs="宋体"/>
          <w:sz w:val="24"/>
          <w:szCs w:val="24"/>
          <w:highlight w:val="none"/>
        </w:rPr>
        <w:cr/>
      </w:r>
      <w:r>
        <w:rPr>
          <w:rFonts w:hint="eastAsia" w:ascii="宋体" w:hAnsi="宋体" w:eastAsia="宋体" w:cs="宋体"/>
          <w:sz w:val="24"/>
          <w:szCs w:val="24"/>
          <w:highlight w:val="none"/>
        </w:rPr>
        <w:t>　　（3）正本或副本；</w:t>
      </w:r>
      <w:r>
        <w:rPr>
          <w:rFonts w:hint="eastAsia" w:ascii="宋体" w:hAnsi="宋体" w:eastAsia="宋体" w:cs="宋体"/>
          <w:sz w:val="24"/>
          <w:szCs w:val="24"/>
          <w:highlight w:val="none"/>
        </w:rPr>
        <w:cr/>
      </w:r>
      <w:r>
        <w:rPr>
          <w:rFonts w:hint="eastAsia" w:ascii="宋体" w:hAnsi="宋体" w:eastAsia="宋体" w:cs="宋体"/>
          <w:sz w:val="24"/>
          <w:szCs w:val="24"/>
          <w:highlight w:val="none"/>
        </w:rPr>
        <w:t>　　（4）每一密封信封上注明“于  年  月  日  时之前不准启封”的字样。</w:t>
      </w:r>
    </w:p>
    <w:p>
      <w:pPr>
        <w:adjustRightInd w:val="0"/>
        <w:snapToGrid w:val="0"/>
        <w:spacing w:line="360" w:lineRule="auto"/>
        <w:ind w:firstLine="602" w:firstLineChars="250"/>
        <w:rPr>
          <w:rFonts w:hint="eastAsia" w:ascii="宋体" w:hAnsi="宋体" w:eastAsia="宋体" w:cs="宋体"/>
          <w:b/>
          <w:sz w:val="24"/>
          <w:szCs w:val="24"/>
          <w:highlight w:val="none"/>
        </w:rPr>
      </w:pPr>
      <w:r>
        <w:rPr>
          <w:rFonts w:hint="eastAsia" w:ascii="宋体" w:hAnsi="宋体" w:eastAsia="宋体" w:cs="宋体"/>
          <w:b/>
          <w:sz w:val="24"/>
          <w:szCs w:val="24"/>
          <w:highlight w:val="none"/>
        </w:rPr>
        <w:t>3、为方便律师检查投标人的资格，请投标人另外单独准备一</w:t>
      </w:r>
      <w:r>
        <w:rPr>
          <w:rFonts w:hint="eastAsia" w:ascii="宋体" w:hAnsi="宋体" w:eastAsia="宋体" w:cs="宋体"/>
          <w:b/>
          <w:sz w:val="24"/>
          <w:szCs w:val="24"/>
          <w:highlight w:val="none"/>
          <w:lang w:eastAsia="zh-CN"/>
        </w:rPr>
        <w:t>份</w:t>
      </w:r>
      <w:r>
        <w:rPr>
          <w:rFonts w:hint="eastAsia" w:ascii="宋体" w:hAnsi="宋体" w:eastAsia="宋体" w:cs="宋体"/>
          <w:b/>
          <w:sz w:val="24"/>
          <w:szCs w:val="24"/>
          <w:highlight w:val="none"/>
        </w:rPr>
        <w:t>资质证明文件</w:t>
      </w:r>
      <w:r>
        <w:rPr>
          <w:rFonts w:hint="eastAsia" w:ascii="宋体" w:hAnsi="宋体" w:cs="宋体"/>
          <w:b/>
          <w:sz w:val="24"/>
          <w:szCs w:val="24"/>
          <w:highlight w:val="none"/>
          <w:lang w:eastAsia="zh-CN"/>
        </w:rPr>
        <w:t>无需</w:t>
      </w:r>
      <w:r>
        <w:rPr>
          <w:rFonts w:hint="eastAsia" w:ascii="宋体" w:hAnsi="宋体" w:eastAsia="宋体" w:cs="宋体"/>
          <w:b/>
          <w:sz w:val="24"/>
          <w:szCs w:val="24"/>
          <w:highlight w:val="none"/>
        </w:rPr>
        <w:t>单独密封，在信封</w:t>
      </w:r>
      <w:r>
        <w:rPr>
          <w:rFonts w:hint="eastAsia" w:ascii="宋体" w:hAnsi="宋体" w:cs="宋体"/>
          <w:b/>
          <w:sz w:val="24"/>
          <w:szCs w:val="24"/>
          <w:highlight w:val="none"/>
          <w:lang w:eastAsia="zh-CN"/>
        </w:rPr>
        <w:t>封面</w:t>
      </w:r>
      <w:r>
        <w:rPr>
          <w:rFonts w:hint="eastAsia" w:ascii="宋体" w:hAnsi="宋体" w:eastAsia="宋体" w:cs="宋体"/>
          <w:b/>
          <w:sz w:val="24"/>
          <w:szCs w:val="24"/>
          <w:highlight w:val="none"/>
        </w:rPr>
        <w:t>处加盖投标人公章并在封面上注明“资格、资质证明文件”、投标人名称、地址、电话。在投标人投标的同时将“资格、资质证明文件”交律师备查 。</w:t>
      </w:r>
    </w:p>
    <w:p>
      <w:pPr>
        <w:adjustRightInd w:val="0"/>
        <w:snapToGrid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（六）投标文件的递交</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1、递交投标文件的地点和起止时间:见投标须知前附表。</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2、投标人代表必须在投标截止时间前将投标文件送达指定地点。如因招标文件的修改提前或推迟投标截止日期的，则按采购代理机构通知规定的时间递交。</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3、电报、电话、传真、电子邮件形式的投标概不接受。</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4、对投标人提交的投标文件不予以退还。</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（七）迟交的投标文件</w:t>
      </w:r>
      <w:r>
        <w:rPr>
          <w:rFonts w:hint="eastAsia" w:ascii="宋体" w:hAnsi="宋体" w:eastAsia="宋体" w:cs="宋体"/>
          <w:sz w:val="24"/>
          <w:szCs w:val="24"/>
          <w:highlight w:val="none"/>
          <w:lang w:val="en-US" w:eastAsia="zh-CN"/>
        </w:rPr>
        <w:t xml:space="preserve">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采购代理机构将拒绝接收在投标截止时间后送达的投标文件。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（八）投标文件的修改、补充和撤回</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投标人在招标文件要求提交投标文件的截止时间前，可以补充、修改或者撤回已提交的投标文件，并以书面形式通知采购代理机构。补充、修改的内容作为投标文件的组成部分。任何补充或修改的内容必须由投标人的法定代表人或其授权人签字。经法定代表人或其授权人正式签署的修改和补充文件组成投标文件的一部分，份数和密封要求同投标文件一致；</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2、开标后不允许对投标文件做实质性修改和补充；</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3、开标后在投标有效期内不得撤回投标。</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五、合格的投标人</w:t>
      </w:r>
    </w:p>
    <w:p>
      <w:pPr>
        <w:spacing w:line="360" w:lineRule="auto"/>
        <w:ind w:firstLine="480" w:firstLineChars="200"/>
        <w:rPr>
          <w:rFonts w:hint="eastAsia" w:ascii="宋体" w:hAnsi="宋体" w:eastAsia="宋体" w:cs="宋体"/>
          <w:sz w:val="24"/>
          <w:szCs w:val="24"/>
          <w:highlight w:val="none"/>
        </w:rPr>
      </w:pPr>
      <w:bookmarkStart w:id="31" w:name="OLE_LINK1"/>
      <w:bookmarkStart w:id="32" w:name="OLE_LINK3"/>
      <w:r>
        <w:rPr>
          <w:rFonts w:hint="eastAsia" w:ascii="宋体" w:hAnsi="宋体" w:eastAsia="宋体" w:cs="宋体"/>
          <w:sz w:val="24"/>
          <w:szCs w:val="24"/>
          <w:highlight w:val="none"/>
        </w:rPr>
        <w:t>符合以下条件的组织，均为合格的投标人</w:t>
      </w:r>
      <w:bookmarkEnd w:id="31"/>
      <w:bookmarkEnd w:id="32"/>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1、满足招标文件投标人资格要求；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2、向采购代理机构购买招标文件并登记备案；</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3、按照招标文件的规定递交了投标保证金和投标文件；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4、参与本次投标，即是承诺满足本招标文件的技术和商务要求，按照本招标文件的要求进行响应，满足招标人需求；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5、提供的资格资质文件均真实有效；</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6、在以往的政府采购活动中没有违法、违规、违纪和违约行为；</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7、遵守《中华人民共和国政府采购法》、《中华人民共和国招标投标法》及其他有关的中国法律、法规和规定。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六、接受和拒绝任何或所有投标的权利</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为维护国家利益，招标人在授予合同之前可依法做出选择或拒绝任何或全部投标的决定。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七、投标有效期</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1、投标文件的有效期比本须知规定的有效期短的，将被视为非响应投标，招标人有权拒绝。</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特殊情况下，在投标有效期满之前，采购代理机构可以以书面形式要求投标人同意延长有效期。投标人可以以书面形式拒绝或接受上述要求。拒绝延长投标有效期的投标人有权收回投标保证金；同意延长投标有效期的投标人应当相应延长其投标保证金的有效期，但不得修改投标文件的实质性内容。</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八、投标费用</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1、中标服务费：入围单位在领取入围通知书前向采购代理机构交纳。</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2、律师见证费：每名入围单位向见证律师事务所支付</w:t>
      </w:r>
      <w:r>
        <w:rPr>
          <w:rFonts w:hint="eastAsia" w:ascii="宋体" w:hAnsi="宋体" w:cs="宋体"/>
          <w:sz w:val="24"/>
          <w:szCs w:val="24"/>
          <w:highlight w:val="none"/>
          <w:lang w:eastAsia="zh-CN"/>
        </w:rPr>
        <w:t>相应</w:t>
      </w:r>
      <w:r>
        <w:rPr>
          <w:rFonts w:hint="eastAsia" w:ascii="宋体" w:hAnsi="宋体" w:eastAsia="宋体" w:cs="宋体"/>
          <w:sz w:val="24"/>
          <w:szCs w:val="24"/>
          <w:highlight w:val="none"/>
        </w:rPr>
        <w:t>律师见证费。</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投标供应商自行承担所有与参加投标的有关费用并将以上费用综合考虑，无须单独列报。</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九、投标保证金</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见投标须知前附表。</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投标人发生第二部分“十、（二）”项所列情况的，其投标保证金将被没收。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十、无效投标与废标</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（一）投标人有下列情况之一，其投标视为无效投标：</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1、投标人未按规定提交投标保证金；</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rPr>
        <w:t>投标人提供的投标文件资格、</w:t>
      </w:r>
      <w:r>
        <w:rPr>
          <w:rFonts w:hint="eastAsia" w:ascii="宋体" w:hAnsi="宋体" w:eastAsia="宋体" w:cs="宋体"/>
          <w:sz w:val="24"/>
          <w:szCs w:val="24"/>
          <w:highlight w:val="none"/>
        </w:rPr>
        <w:t>资质证明文件</w:t>
      </w:r>
      <w:r>
        <w:rPr>
          <w:rFonts w:hint="eastAsia" w:ascii="宋体" w:hAnsi="宋体" w:eastAsia="宋体" w:cs="宋体"/>
          <w:sz w:val="24"/>
          <w:szCs w:val="24"/>
        </w:rPr>
        <w:t>不完整</w:t>
      </w:r>
      <w:r>
        <w:rPr>
          <w:rFonts w:hint="eastAsia" w:ascii="宋体" w:hAnsi="宋体" w:cs="宋体"/>
          <w:sz w:val="24"/>
          <w:szCs w:val="24"/>
          <w:lang w:eastAsia="zh-CN"/>
        </w:rPr>
        <w:t>的</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3、投标文件未按招标文件的规定签署；</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4、投标报价超出招标人的预算金额；</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5、投标人对招标文件的要求未做出实质性响应；</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6、法律、法规规定的其他情况。</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投标人有下列情况之一，其投标不但被视为废标，而且招标人将严格依照《中华人民共和国政府采购法》、《中华人民共和国招标投标法》及有关法律、法规及规章的规定行使其权利。投标人给采购代理机构造成损失的，采购代理机构有索赔的权利；给招标人造成损失的，应予以赔偿。</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1、投标人提供的有关资格、资质证明文件不真实，提供虚假投标材料；</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2、投标人在投标有效期内撤回投标；</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3、在整个评标过程中，投标人有企图影响招标结果的任何活动；</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4、投标人串通投标；</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5、投标人向招标人、采购代理机构提供不正当利益；</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6、中标人不按规定的要求签订合同；</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7、法律、法规规定的其他情况。</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十一、解释权</w:t>
      </w:r>
    </w:p>
    <w:p>
      <w:pPr>
        <w:tabs>
          <w:tab w:val="left" w:pos="0"/>
        </w:tabs>
        <w:adjustRightInd w:val="0"/>
        <w:snapToGrid w:val="0"/>
        <w:spacing w:line="360" w:lineRule="auto"/>
        <w:ind w:firstLine="442"/>
        <w:rPr>
          <w:rFonts w:hint="eastAsia" w:ascii="宋体" w:hAnsi="宋体" w:eastAsia="宋体" w:cs="宋体"/>
          <w:sz w:val="24"/>
          <w:szCs w:val="24"/>
          <w:highlight w:val="none"/>
        </w:rPr>
      </w:pPr>
      <w:r>
        <w:rPr>
          <w:rFonts w:hint="eastAsia" w:ascii="宋体" w:hAnsi="宋体" w:eastAsia="宋体" w:cs="宋体"/>
          <w:sz w:val="24"/>
          <w:szCs w:val="24"/>
          <w:highlight w:val="none"/>
        </w:rPr>
        <w:t>1、本招标文件的最终解释权归采购代理机构，当对一个问题有多种解释时以采购代理机构的书面解释为准。</w:t>
      </w:r>
    </w:p>
    <w:p>
      <w:pPr>
        <w:tabs>
          <w:tab w:val="left" w:pos="0"/>
        </w:tabs>
        <w:adjustRightInd w:val="0"/>
        <w:snapToGrid w:val="0"/>
        <w:spacing w:line="360" w:lineRule="auto"/>
        <w:ind w:firstLine="442"/>
        <w:rPr>
          <w:rFonts w:hint="eastAsia" w:ascii="宋体" w:hAnsi="宋体" w:eastAsia="宋体" w:cs="宋体"/>
          <w:sz w:val="24"/>
          <w:szCs w:val="24"/>
          <w:highlight w:val="none"/>
        </w:rPr>
      </w:pPr>
      <w:r>
        <w:rPr>
          <w:rFonts w:hint="eastAsia" w:ascii="宋体" w:hAnsi="宋体" w:eastAsia="宋体" w:cs="宋体"/>
          <w:sz w:val="24"/>
          <w:szCs w:val="24"/>
          <w:highlight w:val="none"/>
        </w:rPr>
        <w:t>2、招标文件未做须知明示，而又有相关法律、法规规定的，采购代理机构对此所做解释以相关的法律、法规的规定为依据。</w:t>
      </w:r>
    </w:p>
    <w:p>
      <w:pPr>
        <w:tabs>
          <w:tab w:val="left" w:pos="0"/>
        </w:tabs>
        <w:adjustRightInd w:val="0"/>
        <w:snapToGrid w:val="0"/>
        <w:spacing w:line="360" w:lineRule="auto"/>
        <w:ind w:firstLine="442"/>
        <w:rPr>
          <w:rFonts w:hint="eastAsia" w:ascii="宋体" w:hAnsi="宋体" w:eastAsia="宋体" w:cs="宋体"/>
          <w:bCs/>
          <w:sz w:val="24"/>
          <w:szCs w:val="24"/>
          <w:highlight w:val="none"/>
        </w:rPr>
      </w:pPr>
      <w:r>
        <w:rPr>
          <w:rFonts w:hint="eastAsia" w:ascii="宋体" w:hAnsi="宋体" w:eastAsia="宋体" w:cs="宋体"/>
          <w:sz w:val="24"/>
          <w:szCs w:val="24"/>
          <w:highlight w:val="none"/>
        </w:rPr>
        <w:t>3、如有不明确或不一致，由评标委员会现场依据少数服从多数确定。</w:t>
      </w:r>
    </w:p>
    <w:p>
      <w:pPr>
        <w:jc w:val="center"/>
        <w:rPr>
          <w:rFonts w:hint="eastAsia" w:ascii="宋体" w:hAnsi="宋体" w:eastAsia="宋体" w:cs="宋体"/>
          <w:b/>
          <w:bCs/>
          <w:sz w:val="24"/>
          <w:szCs w:val="24"/>
          <w:highlight w:val="none"/>
        </w:rPr>
      </w:pPr>
      <w:bookmarkStart w:id="33" w:name="_Toc525723051"/>
    </w:p>
    <w:p>
      <w:pPr>
        <w:jc w:val="center"/>
        <w:rPr>
          <w:rFonts w:hint="eastAsia" w:ascii="宋体" w:hAnsi="宋体" w:eastAsia="宋体" w:cs="宋体"/>
          <w:b/>
          <w:bCs/>
          <w:sz w:val="24"/>
          <w:szCs w:val="24"/>
          <w:highlight w:val="none"/>
        </w:rPr>
      </w:pPr>
    </w:p>
    <w:p>
      <w:pPr>
        <w:jc w:val="center"/>
        <w:rPr>
          <w:rFonts w:hint="eastAsia" w:ascii="宋体" w:hAnsi="宋体" w:eastAsia="宋体" w:cs="宋体"/>
          <w:b/>
          <w:bCs/>
          <w:sz w:val="24"/>
          <w:szCs w:val="24"/>
          <w:highlight w:val="none"/>
        </w:rPr>
      </w:pPr>
    </w:p>
    <w:p>
      <w:pPr>
        <w:pStyle w:val="2"/>
        <w:rPr>
          <w:rFonts w:hint="eastAsia"/>
        </w:rPr>
      </w:pPr>
    </w:p>
    <w:p>
      <w:pPr>
        <w:pStyle w:val="3"/>
        <w:jc w:val="center"/>
        <w:rPr>
          <w:sz w:val="36"/>
          <w:szCs w:val="36"/>
          <w:highlight w:val="none"/>
        </w:rPr>
      </w:pPr>
      <w:bookmarkStart w:id="34" w:name="_Toc29829"/>
      <w:r>
        <w:rPr>
          <w:rFonts w:hint="eastAsia"/>
          <w:sz w:val="36"/>
          <w:szCs w:val="36"/>
          <w:highlight w:val="none"/>
        </w:rPr>
        <w:t>第三部分 项目说明及要求</w:t>
      </w:r>
      <w:bookmarkEnd w:id="33"/>
      <w:bookmarkEnd w:id="34"/>
    </w:p>
    <w:p>
      <w:pPr>
        <w:pStyle w:val="3"/>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b/>
          <w:bCs w:val="0"/>
          <w:kern w:val="1"/>
          <w:sz w:val="24"/>
          <w:szCs w:val="24"/>
          <w:highlight w:val="none"/>
        </w:rPr>
      </w:pPr>
      <w:r>
        <w:rPr>
          <w:rFonts w:hint="eastAsia" w:ascii="宋体" w:hAnsi="宋体" w:eastAsia="宋体" w:cs="宋体"/>
          <w:b/>
          <w:bCs w:val="0"/>
          <w:kern w:val="1"/>
          <w:sz w:val="24"/>
          <w:szCs w:val="24"/>
          <w:highlight w:val="none"/>
        </w:rPr>
        <w:t xml:space="preserve">一、项目概况    </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rPr>
        <w:t>为进一步提升车辆维修保障水平，根据国家《中华人民共和国招标投标法》、《济南市公安消防支队集中采购管理规定》等法律、法规、规章制度的规定及要求，济南市消防支队章丘区大队采取公开招标方式，对</w:t>
      </w:r>
      <w:r>
        <w:rPr>
          <w:rFonts w:hint="eastAsia" w:ascii="宋体" w:hAnsi="宋体" w:eastAsia="宋体" w:cs="宋体"/>
          <w:kern w:val="1"/>
          <w:sz w:val="24"/>
          <w:szCs w:val="24"/>
          <w:highlight w:val="none"/>
          <w:lang w:eastAsia="zh-CN"/>
        </w:rPr>
        <w:t>我大队及所属明水中队、刁镇中队现有行政车辆</w:t>
      </w:r>
      <w:r>
        <w:rPr>
          <w:rFonts w:hint="eastAsia" w:ascii="宋体" w:hAnsi="宋体" w:eastAsia="宋体" w:cs="宋体"/>
          <w:kern w:val="1"/>
          <w:sz w:val="24"/>
          <w:szCs w:val="24"/>
          <w:highlight w:val="none"/>
        </w:rPr>
        <w:t>保养、维修项目实行定点采购。</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kern w:val="1"/>
          <w:sz w:val="24"/>
          <w:szCs w:val="24"/>
          <w:highlight w:val="none"/>
        </w:rPr>
      </w:pPr>
      <w:r>
        <w:rPr>
          <w:rFonts w:hint="eastAsia" w:ascii="宋体" w:hAnsi="宋体" w:eastAsia="宋体" w:cs="宋体"/>
          <w:b/>
          <w:bCs/>
          <w:kern w:val="1"/>
          <w:sz w:val="24"/>
          <w:szCs w:val="24"/>
          <w:highlight w:val="none"/>
        </w:rPr>
        <w:t>二、采购标的具体情况</w:t>
      </w:r>
    </w:p>
    <w:p>
      <w:pPr>
        <w:pStyle w:val="19"/>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color w:val="auto"/>
          <w:sz w:val="24"/>
          <w:szCs w:val="24"/>
          <w:highlight w:val="yellow"/>
          <w:lang w:eastAsia="zh-CN"/>
        </w:rPr>
      </w:pPr>
      <w:r>
        <w:rPr>
          <w:rFonts w:hint="eastAsia" w:ascii="宋体" w:hAnsi="宋体" w:eastAsia="宋体" w:cs="宋体"/>
          <w:b/>
          <w:sz w:val="24"/>
          <w:szCs w:val="24"/>
          <w:highlight w:val="none"/>
        </w:rPr>
        <w:t>1、采购标的及数量</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为做好行政车辆维修保障工作，</w:t>
      </w:r>
      <w:r>
        <w:rPr>
          <w:rFonts w:hint="eastAsia" w:ascii="宋体" w:hAnsi="宋体" w:eastAsia="宋体" w:cs="宋体"/>
          <w:sz w:val="24"/>
          <w:szCs w:val="24"/>
          <w:highlight w:val="none"/>
        </w:rPr>
        <w:t>评选</w:t>
      </w:r>
      <w:r>
        <w:rPr>
          <w:rFonts w:hint="eastAsia" w:hAnsi="宋体" w:cs="宋体"/>
          <w:sz w:val="24"/>
          <w:szCs w:val="24"/>
          <w:highlight w:val="none"/>
          <w:lang w:val="en-US" w:eastAsia="zh-CN"/>
        </w:rPr>
        <w:t>1</w:t>
      </w:r>
      <w:r>
        <w:rPr>
          <w:rFonts w:hint="eastAsia" w:ascii="宋体" w:hAnsi="宋体" w:eastAsia="宋体" w:cs="宋体"/>
          <w:sz w:val="24"/>
          <w:szCs w:val="24"/>
          <w:highlight w:val="none"/>
          <w:lang w:val="en-US" w:eastAsia="zh-CN"/>
        </w:rPr>
        <w:t>名中标人</w:t>
      </w:r>
      <w:r>
        <w:rPr>
          <w:rFonts w:hint="eastAsia" w:ascii="宋体" w:hAnsi="宋体" w:eastAsia="宋体" w:cs="宋体"/>
          <w:sz w:val="24"/>
          <w:szCs w:val="24"/>
          <w:highlight w:val="none"/>
          <w:lang w:eastAsia="zh-CN"/>
        </w:rPr>
        <w:t>。</w:t>
      </w:r>
    </w:p>
    <w:p>
      <w:pPr>
        <w:pStyle w:val="19"/>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2、采购目的: </w:t>
      </w:r>
      <w:r>
        <w:rPr>
          <w:rFonts w:hint="eastAsia" w:ascii="宋体" w:hAnsi="宋体" w:eastAsia="宋体" w:cs="宋体"/>
          <w:sz w:val="24"/>
          <w:szCs w:val="24"/>
          <w:highlight w:val="none"/>
        </w:rPr>
        <w:t>通过公开招标，评选出</w:t>
      </w:r>
      <w:r>
        <w:rPr>
          <w:rFonts w:hint="eastAsia" w:ascii="宋体" w:hAnsi="宋体" w:cs="宋体"/>
          <w:sz w:val="24"/>
          <w:szCs w:val="24"/>
          <w:highlight w:val="none"/>
          <w:lang w:val="en-US" w:eastAsia="zh-CN"/>
        </w:rPr>
        <w:t>中标人</w:t>
      </w:r>
      <w:r>
        <w:rPr>
          <w:rFonts w:hint="eastAsia" w:ascii="宋体" w:hAnsi="宋体" w:eastAsia="宋体" w:cs="宋体"/>
          <w:sz w:val="24"/>
          <w:szCs w:val="24"/>
          <w:highlight w:val="none"/>
        </w:rPr>
        <w:t>，负责</w:t>
      </w:r>
      <w:r>
        <w:rPr>
          <w:rFonts w:hint="eastAsia" w:ascii="宋体" w:hAnsi="宋体" w:cs="宋体"/>
          <w:kern w:val="1"/>
          <w:sz w:val="24"/>
          <w:szCs w:val="24"/>
          <w:highlight w:val="none"/>
          <w:lang w:eastAsia="zh-CN"/>
        </w:rPr>
        <w:t>济南市消防支队章丘区大队</w:t>
      </w:r>
      <w:r>
        <w:rPr>
          <w:rFonts w:hint="eastAsia" w:ascii="宋体" w:hAnsi="宋体" w:eastAsia="宋体" w:cs="宋体"/>
          <w:kern w:val="1"/>
          <w:sz w:val="24"/>
          <w:szCs w:val="24"/>
          <w:highlight w:val="none"/>
          <w:lang w:eastAsia="zh-CN"/>
        </w:rPr>
        <w:t>及所属明水中队、刁镇中队</w:t>
      </w:r>
      <w:r>
        <w:rPr>
          <w:rFonts w:hint="eastAsia" w:ascii="宋体" w:hAnsi="宋体" w:cs="宋体"/>
          <w:kern w:val="1"/>
          <w:sz w:val="24"/>
          <w:szCs w:val="24"/>
          <w:highlight w:val="none"/>
          <w:lang w:eastAsia="zh-CN"/>
        </w:rPr>
        <w:t>现有行政车</w:t>
      </w:r>
      <w:r>
        <w:rPr>
          <w:rFonts w:hint="eastAsia" w:ascii="宋体" w:hAnsi="宋体" w:eastAsia="宋体" w:cs="宋体"/>
          <w:sz w:val="24"/>
          <w:szCs w:val="24"/>
          <w:highlight w:val="none"/>
        </w:rPr>
        <w:t>辆</w:t>
      </w:r>
      <w:r>
        <w:rPr>
          <w:rFonts w:hint="eastAsia" w:ascii="宋体" w:hAnsi="宋体" w:cs="宋体"/>
          <w:sz w:val="24"/>
          <w:szCs w:val="24"/>
          <w:highlight w:val="none"/>
          <w:lang w:eastAsia="zh-CN"/>
        </w:rPr>
        <w:t>维修保养</w:t>
      </w:r>
      <w:r>
        <w:rPr>
          <w:rFonts w:hint="eastAsia" w:ascii="宋体" w:hAnsi="宋体" w:eastAsia="宋体" w:cs="宋体"/>
          <w:sz w:val="24"/>
          <w:szCs w:val="24"/>
          <w:highlight w:val="none"/>
        </w:rPr>
        <w:t>服务。</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kern w:val="1"/>
          <w:sz w:val="24"/>
          <w:szCs w:val="24"/>
          <w:highlight w:val="none"/>
        </w:rPr>
      </w:pPr>
      <w:r>
        <w:rPr>
          <w:rFonts w:hint="eastAsia" w:ascii="宋体" w:hAnsi="宋体" w:eastAsia="宋体" w:cs="宋体"/>
          <w:b/>
          <w:kern w:val="1"/>
          <w:sz w:val="24"/>
          <w:szCs w:val="24"/>
          <w:highlight w:val="none"/>
        </w:rPr>
        <w:t>3、需满足的国家相关标准、行业标准、地方标准或者其他标准、规范:</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rPr>
        <w:t>（1）国家相关标准：执行《中华人民共和国交通运输行业标准机动车维修服务规范》及其他国家标准、相关规定。</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rPr>
        <w:t>（2）行业标准:执行国家标准及相关规定。</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rPr>
        <w:t>（3）地方标准：执行《济南市汽车维修管理条例》及山东省济南市相关标准及规定。</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rPr>
        <w:t>（4）其他规定：消防部门有关规定。</w:t>
      </w:r>
    </w:p>
    <w:p>
      <w:pPr>
        <w:pStyle w:val="19"/>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4、</w:t>
      </w:r>
      <w:r>
        <w:rPr>
          <w:rFonts w:hint="eastAsia" w:ascii="宋体" w:hAnsi="宋体" w:eastAsia="宋体" w:cs="宋体"/>
          <w:b/>
          <w:sz w:val="24"/>
          <w:szCs w:val="24"/>
          <w:highlight w:val="none"/>
        </w:rPr>
        <w:t>需要满足的服务标准、期限、效率要求等：</w:t>
      </w:r>
    </w:p>
    <w:p>
      <w:pPr>
        <w:pStyle w:val="19"/>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b/>
          <w:kern w:val="1"/>
          <w:sz w:val="24"/>
          <w:szCs w:val="24"/>
          <w:highlight w:val="none"/>
        </w:rPr>
      </w:pPr>
      <w:r>
        <w:rPr>
          <w:rFonts w:hint="eastAsia" w:ascii="宋体" w:hAnsi="宋体" w:eastAsia="宋体" w:cs="宋体"/>
          <w:b/>
          <w:kern w:val="1"/>
          <w:sz w:val="24"/>
          <w:szCs w:val="24"/>
          <w:highlight w:val="none"/>
        </w:rPr>
        <w:t>（1）资格要求：</w:t>
      </w:r>
    </w:p>
    <w:p>
      <w:pPr>
        <w:spacing w:line="360" w:lineRule="auto"/>
        <w:rPr>
          <w:rFonts w:hint="eastAsia" w:ascii="宋体" w:hAnsi="宋体" w:cs="宋体"/>
          <w:sz w:val="24"/>
          <w:szCs w:val="24"/>
        </w:rPr>
      </w:pPr>
      <w:r>
        <w:rPr>
          <w:rFonts w:hint="eastAsia" w:ascii="宋体" w:hAnsi="宋体" w:cs="宋体"/>
          <w:sz w:val="24"/>
          <w:szCs w:val="24"/>
        </w:rPr>
        <w:t>1）供应商应符合《中华人民共和国政府采购法》第二十二条规定且应为未被列入信用中国网站（www.creditchina.gov.cn ）、中国政府采购网(www.ccgp.gov.cn)、信用山东（www.creditsd.gov.cn）等渠道信用记录失信被执行人、重大税收违法案件当事人名单、政府采购严重违法失信行为记录名单；（三方网站截图报名时均须携带）</w:t>
      </w:r>
    </w:p>
    <w:p>
      <w:pPr>
        <w:spacing w:line="360" w:lineRule="auto"/>
        <w:jc w:val="both"/>
        <w:rPr>
          <w:rFonts w:hint="eastAsia" w:ascii="宋体" w:hAnsi="宋体" w:cs="宋体"/>
          <w:sz w:val="24"/>
          <w:szCs w:val="24"/>
        </w:rPr>
      </w:pPr>
      <w:r>
        <w:rPr>
          <w:rFonts w:hint="eastAsia" w:ascii="宋体" w:hAnsi="宋体" w:cs="宋体"/>
          <w:sz w:val="24"/>
          <w:szCs w:val="24"/>
        </w:rPr>
        <w:t>2）供应商须为在中华人民共和国境内登记注册，</w:t>
      </w:r>
      <w:r>
        <w:rPr>
          <w:rFonts w:hint="eastAsia" w:ascii="宋体" w:hAnsi="宋体" w:cs="宋体"/>
          <w:sz w:val="24"/>
          <w:szCs w:val="24"/>
          <w:lang w:eastAsia="zh-CN"/>
        </w:rPr>
        <w:t>具备独立法人或其他组织，</w:t>
      </w:r>
      <w:r>
        <w:rPr>
          <w:rFonts w:hint="eastAsia" w:ascii="宋体" w:hAnsi="宋体" w:cs="宋体"/>
          <w:sz w:val="24"/>
          <w:szCs w:val="24"/>
          <w:lang w:val="zh-CN"/>
        </w:rPr>
        <w:t>并在人员、设备等方面具备相应的服务能力；</w:t>
      </w:r>
    </w:p>
    <w:p>
      <w:pPr>
        <w:spacing w:line="360" w:lineRule="auto"/>
        <w:jc w:val="both"/>
        <w:rPr>
          <w:rFonts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）具备维修各类公务用车的能力，并具有履行合同所必需的设备和专业技术能力；</w:t>
      </w:r>
    </w:p>
    <w:p>
      <w:pPr>
        <w:spacing w:line="360" w:lineRule="auto"/>
        <w:jc w:val="both"/>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）在济南市（含各区县）有固定的经营场所；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）不接受联合体投标。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sz w:val="24"/>
          <w:szCs w:val="24"/>
          <w:highlight w:val="none"/>
        </w:rPr>
      </w:pPr>
      <w:r>
        <w:rPr>
          <w:rFonts w:hint="eastAsia" w:ascii="宋体" w:hAnsi="宋体"/>
          <w:b/>
          <w:bCs w:val="0"/>
          <w:sz w:val="24"/>
          <w:szCs w:val="24"/>
          <w:highlight w:val="none"/>
        </w:rPr>
        <w:t>注：</w:t>
      </w:r>
      <w:r>
        <w:rPr>
          <w:rFonts w:hint="eastAsia" w:ascii="宋体" w:hAnsi="宋体"/>
          <w:b/>
          <w:bCs w:val="0"/>
          <w:sz w:val="24"/>
          <w:szCs w:val="24"/>
          <w:highlight w:val="none"/>
          <w:lang w:eastAsia="zh-CN"/>
        </w:rPr>
        <w:t>①</w:t>
      </w:r>
      <w:r>
        <w:rPr>
          <w:rFonts w:hint="eastAsia" w:ascii="宋体" w:hAnsi="宋体"/>
          <w:b/>
          <w:bCs w:val="0"/>
          <w:sz w:val="24"/>
          <w:szCs w:val="24"/>
          <w:highlight w:val="none"/>
        </w:rPr>
        <w:t>报名时须提供营业执照（副本）原件，信用截图（加盖公章），法人授权委托书及受托人身份证</w:t>
      </w:r>
      <w:r>
        <w:rPr>
          <w:rFonts w:hint="eastAsia" w:ascii="宋体" w:hAnsi="宋体"/>
          <w:b/>
          <w:bCs w:val="0"/>
          <w:sz w:val="24"/>
          <w:szCs w:val="24"/>
          <w:highlight w:val="none"/>
          <w:lang w:eastAsia="zh-CN"/>
        </w:rPr>
        <w:t>，产权证明或租赁合同，</w:t>
      </w:r>
      <w:r>
        <w:rPr>
          <w:rFonts w:hint="eastAsia" w:ascii="宋体" w:hAnsi="宋体" w:cs="宋体"/>
          <w:b/>
          <w:bCs w:val="0"/>
          <w:sz w:val="24"/>
          <w:szCs w:val="24"/>
          <w:highlight w:val="none"/>
        </w:rPr>
        <w:t>以上证件均需提供原件及复印件各一份（复印件加盖公章）。</w:t>
      </w:r>
    </w:p>
    <w:p>
      <w:pPr>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val="0"/>
          <w:kern w:val="1"/>
          <w:sz w:val="24"/>
          <w:szCs w:val="24"/>
          <w:highlight w:val="none"/>
        </w:rPr>
      </w:pPr>
      <w:r>
        <w:rPr>
          <w:rFonts w:hint="eastAsia" w:ascii="宋体" w:hAnsi="宋体" w:cs="宋体"/>
          <w:b/>
          <w:bCs w:val="0"/>
          <w:sz w:val="24"/>
          <w:szCs w:val="24"/>
          <w:highlight w:val="none"/>
          <w:lang w:eastAsia="zh-CN"/>
        </w:rPr>
        <w:t>②</w:t>
      </w:r>
      <w:r>
        <w:rPr>
          <w:rFonts w:hint="eastAsia" w:ascii="宋体" w:hAnsi="宋体" w:eastAsia="宋体" w:cs="宋体"/>
          <w:b/>
          <w:bCs w:val="0"/>
          <w:kern w:val="1"/>
          <w:sz w:val="24"/>
          <w:szCs w:val="24"/>
          <w:highlight w:val="none"/>
        </w:rPr>
        <w:t>开标时须提供资质原件并将复印件做入投标文件。</w:t>
      </w:r>
    </w:p>
    <w:p>
      <w:pPr>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val="0"/>
          <w:highlight w:val="none"/>
        </w:rPr>
      </w:pPr>
      <w:r>
        <w:rPr>
          <w:rFonts w:hint="eastAsia" w:ascii="宋体" w:hAnsi="宋体" w:cs="宋体"/>
          <w:b/>
          <w:bCs w:val="0"/>
          <w:sz w:val="24"/>
          <w:szCs w:val="24"/>
          <w:highlight w:val="none"/>
          <w:lang w:eastAsia="zh-CN"/>
        </w:rPr>
        <w:t>③</w:t>
      </w:r>
      <w:r>
        <w:rPr>
          <w:rFonts w:hint="eastAsia" w:ascii="宋体" w:hAnsi="宋体" w:eastAsia="宋体" w:cs="宋体"/>
          <w:b/>
          <w:bCs w:val="0"/>
          <w:kern w:val="1"/>
          <w:sz w:val="24"/>
          <w:szCs w:val="24"/>
          <w:highlight w:val="none"/>
        </w:rPr>
        <w:t>现有场地经营期限截止于2019年12月31日（含）以后。（自有场地的，需提供产权证明；租赁场地的，需提供租赁合同。）以上均需提供原件，复印件加盖公章放到投标文件中。</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kern w:val="1"/>
          <w:sz w:val="24"/>
          <w:szCs w:val="24"/>
          <w:highlight w:val="none"/>
        </w:rPr>
      </w:pPr>
      <w:r>
        <w:rPr>
          <w:rFonts w:hint="eastAsia" w:ascii="宋体" w:hAnsi="宋体" w:eastAsia="宋体" w:cs="宋体"/>
          <w:b/>
          <w:kern w:val="1"/>
          <w:sz w:val="24"/>
          <w:szCs w:val="24"/>
          <w:highlight w:val="none"/>
        </w:rPr>
        <w:t>（2）人员及授权要求</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rPr>
        <w:t>①提供投标单位服务团队的从业人员资格证书及数量，其岗位设置及人员数量应符合相应资质要求，各工种技术工人必须经专业培训、持证上岗。须详细列出专业人员名单、资格证书等情况（复印件加盖公章放投标文件中）。</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val="0"/>
          <w:kern w:val="1"/>
          <w:sz w:val="24"/>
          <w:szCs w:val="24"/>
          <w:highlight w:val="none"/>
        </w:rPr>
      </w:pPr>
      <w:r>
        <w:rPr>
          <w:rFonts w:hint="eastAsia" w:ascii="宋体" w:hAnsi="宋体" w:eastAsia="宋体" w:cs="宋体"/>
          <w:b/>
          <w:bCs w:val="0"/>
          <w:kern w:val="1"/>
          <w:sz w:val="24"/>
          <w:szCs w:val="24"/>
          <w:highlight w:val="none"/>
        </w:rPr>
        <w:t>注：开标现场提交原件，复印件加盖公章放到投标文件中。</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（3）服务标准、要求：</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rPr>
        <w:t>①入围单位严格按国家规定的经营范围搞好车辆维修服务，杜绝不良行为。</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rPr>
        <w:t>②入围单位严格履行各项服务承诺，保存好所有的维修单据、更换的旧汽车配件等与招标人车辆维修有关的相关资料，随时接受招标人及相关单位的监督、检查。一经发现有车辆维修单位投诉或不按协议规定违规操作的，将取消入围资格，给招标人造成损失的，招标人有权要求入围单位赔偿，赔偿的范围包括但不限于因维保造成的损失、诉讼费、律师代理费、鉴定费等。</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rPr>
        <w:t>③入围单位必须按照《商品和服务实行明码标价的规定》，认真作好维修、配件价格，及其施救、牵引等服务收费的明码标价工作，在醒目位置公示服务承诺、投诉电话，严格按照招标人要求上报车辆维修资料。</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1"/>
          <w:sz w:val="24"/>
          <w:szCs w:val="24"/>
          <w:highlight w:val="none"/>
          <w:shd w:val="clear" w:color="auto" w:fill="D9D9D9"/>
        </w:rPr>
      </w:pPr>
      <w:r>
        <w:rPr>
          <w:rFonts w:hint="eastAsia" w:ascii="宋体" w:hAnsi="宋体" w:eastAsia="宋体" w:cs="宋体"/>
          <w:kern w:val="1"/>
          <w:sz w:val="24"/>
          <w:szCs w:val="24"/>
          <w:highlight w:val="none"/>
        </w:rPr>
        <w:t>④入围单位保证配件及材料符合国家或行业标准且为原厂产品的全新配件，不得以次充好，配件价格不得随意加价并按招标人要求提供相关证明。</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rPr>
        <w:t>⑤入围单位妥善保管好更换的旧件，出厂时交送修方处理，未经招标人所属送修方同意不得擅自丢弃。对可以维修的部件，不得以换代修（送修方有书面要求的除外）；不得与任何人串通，虚假修车或虚报维修项目。</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kern w:val="1"/>
          <w:sz w:val="24"/>
          <w:szCs w:val="24"/>
          <w:highlight w:val="none"/>
        </w:rPr>
        <w:t>⑥入围单位设置车辆维修专门接待柜台，有专人提供从接车到验车出厂的全过程优先服务，并配合招标人为送修的车辆分车建立维修档案，记录维修次数、维修内容、金额等数据，</w:t>
      </w:r>
      <w:r>
        <w:rPr>
          <w:rFonts w:hint="eastAsia" w:ascii="宋体" w:hAnsi="宋体" w:eastAsia="宋体" w:cs="宋体"/>
          <w:b/>
          <w:kern w:val="1"/>
          <w:sz w:val="24"/>
          <w:szCs w:val="24"/>
          <w:highlight w:val="none"/>
        </w:rPr>
        <w:t>每月上报当月维修费用及维修情况报告。</w:t>
      </w:r>
      <w:r>
        <w:rPr>
          <w:rFonts w:hint="eastAsia" w:ascii="宋体" w:hAnsi="宋体" w:eastAsia="宋体" w:cs="宋体"/>
          <w:b/>
          <w:sz w:val="24"/>
          <w:szCs w:val="24"/>
          <w:highlight w:val="none"/>
        </w:rPr>
        <w:t>维修服务完成后，入围单位须提供标准的明细单，维修档案都要保留，纸质的要保留三年以上。</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rPr>
        <w:t>⑦电话预约、上门服务、急修快修，遇有紧急情况立即响应，做到</w:t>
      </w:r>
      <w:r>
        <w:rPr>
          <w:rFonts w:hint="eastAsia" w:ascii="宋体" w:hAnsi="宋体" w:cs="宋体"/>
          <w:b/>
          <w:bCs/>
          <w:color w:val="000000" w:themeColor="text1"/>
          <w:kern w:val="1"/>
          <w:sz w:val="24"/>
          <w:szCs w:val="24"/>
          <w:highlight w:val="none"/>
          <w:lang w:val="en-US" w:eastAsia="zh-CN"/>
          <w14:textFill>
            <w14:solidFill>
              <w14:schemeClr w14:val="tx1"/>
            </w14:solidFill>
          </w14:textFill>
        </w:rPr>
        <w:t>30</w:t>
      </w:r>
      <w:r>
        <w:rPr>
          <w:rFonts w:hint="eastAsia" w:ascii="宋体" w:hAnsi="宋体" w:eastAsia="宋体" w:cs="宋体"/>
          <w:b/>
          <w:bCs/>
          <w:color w:val="000000" w:themeColor="text1"/>
          <w:kern w:val="1"/>
          <w:sz w:val="24"/>
          <w:szCs w:val="24"/>
          <w:highlight w:val="none"/>
          <w14:textFill>
            <w14:solidFill>
              <w14:schemeClr w14:val="tx1"/>
            </w14:solidFill>
          </w14:textFill>
        </w:rPr>
        <w:t>分钟内</w:t>
      </w:r>
      <w:r>
        <w:rPr>
          <w:rFonts w:hint="eastAsia" w:ascii="宋体" w:hAnsi="宋体" w:eastAsia="宋体" w:cs="宋体"/>
          <w:kern w:val="1"/>
          <w:sz w:val="24"/>
          <w:szCs w:val="24"/>
          <w:highlight w:val="none"/>
        </w:rPr>
        <w:t>到现场，免费救援、免费拖车（如需招标人提供拖车服务，其费用在维修费中扣减，其费用按国家相关标准执行）等服务。</w:t>
      </w:r>
    </w:p>
    <w:p>
      <w:pPr>
        <w:pageBreakBefore w:val="0"/>
        <w:widowControl w:val="0"/>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b/>
          <w:kern w:val="1"/>
          <w:sz w:val="24"/>
          <w:szCs w:val="24"/>
          <w:highlight w:val="none"/>
        </w:rPr>
      </w:pPr>
      <w:r>
        <w:rPr>
          <w:rFonts w:hint="eastAsia" w:ascii="宋体" w:hAnsi="宋体" w:eastAsia="宋体" w:cs="宋体"/>
          <w:b/>
          <w:kern w:val="1"/>
          <w:sz w:val="24"/>
          <w:szCs w:val="24"/>
          <w:highlight w:val="none"/>
        </w:rPr>
        <w:t>要求入围单位在</w:t>
      </w:r>
      <w:r>
        <w:rPr>
          <w:rFonts w:hint="eastAsia" w:ascii="宋体" w:hAnsi="宋体" w:cs="宋体"/>
          <w:b/>
          <w:kern w:val="1"/>
          <w:sz w:val="24"/>
          <w:highlight w:val="none"/>
        </w:rPr>
        <w:t>济南市区域内（含各区县）</w:t>
      </w:r>
      <w:r>
        <w:rPr>
          <w:rFonts w:hint="eastAsia" w:ascii="宋体" w:hAnsi="宋体" w:eastAsia="宋体" w:cs="宋体"/>
          <w:b/>
          <w:kern w:val="1"/>
          <w:sz w:val="24"/>
          <w:szCs w:val="24"/>
          <w:highlight w:val="none"/>
        </w:rPr>
        <w:t>具有昼夜随时响应并随行提供保障维修服务的能力。</w:t>
      </w:r>
    </w:p>
    <w:p>
      <w:pPr>
        <w:pageBreakBefore w:val="0"/>
        <w:widowControl w:val="0"/>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b/>
          <w:kern w:val="1"/>
          <w:sz w:val="24"/>
          <w:szCs w:val="24"/>
          <w:highlight w:val="none"/>
        </w:rPr>
      </w:pPr>
      <w:r>
        <w:rPr>
          <w:rFonts w:hint="eastAsia" w:ascii="宋体" w:hAnsi="宋体" w:eastAsia="宋体" w:cs="宋体"/>
          <w:b/>
          <w:kern w:val="1"/>
          <w:sz w:val="24"/>
          <w:szCs w:val="24"/>
          <w:highlight w:val="none"/>
        </w:rPr>
        <w:t>日常工作时，须保证优先提供维修服务并配合招标人提供定期上门巡检、维修、保障等服务。</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rPr>
        <w:t>⑧入围单位更换负责人或联系人及对外挂牌价格如有变动，应及时向招标人备案。</w:t>
      </w:r>
    </w:p>
    <w:p>
      <w:pPr>
        <w:pStyle w:val="19"/>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⑨招标人不承诺入围单位均有承接维修保障业务的机会。</w:t>
      </w:r>
    </w:p>
    <w:p>
      <w:pPr>
        <w:pStyle w:val="19"/>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（4）服务验收标准</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rPr>
        <w:t>1、入围单位保证对所修车辆随到随修，普通故障立即排除，二级维护不应超过24小时，总成大修不超过十日，整车大修不超过二十日，整车喷漆不超过十五日。质保期最低要求：大修20000公里或一年、二级维护5000公里或6个月、一级维护、小修3000公里或30天，质保期中行驶里程和日期指标,以先达到者为准。</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1"/>
          <w:sz w:val="24"/>
          <w:szCs w:val="24"/>
          <w:highlight w:val="none"/>
          <w:shd w:val="clear" w:color="auto" w:fill="D9D9D9"/>
        </w:rPr>
      </w:pPr>
      <w:r>
        <w:rPr>
          <w:rFonts w:hint="eastAsia" w:ascii="宋体" w:hAnsi="宋体" w:eastAsia="宋体" w:cs="宋体"/>
          <w:kern w:val="1"/>
          <w:sz w:val="24"/>
          <w:szCs w:val="24"/>
          <w:highlight w:val="none"/>
        </w:rPr>
        <w:t>2、入围单位应对交接前的完工车辆，按完工出厂技术要求进行检查和检验，经检验合格后方能出厂，确保车辆安全。对维修竣工出厂的车辆，在质保期内出现同一故障的，定点维修企业应无条件免费返工，质保期从返工之日起重新计算，直至质保期内无问题出现为止。</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1"/>
          <w:sz w:val="24"/>
          <w:szCs w:val="24"/>
          <w:highlight w:val="none"/>
          <w:shd w:val="clear" w:color="auto" w:fill="D9D9D9"/>
        </w:rPr>
      </w:pPr>
      <w:r>
        <w:rPr>
          <w:rFonts w:hint="eastAsia" w:ascii="宋体" w:hAnsi="宋体" w:eastAsia="宋体" w:cs="宋体"/>
          <w:kern w:val="1"/>
          <w:sz w:val="24"/>
          <w:szCs w:val="24"/>
          <w:highlight w:val="none"/>
        </w:rPr>
        <w:t>3、车辆因同一故障或同一维修项目经2次维修仍不能正常使用的，经招标人批准后才可转厂送修，入围单位承担相应维修费用，质保期从返工之日起重新计算，直至质保期内无问题出现为止。</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rPr>
        <w:t>4、对因维修质量造成的机械事故和经济损失，由入围单位承担全部责任并按相应的国家标准进行赔偿，并取消中标资格。</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（5）其它要求</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1"/>
          <w:sz w:val="24"/>
          <w:szCs w:val="24"/>
          <w:highlight w:val="none"/>
        </w:rPr>
      </w:pPr>
      <w:r>
        <w:rPr>
          <w:rFonts w:hint="eastAsia" w:ascii="宋体" w:hAnsi="宋体" w:eastAsia="宋体" w:cs="宋体"/>
          <w:b/>
          <w:bCs/>
          <w:kern w:val="1"/>
          <w:sz w:val="24"/>
          <w:szCs w:val="24"/>
          <w:highlight w:val="none"/>
        </w:rPr>
        <w:t>入围单位在服务期内，如发生下列情况将取消其定点资格：</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1"/>
          <w:sz w:val="24"/>
          <w:szCs w:val="24"/>
          <w:highlight w:val="none"/>
          <w:shd w:val="clear" w:color="auto" w:fill="D9D9D9"/>
        </w:rPr>
      </w:pPr>
      <w:r>
        <w:rPr>
          <w:rFonts w:hint="eastAsia" w:ascii="宋体" w:hAnsi="宋体" w:eastAsia="宋体" w:cs="宋体"/>
          <w:kern w:val="1"/>
          <w:sz w:val="24"/>
          <w:szCs w:val="24"/>
          <w:highlight w:val="none"/>
          <w:lang w:eastAsia="zh-CN"/>
        </w:rPr>
        <w:t>①</w:t>
      </w:r>
      <w:r>
        <w:rPr>
          <w:rFonts w:hint="eastAsia" w:ascii="宋体" w:hAnsi="宋体" w:eastAsia="宋体" w:cs="宋体"/>
          <w:kern w:val="1"/>
          <w:sz w:val="24"/>
          <w:szCs w:val="24"/>
          <w:highlight w:val="none"/>
        </w:rPr>
        <w:t>夸大虚报或没有及时上报调整价格而造成维修价格提高的；</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lang w:eastAsia="zh-CN"/>
        </w:rPr>
        <w:t>②</w:t>
      </w:r>
      <w:r>
        <w:rPr>
          <w:rFonts w:hint="eastAsia" w:ascii="宋体" w:hAnsi="宋体" w:eastAsia="宋体" w:cs="宋体"/>
          <w:kern w:val="1"/>
          <w:sz w:val="24"/>
          <w:szCs w:val="24"/>
          <w:highlight w:val="none"/>
        </w:rPr>
        <w:t>不履行协议所做出的价格优惠折扣和售后服务承诺的；</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lang w:eastAsia="zh-CN"/>
        </w:rPr>
        <w:t>③</w:t>
      </w:r>
      <w:r>
        <w:rPr>
          <w:rFonts w:hint="eastAsia" w:ascii="宋体" w:hAnsi="宋体" w:eastAsia="宋体" w:cs="宋体"/>
          <w:kern w:val="1"/>
          <w:sz w:val="24"/>
          <w:szCs w:val="24"/>
          <w:highlight w:val="none"/>
        </w:rPr>
        <w:t>使用假冒伪劣产品作为配件的；</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lang w:eastAsia="zh-CN"/>
        </w:rPr>
        <w:t>④</w:t>
      </w:r>
      <w:r>
        <w:rPr>
          <w:rFonts w:hint="eastAsia" w:ascii="宋体" w:hAnsi="宋体" w:eastAsia="宋体" w:cs="宋体"/>
          <w:kern w:val="1"/>
          <w:sz w:val="24"/>
          <w:szCs w:val="24"/>
          <w:highlight w:val="none"/>
        </w:rPr>
        <w:t>招标人所属送修单位有质量及售后服务的有效投诉1次以上（含1次）的；</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lang w:eastAsia="zh-CN"/>
        </w:rPr>
        <w:t>⑤</w:t>
      </w:r>
      <w:r>
        <w:rPr>
          <w:rFonts w:hint="eastAsia" w:ascii="宋体" w:hAnsi="宋体" w:eastAsia="宋体" w:cs="宋体"/>
          <w:kern w:val="1"/>
          <w:sz w:val="24"/>
          <w:szCs w:val="24"/>
          <w:highlight w:val="none"/>
        </w:rPr>
        <w:t>出现重大维修质量责任事故，被行业管理部门安全服务质量考核确定为不合格的；</w:t>
      </w:r>
    </w:p>
    <w:p>
      <w:pPr>
        <w:pStyle w:val="19"/>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⑥</w:t>
      </w:r>
      <w:r>
        <w:rPr>
          <w:rFonts w:hint="eastAsia" w:ascii="宋体" w:hAnsi="宋体" w:eastAsia="宋体" w:cs="宋体"/>
          <w:sz w:val="24"/>
          <w:szCs w:val="24"/>
          <w:highlight w:val="none"/>
        </w:rPr>
        <w:t>对紧急维修业务没有正当理由不能及时响应的次数超过1次的；</w:t>
      </w:r>
    </w:p>
    <w:p>
      <w:pPr>
        <w:pStyle w:val="19"/>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⑦</w:t>
      </w:r>
      <w:r>
        <w:rPr>
          <w:rFonts w:hint="eastAsia" w:ascii="宋体" w:hAnsi="宋体" w:eastAsia="宋体" w:cs="宋体"/>
          <w:sz w:val="24"/>
          <w:szCs w:val="24"/>
          <w:highlight w:val="none"/>
        </w:rPr>
        <w:t>其他违反国家法律、法规规定、地方规章、部门规章及消防部门相关规定给招标人造成损失或其他不利社会影响的。</w:t>
      </w:r>
    </w:p>
    <w:p>
      <w:pPr>
        <w:pStyle w:val="19"/>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kern w:val="1"/>
          <w:sz w:val="24"/>
          <w:szCs w:val="24"/>
          <w:highlight w:val="none"/>
        </w:rPr>
      </w:pPr>
      <w:r>
        <w:rPr>
          <w:rFonts w:hint="eastAsia" w:ascii="宋体" w:hAnsi="宋体" w:eastAsia="宋体" w:cs="宋体"/>
          <w:b/>
          <w:bCs/>
          <w:kern w:val="1"/>
          <w:sz w:val="24"/>
          <w:szCs w:val="24"/>
          <w:highlight w:val="none"/>
        </w:rPr>
        <w:t>项目风险承担：</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lang w:eastAsia="zh-CN"/>
        </w:rPr>
        <w:t>①</w:t>
      </w:r>
      <w:r>
        <w:rPr>
          <w:rFonts w:hint="eastAsia" w:ascii="宋体" w:hAnsi="宋体" w:eastAsia="宋体" w:cs="宋体"/>
          <w:kern w:val="1"/>
          <w:sz w:val="24"/>
          <w:szCs w:val="24"/>
          <w:highlight w:val="none"/>
        </w:rPr>
        <w:t>入围单位的服务人员在执行服务中造成自身或他人人身伤亡、财产损失的，由入围单位自行负责处理。</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lang w:eastAsia="zh-CN"/>
        </w:rPr>
        <w:t>②</w:t>
      </w:r>
      <w:r>
        <w:rPr>
          <w:rFonts w:hint="eastAsia" w:ascii="宋体" w:hAnsi="宋体" w:eastAsia="宋体" w:cs="宋体"/>
          <w:kern w:val="1"/>
          <w:sz w:val="24"/>
          <w:szCs w:val="24"/>
          <w:highlight w:val="none"/>
        </w:rPr>
        <w:t>入围单位在服务期限内违反国家相关法律法规，均由入围单位负责处理，招标人不予承担任何责任。</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lang w:eastAsia="zh-CN"/>
        </w:rPr>
        <w:t>③</w:t>
      </w:r>
      <w:r>
        <w:rPr>
          <w:rFonts w:hint="eastAsia" w:ascii="宋体" w:hAnsi="宋体" w:eastAsia="宋体" w:cs="宋体"/>
          <w:kern w:val="1"/>
          <w:sz w:val="24"/>
          <w:szCs w:val="24"/>
          <w:highlight w:val="none"/>
        </w:rPr>
        <w:t>入围单位须严格遵守《劳动法》与员工签订劳务合同，按时支付员工工资、加班费、缴纳社保、发放劳保等福利，员工工资不得低于国家最新公布的最低标准，且应办理相关保险。</w:t>
      </w:r>
    </w:p>
    <w:p>
      <w:pPr>
        <w:pageBreakBefore w:val="0"/>
        <w:widowControl w:val="0"/>
        <w:numPr>
          <w:ilvl w:val="0"/>
          <w:numId w:val="4"/>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预算、</w:t>
      </w:r>
      <w:r>
        <w:rPr>
          <w:rFonts w:hint="eastAsia" w:ascii="宋体" w:hAnsi="宋体" w:eastAsia="宋体" w:cs="宋体"/>
          <w:b/>
          <w:sz w:val="24"/>
          <w:szCs w:val="24"/>
          <w:highlight w:val="none"/>
        </w:rPr>
        <w:t>对账及付款方式：</w:t>
      </w:r>
    </w:p>
    <w:p>
      <w:pPr>
        <w:pStyle w:val="28"/>
        <w:numPr>
          <w:ilvl w:val="0"/>
          <w:numId w:val="0"/>
        </w:numP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①预算：年预算</w:t>
      </w:r>
      <w:r>
        <w:rPr>
          <w:rFonts w:hint="eastAsia" w:ascii="宋体" w:hAnsi="宋体" w:cs="宋体"/>
          <w:kern w:val="2"/>
          <w:sz w:val="24"/>
          <w:szCs w:val="24"/>
          <w:highlight w:val="none"/>
          <w:lang w:val="en-US" w:eastAsia="zh-CN" w:bidi="ar-SA"/>
        </w:rPr>
        <w:t>10</w:t>
      </w:r>
      <w:r>
        <w:rPr>
          <w:rFonts w:hint="eastAsia" w:ascii="宋体" w:hAnsi="宋体" w:eastAsia="宋体" w:cs="宋体"/>
          <w:kern w:val="2"/>
          <w:sz w:val="24"/>
          <w:szCs w:val="24"/>
          <w:highlight w:val="none"/>
          <w:lang w:val="en-US" w:eastAsia="zh-CN" w:bidi="ar-SA"/>
        </w:rPr>
        <w:t>万元</w:t>
      </w:r>
      <w:r>
        <w:rPr>
          <w:rFonts w:hint="eastAsia" w:ascii="宋体" w:hAnsi="宋体" w:cs="宋体"/>
          <w:kern w:val="2"/>
          <w:sz w:val="24"/>
          <w:szCs w:val="24"/>
          <w:highlight w:val="none"/>
          <w:lang w:val="en-US" w:eastAsia="zh-CN" w:bidi="ar-SA"/>
        </w:rPr>
        <w:t>。</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②</w:t>
      </w:r>
      <w:r>
        <w:rPr>
          <w:rFonts w:hint="eastAsia" w:ascii="宋体" w:hAnsi="宋体" w:eastAsia="宋体" w:cs="宋体"/>
          <w:sz w:val="24"/>
          <w:szCs w:val="24"/>
          <w:highlight w:val="none"/>
        </w:rPr>
        <w:t xml:space="preserve">对账：服务费用支付采取先使用，后结算的方式，按实际发生数量结算。双方以自然月为对账周期，入围单位每月5号前提供上月对账单(如当天遇国家法定节假日、休息日的可顺延至节假日、休息日后的第一个工作日)，否则以招标人具体使用部门的账目为准。（对账单格式由招标人确定） </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③</w:t>
      </w:r>
      <w:r>
        <w:rPr>
          <w:rFonts w:hint="eastAsia" w:ascii="宋体" w:hAnsi="宋体" w:eastAsia="宋体" w:cs="宋体"/>
          <w:sz w:val="24"/>
          <w:szCs w:val="24"/>
          <w:highlight w:val="none"/>
        </w:rPr>
        <w:t>付款方式：经双方对账确认后，招标人每季度最后一个工作日前以银行网银转账的方式支付入围单位维修费用至基本帐户。付款前，入围单位需提供所付货款的正规机打发票和维修详单。</w:t>
      </w:r>
    </w:p>
    <w:p>
      <w:pPr>
        <w:pageBreakBefore w:val="0"/>
        <w:widowControl w:val="0"/>
        <w:numPr>
          <w:ilvl w:val="0"/>
          <w:numId w:val="5"/>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服务期:</w:t>
      </w:r>
    </w:p>
    <w:p>
      <w:pPr>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b/>
          <w:sz w:val="24"/>
          <w:szCs w:val="24"/>
          <w:highlight w:val="none"/>
          <w:lang w:eastAsia="zh-CN"/>
        </w:rPr>
      </w:pPr>
      <w:r>
        <w:rPr>
          <w:rFonts w:hint="eastAsia" w:ascii="宋体" w:hAnsi="宋体" w:eastAsia="宋体" w:cs="宋体"/>
          <w:b/>
          <w:sz w:val="24"/>
          <w:szCs w:val="24"/>
          <w:highlight w:val="none"/>
        </w:rPr>
        <w:t>本次招标的入围服务期为一年，自合同签订之日起12个月。</w:t>
      </w:r>
      <w:r>
        <w:rPr>
          <w:rFonts w:hint="eastAsia" w:ascii="宋体" w:hAnsi="宋体" w:cs="宋体"/>
          <w:b/>
          <w:sz w:val="24"/>
          <w:szCs w:val="24"/>
          <w:highlight w:val="none"/>
          <w:lang w:eastAsia="zh-CN"/>
        </w:rPr>
        <w:t>（或自合同签订后根据实际项目情况审批预算费用已用完，则服务期限结束。）</w:t>
      </w:r>
    </w:p>
    <w:p>
      <w:pPr>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服务有效期满，招标人可根据服务情况，决定是否续约。如续约的，双方应另行签订合同。</w:t>
      </w:r>
    </w:p>
    <w:p>
      <w:pPr>
        <w:pStyle w:val="28"/>
        <w:numPr>
          <w:ilvl w:val="0"/>
          <w:numId w:val="5"/>
        </w:numPr>
        <w:ind w:left="0" w:leftChars="0" w:firstLine="0" w:firstLineChars="0"/>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服务地点：章丘区消防大队驻地及刁镇消防中队驻地。</w:t>
      </w: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9</w:t>
      </w:r>
      <w:r>
        <w:rPr>
          <w:rFonts w:hint="eastAsia" w:ascii="宋体" w:hAnsi="宋体" w:eastAsia="宋体" w:cs="宋体"/>
          <w:b/>
          <w:sz w:val="24"/>
          <w:szCs w:val="24"/>
          <w:highlight w:val="none"/>
        </w:rPr>
        <w:t>）选用方式：</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color w:val="FF0000"/>
          <w:sz w:val="24"/>
          <w:szCs w:val="24"/>
          <w:highlight w:val="none"/>
          <w:shd w:val="clear" w:color="auto" w:fill="D9D9D9"/>
        </w:rPr>
      </w:pPr>
      <w:r>
        <w:rPr>
          <w:rFonts w:hint="eastAsia" w:ascii="宋体" w:hAnsi="宋体" w:eastAsia="宋体" w:cs="宋体"/>
          <w:kern w:val="1"/>
          <w:sz w:val="24"/>
          <w:szCs w:val="24"/>
          <w:highlight w:val="none"/>
        </w:rPr>
        <w:t>实际发生维修业务时，</w:t>
      </w:r>
      <w:r>
        <w:rPr>
          <w:rFonts w:hint="eastAsia" w:ascii="宋体" w:hAnsi="宋体" w:cs="宋体"/>
          <w:kern w:val="1"/>
          <w:sz w:val="24"/>
          <w:szCs w:val="24"/>
          <w:highlight w:val="none"/>
          <w:lang w:eastAsia="zh-CN"/>
        </w:rPr>
        <w:t>单车</w:t>
      </w:r>
      <w:r>
        <w:rPr>
          <w:rFonts w:hint="eastAsia" w:ascii="宋体" w:hAnsi="宋体" w:eastAsia="宋体" w:cs="宋体"/>
          <w:kern w:val="1"/>
          <w:sz w:val="24"/>
          <w:szCs w:val="24"/>
          <w:highlight w:val="none"/>
        </w:rPr>
        <w:t>单次维修金额</w:t>
      </w:r>
      <w:r>
        <w:rPr>
          <w:rFonts w:hint="eastAsia" w:ascii="宋体" w:hAnsi="宋体" w:cs="宋体"/>
          <w:b/>
          <w:kern w:val="1"/>
          <w:sz w:val="24"/>
          <w:szCs w:val="24"/>
          <w:highlight w:val="none"/>
          <w:lang w:val="en-US" w:eastAsia="zh-CN"/>
        </w:rPr>
        <w:t>3000</w:t>
      </w:r>
      <w:r>
        <w:rPr>
          <w:rFonts w:hint="eastAsia" w:ascii="宋体" w:hAnsi="宋体" w:eastAsia="宋体" w:cs="宋体"/>
          <w:b/>
          <w:kern w:val="1"/>
          <w:sz w:val="24"/>
          <w:szCs w:val="24"/>
          <w:highlight w:val="none"/>
        </w:rPr>
        <w:t>元以下的</w:t>
      </w:r>
      <w:r>
        <w:rPr>
          <w:rFonts w:hint="eastAsia" w:ascii="宋体" w:hAnsi="宋体" w:eastAsia="宋体" w:cs="宋体"/>
          <w:kern w:val="1"/>
          <w:sz w:val="24"/>
          <w:szCs w:val="24"/>
          <w:highlight w:val="none"/>
        </w:rPr>
        <w:t>，由招标人直接选取定点维修企业；单次维修</w:t>
      </w:r>
      <w:r>
        <w:rPr>
          <w:rFonts w:hint="eastAsia" w:ascii="宋体" w:hAnsi="宋体" w:cs="宋体"/>
          <w:kern w:val="1"/>
          <w:sz w:val="24"/>
          <w:szCs w:val="24"/>
          <w:highlight w:val="none"/>
          <w:lang w:val="en-US" w:eastAsia="zh-CN"/>
        </w:rPr>
        <w:t>3000</w:t>
      </w:r>
      <w:r>
        <w:rPr>
          <w:rFonts w:hint="eastAsia" w:ascii="宋体" w:hAnsi="宋体" w:eastAsia="宋体" w:cs="宋体"/>
          <w:kern w:val="1"/>
          <w:sz w:val="24"/>
          <w:szCs w:val="24"/>
          <w:highlight w:val="none"/>
        </w:rPr>
        <w:t>元以上，</w:t>
      </w:r>
      <w:r>
        <w:rPr>
          <w:rFonts w:hint="eastAsia" w:ascii="宋体" w:hAnsi="宋体" w:eastAsia="宋体" w:cs="宋体"/>
          <w:b/>
          <w:kern w:val="1"/>
          <w:sz w:val="24"/>
          <w:szCs w:val="24"/>
          <w:highlight w:val="none"/>
        </w:rPr>
        <w:t>15万元以下的</w:t>
      </w:r>
      <w:r>
        <w:rPr>
          <w:rFonts w:hint="eastAsia" w:ascii="宋体" w:hAnsi="宋体" w:eastAsia="宋体" w:cs="宋体"/>
          <w:kern w:val="1"/>
          <w:sz w:val="24"/>
          <w:szCs w:val="24"/>
          <w:highlight w:val="none"/>
        </w:rPr>
        <w:t>由招标人组织全体定点维修企业进行二次竞价，同等服务条件下价格最低者优先选用。发生紧急维修业务的，由招标人直接指定维修单位至指定地点。</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kern w:val="1"/>
          <w:sz w:val="24"/>
          <w:szCs w:val="24"/>
          <w:highlight w:val="none"/>
        </w:rPr>
      </w:pPr>
      <w:r>
        <w:rPr>
          <w:rFonts w:hint="eastAsia" w:ascii="宋体" w:hAnsi="宋体" w:eastAsia="宋体" w:cs="宋体"/>
          <w:b/>
          <w:kern w:val="1"/>
          <w:sz w:val="24"/>
          <w:szCs w:val="24"/>
          <w:highlight w:val="none"/>
          <w:lang w:eastAsia="zh-CN"/>
        </w:rPr>
        <w:t>三</w:t>
      </w:r>
      <w:r>
        <w:rPr>
          <w:rFonts w:hint="eastAsia" w:ascii="宋体" w:hAnsi="宋体" w:eastAsia="宋体" w:cs="宋体"/>
          <w:b/>
          <w:kern w:val="1"/>
          <w:sz w:val="24"/>
          <w:szCs w:val="24"/>
          <w:highlight w:val="none"/>
        </w:rPr>
        <w:t>、报价说明及要求</w:t>
      </w:r>
    </w:p>
    <w:p>
      <w:pPr>
        <w:pageBreakBefore w:val="0"/>
        <w:widowControl w:val="0"/>
        <w:kinsoku/>
        <w:wordWrap/>
        <w:overflowPunct/>
        <w:topLinePunct w:val="0"/>
        <w:autoSpaceDE/>
        <w:autoSpaceDN/>
        <w:bidi w:val="0"/>
        <w:adjustRightInd/>
        <w:snapToGrid/>
        <w:spacing w:line="360" w:lineRule="auto"/>
        <w:ind w:firstLine="120"/>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（一）维修费用组成</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rPr>
        <w:t>本次采购的维修费用应包括工时费和配件费,即：</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rPr>
        <w:t>车辆维修费用=工时费+配件费。</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rPr>
        <w:t>工时费计算公式：工时费=工时定额*工时单价</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1"/>
          <w:sz w:val="24"/>
          <w:szCs w:val="24"/>
          <w:highlight w:val="none"/>
        </w:rPr>
      </w:pPr>
      <w:r>
        <w:rPr>
          <w:rFonts w:hint="eastAsia" w:ascii="宋体" w:hAnsi="宋体" w:eastAsia="宋体" w:cs="宋体"/>
          <w:b w:val="0"/>
          <w:bCs/>
          <w:sz w:val="24"/>
          <w:szCs w:val="24"/>
          <w:highlight w:val="none"/>
        </w:rPr>
        <w:t>配件费计算公式：</w:t>
      </w:r>
      <w:r>
        <w:rPr>
          <w:rFonts w:hint="eastAsia" w:ascii="宋体" w:hAnsi="宋体" w:eastAsia="宋体" w:cs="宋体"/>
          <w:b w:val="0"/>
          <w:bCs/>
          <w:kern w:val="1"/>
          <w:sz w:val="24"/>
          <w:szCs w:val="24"/>
          <w:highlight w:val="none"/>
        </w:rPr>
        <w:t>配</w:t>
      </w:r>
      <w:r>
        <w:rPr>
          <w:rFonts w:hint="eastAsia" w:ascii="宋体" w:hAnsi="宋体" w:eastAsia="宋体" w:cs="宋体"/>
          <w:kern w:val="1"/>
          <w:sz w:val="24"/>
          <w:szCs w:val="24"/>
          <w:highlight w:val="none"/>
        </w:rPr>
        <w:t>件费=配件价格*（1+加价率）。</w:t>
      </w:r>
    </w:p>
    <w:p>
      <w:pPr>
        <w:pageBreakBefore w:val="0"/>
        <w:widowControl w:val="0"/>
        <w:kinsoku/>
        <w:wordWrap/>
        <w:overflowPunct/>
        <w:topLinePunct w:val="0"/>
        <w:autoSpaceDE/>
        <w:autoSpaceDN/>
        <w:bidi w:val="0"/>
        <w:adjustRightInd/>
        <w:snapToGrid/>
        <w:spacing w:line="360" w:lineRule="auto"/>
        <w:ind w:firstLine="120"/>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（二）报价说明及要求</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1"/>
          <w:sz w:val="24"/>
          <w:szCs w:val="24"/>
          <w:highlight w:val="none"/>
        </w:rPr>
      </w:pPr>
      <w:r>
        <w:rPr>
          <w:rFonts w:hint="eastAsia" w:ascii="宋体" w:hAnsi="宋体" w:cs="宋体"/>
          <w:kern w:val="1"/>
          <w:sz w:val="24"/>
          <w:szCs w:val="24"/>
          <w:highlight w:val="none"/>
          <w:lang w:val="en-US" w:eastAsia="zh-CN"/>
        </w:rPr>
        <w:t>1、</w:t>
      </w:r>
      <w:r>
        <w:rPr>
          <w:rFonts w:hint="eastAsia" w:ascii="宋体" w:hAnsi="宋体" w:eastAsia="宋体" w:cs="宋体"/>
          <w:kern w:val="1"/>
          <w:sz w:val="24"/>
          <w:szCs w:val="24"/>
          <w:highlight w:val="none"/>
        </w:rPr>
        <w:t>定点维修企业按照结合市场价格和自身情况竞报工时费、配件费。</w:t>
      </w:r>
    </w:p>
    <w:p>
      <w:pPr>
        <w:pStyle w:val="28"/>
        <w:rPr>
          <w:rFonts w:hint="default" w:eastAsia="宋体"/>
          <w:highlight w:val="none"/>
          <w:vertAlign w:val="baseline"/>
          <w:lang w:val="en-US" w:eastAsia="zh-CN"/>
        </w:rPr>
      </w:pPr>
      <w:r>
        <w:rPr>
          <w:rFonts w:hint="eastAsia" w:ascii="宋体" w:hAnsi="宋体" w:cs="宋体"/>
          <w:kern w:val="1"/>
          <w:sz w:val="24"/>
          <w:szCs w:val="24"/>
          <w:highlight w:val="none"/>
          <w:lang w:val="en-US" w:eastAsia="zh-CN"/>
        </w:rPr>
        <w:t>2、本次维修车辆包括：(以下车型</w:t>
      </w:r>
      <w:r>
        <w:rPr>
          <w:rFonts w:hint="eastAsia" w:ascii="宋体" w:hAnsi="宋体" w:eastAsia="宋体" w:cs="宋体"/>
          <w:b/>
          <w:bCs/>
          <w:sz w:val="24"/>
          <w:szCs w:val="24"/>
          <w:highlight w:val="none"/>
        </w:rPr>
        <w:t>配件费报价</w:t>
      </w:r>
      <w:r>
        <w:rPr>
          <w:rFonts w:hint="eastAsia" w:ascii="宋体" w:hAnsi="宋体" w:cs="宋体"/>
          <w:kern w:val="1"/>
          <w:sz w:val="24"/>
          <w:szCs w:val="24"/>
          <w:highlight w:val="none"/>
          <w:lang w:val="en-US" w:eastAsia="zh-CN"/>
        </w:rPr>
        <w:t>需单独列项)</w:t>
      </w:r>
    </w:p>
    <w:tbl>
      <w:tblPr>
        <w:tblStyle w:val="22"/>
        <w:tblW w:w="8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2"/>
        <w:gridCol w:w="2993"/>
        <w:gridCol w:w="2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2992" w:type="dxa"/>
            <w:vAlign w:val="center"/>
          </w:tcPr>
          <w:p>
            <w:pPr>
              <w:pStyle w:val="28"/>
              <w:widowControl w:val="0"/>
              <w:jc w:val="both"/>
              <w:rPr>
                <w:rFonts w:hint="eastAsia" w:ascii="宋体" w:hAnsi="宋体" w:cs="宋体"/>
                <w:kern w:val="1"/>
                <w:sz w:val="24"/>
                <w:szCs w:val="24"/>
                <w:highlight w:val="none"/>
                <w:lang w:val="en-US" w:eastAsia="zh-CN"/>
              </w:rPr>
            </w:pPr>
            <w:r>
              <w:rPr>
                <w:rFonts w:hint="eastAsia" w:ascii="宋体" w:hAnsi="宋体" w:cs="宋体"/>
                <w:kern w:val="1"/>
                <w:sz w:val="24"/>
                <w:szCs w:val="24"/>
                <w:highlight w:val="none"/>
                <w:lang w:val="en-US" w:eastAsia="zh-CN"/>
              </w:rPr>
              <w:t>车辆</w:t>
            </w:r>
          </w:p>
        </w:tc>
        <w:tc>
          <w:tcPr>
            <w:tcW w:w="2993" w:type="dxa"/>
            <w:vAlign w:val="center"/>
          </w:tcPr>
          <w:p>
            <w:pPr>
              <w:pStyle w:val="28"/>
              <w:widowControl w:val="0"/>
              <w:ind w:firstLine="720" w:firstLineChars="300"/>
              <w:jc w:val="both"/>
              <w:rPr>
                <w:rFonts w:hint="eastAsia" w:ascii="宋体" w:hAnsi="宋体" w:cs="宋体"/>
                <w:kern w:val="1"/>
                <w:sz w:val="24"/>
                <w:szCs w:val="24"/>
                <w:highlight w:val="none"/>
                <w:lang w:val="en-US" w:eastAsia="zh-CN"/>
              </w:rPr>
            </w:pPr>
            <w:r>
              <w:rPr>
                <w:rFonts w:hint="eastAsia" w:ascii="宋体" w:hAnsi="宋体" w:cs="宋体"/>
                <w:kern w:val="1"/>
                <w:sz w:val="24"/>
                <w:szCs w:val="24"/>
                <w:highlight w:val="none"/>
                <w:lang w:val="en-US" w:eastAsia="zh-CN"/>
              </w:rPr>
              <w:t>服役单位</w:t>
            </w:r>
          </w:p>
        </w:tc>
        <w:tc>
          <w:tcPr>
            <w:tcW w:w="2995" w:type="dxa"/>
            <w:vAlign w:val="center"/>
          </w:tcPr>
          <w:p>
            <w:pPr>
              <w:pStyle w:val="28"/>
              <w:widowControl w:val="0"/>
              <w:jc w:val="both"/>
              <w:rPr>
                <w:rFonts w:hint="eastAsia" w:ascii="宋体" w:hAnsi="宋体" w:cs="宋体"/>
                <w:kern w:val="1"/>
                <w:sz w:val="24"/>
                <w:szCs w:val="24"/>
                <w:highlight w:val="none"/>
                <w:lang w:val="en-US" w:eastAsia="zh-CN"/>
              </w:rPr>
            </w:pPr>
            <w:r>
              <w:rPr>
                <w:rFonts w:hint="eastAsia" w:ascii="宋体" w:hAnsi="宋体" w:cs="宋体"/>
                <w:kern w:val="1"/>
                <w:sz w:val="24"/>
                <w:szCs w:val="24"/>
                <w:highlight w:val="none"/>
                <w:lang w:val="en-US" w:eastAsia="zh-CN"/>
              </w:rPr>
              <w:t>厂牌型号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2992" w:type="dxa"/>
            <w:vAlign w:val="center"/>
          </w:tcPr>
          <w:p>
            <w:pPr>
              <w:pStyle w:val="28"/>
              <w:widowControl w:val="0"/>
              <w:jc w:val="both"/>
              <w:rPr>
                <w:rFonts w:hint="eastAsia" w:ascii="宋体" w:hAnsi="宋体" w:cs="宋体"/>
                <w:kern w:val="1"/>
                <w:sz w:val="24"/>
                <w:szCs w:val="24"/>
                <w:highlight w:val="none"/>
                <w:lang w:val="en-US" w:eastAsia="zh-CN"/>
              </w:rPr>
            </w:pPr>
            <w:r>
              <w:rPr>
                <w:rFonts w:hint="eastAsia" w:ascii="宋体" w:hAnsi="宋体" w:cs="宋体"/>
                <w:kern w:val="1"/>
                <w:sz w:val="24"/>
                <w:szCs w:val="24"/>
                <w:highlight w:val="none"/>
                <w:lang w:val="en-US" w:eastAsia="zh-CN"/>
              </w:rPr>
              <w:t>丰田汉兰达</w:t>
            </w:r>
          </w:p>
        </w:tc>
        <w:tc>
          <w:tcPr>
            <w:tcW w:w="2993" w:type="dxa"/>
            <w:vAlign w:val="center"/>
          </w:tcPr>
          <w:p>
            <w:pPr>
              <w:pStyle w:val="28"/>
              <w:widowControl w:val="0"/>
              <w:ind w:firstLine="720" w:firstLineChars="300"/>
              <w:jc w:val="both"/>
              <w:rPr>
                <w:rFonts w:hint="eastAsia" w:ascii="宋体" w:hAnsi="宋体" w:cs="宋体"/>
                <w:kern w:val="1"/>
                <w:sz w:val="24"/>
                <w:szCs w:val="24"/>
                <w:highlight w:val="none"/>
                <w:lang w:val="en-US" w:eastAsia="zh-CN"/>
              </w:rPr>
            </w:pPr>
            <w:r>
              <w:rPr>
                <w:rFonts w:hint="eastAsia" w:ascii="宋体" w:hAnsi="宋体" w:cs="宋体"/>
                <w:kern w:val="1"/>
                <w:sz w:val="24"/>
                <w:szCs w:val="24"/>
                <w:highlight w:val="none"/>
                <w:lang w:val="en-US" w:eastAsia="zh-CN"/>
              </w:rPr>
              <w:t>章丘大队</w:t>
            </w:r>
          </w:p>
        </w:tc>
        <w:tc>
          <w:tcPr>
            <w:tcW w:w="2995" w:type="dxa"/>
            <w:vAlign w:val="center"/>
          </w:tcPr>
          <w:p>
            <w:pPr>
              <w:pStyle w:val="28"/>
              <w:widowControl w:val="0"/>
              <w:jc w:val="both"/>
              <w:rPr>
                <w:rFonts w:hint="eastAsia" w:ascii="宋体" w:hAnsi="宋体" w:cs="宋体"/>
                <w:kern w:val="1"/>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2992" w:type="dxa"/>
            <w:vAlign w:val="center"/>
          </w:tcPr>
          <w:p>
            <w:pPr>
              <w:pStyle w:val="28"/>
              <w:widowControl w:val="0"/>
              <w:jc w:val="both"/>
              <w:rPr>
                <w:rFonts w:hint="eastAsia" w:ascii="宋体" w:hAnsi="宋体" w:cs="宋体"/>
                <w:kern w:val="1"/>
                <w:sz w:val="24"/>
                <w:szCs w:val="24"/>
                <w:highlight w:val="none"/>
                <w:lang w:val="en-US" w:eastAsia="zh-CN"/>
              </w:rPr>
            </w:pPr>
            <w:r>
              <w:rPr>
                <w:rFonts w:hint="eastAsia" w:ascii="宋体" w:hAnsi="宋体" w:cs="宋体"/>
                <w:kern w:val="1"/>
                <w:sz w:val="24"/>
                <w:szCs w:val="24"/>
                <w:highlight w:val="none"/>
                <w:lang w:val="en-US" w:eastAsia="zh-CN"/>
              </w:rPr>
              <w:t>现代御翔</w:t>
            </w:r>
          </w:p>
        </w:tc>
        <w:tc>
          <w:tcPr>
            <w:tcW w:w="2993" w:type="dxa"/>
            <w:vAlign w:val="center"/>
          </w:tcPr>
          <w:p>
            <w:pPr>
              <w:widowControl w:val="0"/>
              <w:ind w:firstLine="720" w:firstLineChars="300"/>
              <w:jc w:val="both"/>
              <w:rPr>
                <w:rFonts w:hint="eastAsia" w:ascii="宋体" w:hAnsi="宋体" w:eastAsia="宋体" w:cs="宋体"/>
                <w:kern w:val="1"/>
                <w:sz w:val="24"/>
                <w:szCs w:val="24"/>
                <w:highlight w:val="none"/>
                <w:lang w:val="en-US" w:eastAsia="zh-CN"/>
              </w:rPr>
            </w:pPr>
            <w:r>
              <w:rPr>
                <w:rFonts w:hint="eastAsia" w:ascii="宋体" w:hAnsi="宋体" w:eastAsia="宋体" w:cs="宋体"/>
                <w:kern w:val="1"/>
                <w:sz w:val="24"/>
                <w:szCs w:val="24"/>
                <w:highlight w:val="none"/>
                <w:lang w:val="en-US" w:eastAsia="zh-CN"/>
              </w:rPr>
              <w:t>章丘大队</w:t>
            </w:r>
          </w:p>
        </w:tc>
        <w:tc>
          <w:tcPr>
            <w:tcW w:w="2995" w:type="dxa"/>
            <w:vAlign w:val="center"/>
          </w:tcPr>
          <w:p>
            <w:pPr>
              <w:pStyle w:val="28"/>
              <w:widowControl w:val="0"/>
              <w:ind w:left="0" w:leftChars="0" w:firstLine="0" w:firstLineChars="0"/>
              <w:jc w:val="both"/>
              <w:rPr>
                <w:rFonts w:hint="default" w:ascii="宋体" w:hAnsi="宋体" w:cs="宋体"/>
                <w:kern w:val="1"/>
                <w:sz w:val="24"/>
                <w:szCs w:val="24"/>
                <w:highlight w:val="none"/>
                <w:lang w:val="en-US" w:eastAsia="zh-CN"/>
              </w:rPr>
            </w:pPr>
            <w:r>
              <w:rPr>
                <w:rFonts w:hint="eastAsia" w:ascii="宋体" w:hAnsi="宋体" w:cs="宋体"/>
                <w:kern w:val="1"/>
                <w:sz w:val="24"/>
                <w:szCs w:val="24"/>
                <w:highlight w:val="none"/>
                <w:lang w:val="en-US" w:eastAsia="zh-CN"/>
              </w:rPr>
              <w:t>北京现代牌BH7202MW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992" w:type="dxa"/>
            <w:vAlign w:val="center"/>
          </w:tcPr>
          <w:p>
            <w:pPr>
              <w:pStyle w:val="28"/>
              <w:widowControl w:val="0"/>
              <w:jc w:val="both"/>
              <w:rPr>
                <w:rFonts w:hint="default" w:ascii="宋体" w:hAnsi="宋体" w:cs="宋体"/>
                <w:kern w:val="1"/>
                <w:sz w:val="24"/>
                <w:szCs w:val="24"/>
                <w:highlight w:val="none"/>
                <w:lang w:val="en-US" w:eastAsia="zh-CN"/>
              </w:rPr>
            </w:pPr>
            <w:r>
              <w:rPr>
                <w:rFonts w:hint="eastAsia" w:ascii="宋体" w:hAnsi="宋体" w:cs="宋体"/>
                <w:kern w:val="1"/>
                <w:sz w:val="24"/>
                <w:szCs w:val="24"/>
                <w:highlight w:val="none"/>
                <w:lang w:val="en-US" w:eastAsia="zh-CN"/>
              </w:rPr>
              <w:t>大众3000</w:t>
            </w:r>
          </w:p>
        </w:tc>
        <w:tc>
          <w:tcPr>
            <w:tcW w:w="2993" w:type="dxa"/>
            <w:vAlign w:val="center"/>
          </w:tcPr>
          <w:p>
            <w:pPr>
              <w:pStyle w:val="28"/>
              <w:widowControl w:val="0"/>
              <w:ind w:firstLine="720" w:firstLineChars="300"/>
              <w:jc w:val="both"/>
              <w:rPr>
                <w:rFonts w:hint="eastAsia" w:ascii="宋体" w:hAnsi="宋体" w:cs="宋体"/>
                <w:kern w:val="1"/>
                <w:sz w:val="24"/>
                <w:szCs w:val="24"/>
                <w:highlight w:val="none"/>
                <w:lang w:val="en-US" w:eastAsia="zh-CN"/>
              </w:rPr>
            </w:pPr>
            <w:r>
              <w:rPr>
                <w:rFonts w:hint="eastAsia" w:ascii="宋体" w:hAnsi="宋体" w:cs="宋体"/>
                <w:kern w:val="1"/>
                <w:sz w:val="24"/>
                <w:szCs w:val="24"/>
                <w:highlight w:val="none"/>
                <w:lang w:val="en-US" w:eastAsia="zh-CN"/>
              </w:rPr>
              <w:t>章丘大队</w:t>
            </w:r>
          </w:p>
        </w:tc>
        <w:tc>
          <w:tcPr>
            <w:tcW w:w="2995" w:type="dxa"/>
            <w:vAlign w:val="center"/>
          </w:tcPr>
          <w:p>
            <w:pPr>
              <w:pStyle w:val="28"/>
              <w:widowControl w:val="0"/>
              <w:ind w:left="0" w:leftChars="0" w:firstLine="0" w:firstLineChars="0"/>
              <w:jc w:val="both"/>
              <w:rPr>
                <w:rFonts w:hint="default" w:ascii="宋体" w:hAnsi="宋体" w:cs="宋体"/>
                <w:kern w:val="1"/>
                <w:sz w:val="24"/>
                <w:szCs w:val="24"/>
                <w:highlight w:val="none"/>
                <w:lang w:val="en-US" w:eastAsia="zh-CN"/>
              </w:rPr>
            </w:pPr>
            <w:r>
              <w:rPr>
                <w:rFonts w:hint="eastAsia" w:ascii="宋体" w:hAnsi="宋体" w:cs="宋体"/>
                <w:kern w:val="1"/>
                <w:sz w:val="24"/>
                <w:szCs w:val="24"/>
                <w:highlight w:val="none"/>
                <w:lang w:val="en-US" w:eastAsia="zh-CN"/>
              </w:rPr>
              <w:t>桑塔纳3000SVW7182C01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2992" w:type="dxa"/>
            <w:vAlign w:val="center"/>
          </w:tcPr>
          <w:p>
            <w:pPr>
              <w:pStyle w:val="28"/>
              <w:widowControl w:val="0"/>
              <w:jc w:val="both"/>
              <w:rPr>
                <w:rFonts w:hint="eastAsia" w:ascii="宋体" w:hAnsi="宋体" w:cs="宋体"/>
                <w:kern w:val="1"/>
                <w:sz w:val="24"/>
                <w:szCs w:val="24"/>
                <w:highlight w:val="none"/>
                <w:lang w:val="en-US" w:eastAsia="zh-CN"/>
              </w:rPr>
            </w:pPr>
            <w:r>
              <w:rPr>
                <w:rFonts w:hint="eastAsia" w:ascii="宋体" w:hAnsi="宋体" w:cs="宋体"/>
                <w:kern w:val="1"/>
                <w:sz w:val="24"/>
                <w:szCs w:val="24"/>
                <w:highlight w:val="none"/>
                <w:lang w:val="en-US" w:eastAsia="zh-CN"/>
              </w:rPr>
              <w:t>长安之星</w:t>
            </w:r>
          </w:p>
        </w:tc>
        <w:tc>
          <w:tcPr>
            <w:tcW w:w="2993" w:type="dxa"/>
            <w:vAlign w:val="center"/>
          </w:tcPr>
          <w:p>
            <w:pPr>
              <w:widowControl w:val="0"/>
              <w:ind w:firstLine="720" w:firstLineChars="300"/>
              <w:jc w:val="both"/>
              <w:rPr>
                <w:rFonts w:hint="eastAsia" w:ascii="宋体" w:hAnsi="宋体" w:eastAsia="宋体" w:cs="宋体"/>
                <w:kern w:val="1"/>
                <w:sz w:val="24"/>
                <w:szCs w:val="24"/>
                <w:highlight w:val="none"/>
                <w:lang w:val="en-US" w:eastAsia="zh-CN"/>
              </w:rPr>
            </w:pPr>
            <w:r>
              <w:rPr>
                <w:rFonts w:hint="eastAsia" w:ascii="宋体" w:hAnsi="宋体" w:eastAsia="宋体" w:cs="宋体"/>
                <w:kern w:val="1"/>
                <w:sz w:val="24"/>
                <w:szCs w:val="24"/>
                <w:highlight w:val="none"/>
                <w:lang w:val="en-US" w:eastAsia="zh-CN"/>
              </w:rPr>
              <w:t>章丘大队</w:t>
            </w:r>
          </w:p>
        </w:tc>
        <w:tc>
          <w:tcPr>
            <w:tcW w:w="2995" w:type="dxa"/>
            <w:vAlign w:val="center"/>
          </w:tcPr>
          <w:p>
            <w:pPr>
              <w:pStyle w:val="28"/>
              <w:widowControl w:val="0"/>
              <w:ind w:left="0" w:leftChars="0" w:firstLine="0" w:firstLineChars="0"/>
              <w:jc w:val="both"/>
              <w:rPr>
                <w:rFonts w:hint="default" w:ascii="宋体" w:hAnsi="宋体" w:cs="宋体"/>
                <w:kern w:val="1"/>
                <w:sz w:val="24"/>
                <w:szCs w:val="24"/>
                <w:highlight w:val="none"/>
                <w:lang w:val="en-US" w:eastAsia="zh-CN"/>
              </w:rPr>
            </w:pPr>
            <w:r>
              <w:rPr>
                <w:rFonts w:hint="eastAsia" w:ascii="宋体" w:hAnsi="宋体" w:cs="宋体"/>
                <w:kern w:val="1"/>
                <w:sz w:val="24"/>
                <w:szCs w:val="24"/>
                <w:highlight w:val="none"/>
                <w:lang w:val="en-US" w:eastAsia="zh-CN"/>
              </w:rPr>
              <w:t>长安牌SC6363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2992" w:type="dxa"/>
            <w:vAlign w:val="center"/>
          </w:tcPr>
          <w:p>
            <w:pPr>
              <w:pStyle w:val="28"/>
              <w:widowControl w:val="0"/>
              <w:jc w:val="both"/>
              <w:rPr>
                <w:rFonts w:hint="eastAsia" w:ascii="宋体" w:hAnsi="宋体" w:cs="宋体"/>
                <w:kern w:val="1"/>
                <w:sz w:val="24"/>
                <w:szCs w:val="24"/>
                <w:highlight w:val="none"/>
                <w:lang w:val="en-US" w:eastAsia="zh-CN"/>
              </w:rPr>
            </w:pPr>
            <w:r>
              <w:rPr>
                <w:rFonts w:hint="eastAsia" w:ascii="宋体" w:hAnsi="宋体" w:cs="宋体"/>
                <w:kern w:val="1"/>
                <w:sz w:val="24"/>
                <w:szCs w:val="24"/>
                <w:highlight w:val="none"/>
                <w:lang w:val="en-US" w:eastAsia="zh-CN"/>
              </w:rPr>
              <w:t>中兴皮卡</w:t>
            </w:r>
          </w:p>
        </w:tc>
        <w:tc>
          <w:tcPr>
            <w:tcW w:w="2993" w:type="dxa"/>
            <w:vAlign w:val="center"/>
          </w:tcPr>
          <w:p>
            <w:pPr>
              <w:pStyle w:val="28"/>
              <w:widowControl w:val="0"/>
              <w:ind w:firstLine="720" w:firstLineChars="300"/>
              <w:jc w:val="both"/>
              <w:rPr>
                <w:rFonts w:hint="eastAsia" w:ascii="宋体" w:hAnsi="宋体" w:eastAsia="宋体" w:cs="宋体"/>
                <w:kern w:val="1"/>
                <w:sz w:val="24"/>
                <w:szCs w:val="24"/>
                <w:highlight w:val="none"/>
                <w:lang w:val="en-US" w:eastAsia="zh-CN"/>
              </w:rPr>
            </w:pPr>
            <w:r>
              <w:rPr>
                <w:rFonts w:hint="eastAsia" w:ascii="宋体" w:hAnsi="宋体" w:cs="宋体"/>
                <w:kern w:val="1"/>
                <w:sz w:val="24"/>
                <w:szCs w:val="24"/>
                <w:highlight w:val="none"/>
                <w:lang w:val="en-US" w:eastAsia="zh-CN"/>
              </w:rPr>
              <w:t>明水中队</w:t>
            </w:r>
          </w:p>
        </w:tc>
        <w:tc>
          <w:tcPr>
            <w:tcW w:w="2995" w:type="dxa"/>
            <w:vAlign w:val="center"/>
          </w:tcPr>
          <w:p>
            <w:pPr>
              <w:pStyle w:val="28"/>
              <w:widowControl w:val="0"/>
              <w:ind w:left="0" w:leftChars="0" w:firstLine="0" w:firstLineChars="0"/>
              <w:jc w:val="both"/>
              <w:rPr>
                <w:rFonts w:hint="default" w:ascii="宋体" w:hAnsi="宋体" w:cs="宋体"/>
                <w:kern w:val="1"/>
                <w:sz w:val="24"/>
                <w:szCs w:val="24"/>
                <w:highlight w:val="none"/>
                <w:lang w:val="en-US" w:eastAsia="zh-CN"/>
              </w:rPr>
            </w:pPr>
            <w:r>
              <w:rPr>
                <w:rFonts w:hint="eastAsia" w:ascii="宋体" w:hAnsi="宋体" w:cs="宋体"/>
                <w:kern w:val="1"/>
                <w:sz w:val="24"/>
                <w:szCs w:val="24"/>
                <w:highlight w:val="none"/>
                <w:lang w:val="en-US" w:eastAsia="zh-CN"/>
              </w:rPr>
              <w:t>田野牌BQ1021Y2A-G3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2992" w:type="dxa"/>
            <w:vAlign w:val="center"/>
          </w:tcPr>
          <w:p>
            <w:pPr>
              <w:pStyle w:val="28"/>
              <w:widowControl w:val="0"/>
              <w:jc w:val="both"/>
              <w:rPr>
                <w:rFonts w:hint="eastAsia" w:ascii="宋体" w:hAnsi="宋体" w:cs="宋体"/>
                <w:kern w:val="1"/>
                <w:sz w:val="24"/>
                <w:szCs w:val="24"/>
                <w:highlight w:val="none"/>
                <w:lang w:val="en-US" w:eastAsia="zh-CN"/>
              </w:rPr>
            </w:pPr>
            <w:r>
              <w:rPr>
                <w:rFonts w:hint="eastAsia" w:ascii="宋体" w:hAnsi="宋体" w:cs="宋体"/>
                <w:kern w:val="1"/>
                <w:sz w:val="24"/>
                <w:szCs w:val="24"/>
                <w:highlight w:val="none"/>
                <w:lang w:val="en-US" w:eastAsia="zh-CN"/>
              </w:rPr>
              <w:t>中兴皮卡</w:t>
            </w:r>
          </w:p>
        </w:tc>
        <w:tc>
          <w:tcPr>
            <w:tcW w:w="2993" w:type="dxa"/>
            <w:vAlign w:val="center"/>
          </w:tcPr>
          <w:p>
            <w:pPr>
              <w:pStyle w:val="28"/>
              <w:widowControl w:val="0"/>
              <w:ind w:firstLine="720" w:firstLineChars="300"/>
              <w:jc w:val="both"/>
              <w:rPr>
                <w:rFonts w:hint="eastAsia" w:ascii="宋体" w:hAnsi="宋体" w:eastAsia="宋体" w:cs="宋体"/>
                <w:kern w:val="1"/>
                <w:sz w:val="24"/>
                <w:szCs w:val="24"/>
                <w:highlight w:val="none"/>
                <w:lang w:val="en-US" w:eastAsia="zh-CN"/>
              </w:rPr>
            </w:pPr>
            <w:r>
              <w:rPr>
                <w:rFonts w:hint="eastAsia" w:ascii="宋体" w:hAnsi="宋体" w:cs="宋体"/>
                <w:kern w:val="1"/>
                <w:sz w:val="24"/>
                <w:szCs w:val="24"/>
                <w:highlight w:val="none"/>
                <w:lang w:val="en-US" w:eastAsia="zh-CN"/>
              </w:rPr>
              <w:t>刁镇中队</w:t>
            </w:r>
          </w:p>
        </w:tc>
        <w:tc>
          <w:tcPr>
            <w:tcW w:w="2995" w:type="dxa"/>
            <w:vAlign w:val="center"/>
          </w:tcPr>
          <w:p>
            <w:pPr>
              <w:pStyle w:val="28"/>
              <w:widowControl w:val="0"/>
              <w:ind w:left="0" w:leftChars="0" w:firstLine="0" w:firstLineChars="0"/>
              <w:jc w:val="both"/>
              <w:rPr>
                <w:rFonts w:hint="default" w:ascii="宋体" w:hAnsi="宋体" w:cs="宋体"/>
                <w:kern w:val="1"/>
                <w:sz w:val="24"/>
                <w:szCs w:val="24"/>
                <w:highlight w:val="none"/>
                <w:lang w:val="en-US" w:eastAsia="zh-CN"/>
              </w:rPr>
            </w:pPr>
            <w:r>
              <w:rPr>
                <w:rFonts w:hint="eastAsia" w:ascii="宋体" w:hAnsi="宋体" w:cs="宋体"/>
                <w:kern w:val="1"/>
                <w:sz w:val="24"/>
                <w:szCs w:val="24"/>
                <w:highlight w:val="none"/>
                <w:lang w:val="en-US" w:eastAsia="zh-CN"/>
              </w:rPr>
              <w:t>田野牌BQ1023Y2V-G4</w:t>
            </w:r>
          </w:p>
        </w:tc>
      </w:tr>
    </w:tbl>
    <w:p>
      <w:pPr>
        <w:pageBreakBefore w:val="0"/>
        <w:widowControl w:val="0"/>
        <w:numPr>
          <w:ilvl w:val="0"/>
          <w:numId w:val="6"/>
        </w:numPr>
        <w:kinsoku/>
        <w:wordWrap/>
        <w:overflowPunct/>
        <w:topLinePunct w:val="0"/>
        <w:autoSpaceDE/>
        <w:autoSpaceDN/>
        <w:bidi w:val="0"/>
        <w:adjustRightInd/>
        <w:snapToGrid/>
        <w:spacing w:line="360" w:lineRule="auto"/>
        <w:ind w:firstLine="142"/>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报价清单</w:t>
      </w:r>
    </w:p>
    <w:p>
      <w:pPr>
        <w:pStyle w:val="28"/>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kern w:val="1"/>
          <w:sz w:val="24"/>
          <w:szCs w:val="24"/>
          <w:highlight w:val="none"/>
          <w:lang w:val="en-US" w:eastAsia="zh-CN"/>
        </w:rPr>
      </w:pPr>
      <w:r>
        <w:rPr>
          <w:rFonts w:hint="eastAsia" w:ascii="宋体" w:hAnsi="宋体" w:eastAsia="宋体" w:cs="宋体"/>
          <w:b/>
          <w:sz w:val="24"/>
          <w:szCs w:val="24"/>
          <w:highlight w:val="none"/>
        </w:rPr>
        <w:t>车型：</w:t>
      </w:r>
      <w:r>
        <w:rPr>
          <w:rFonts w:hint="eastAsia" w:ascii="宋体" w:hAnsi="宋体" w:cs="宋体"/>
          <w:kern w:val="1"/>
          <w:sz w:val="24"/>
          <w:szCs w:val="24"/>
          <w:highlight w:val="none"/>
          <w:lang w:val="en-US" w:eastAsia="zh-CN"/>
        </w:rPr>
        <w:t>大众3000</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b/>
          <w:bCs/>
          <w:sz w:val="24"/>
          <w:szCs w:val="24"/>
          <w:highlight w:val="none"/>
        </w:rPr>
        <w:t>一、工时费报价清单</w:t>
      </w:r>
    </w:p>
    <w:tbl>
      <w:tblPr>
        <w:tblStyle w:val="21"/>
        <w:tblW w:w="8860" w:type="dxa"/>
        <w:jc w:val="center"/>
        <w:tblInd w:w="0" w:type="dxa"/>
        <w:tblLayout w:type="fixed"/>
        <w:tblCellMar>
          <w:top w:w="0" w:type="dxa"/>
          <w:left w:w="108" w:type="dxa"/>
          <w:bottom w:w="0" w:type="dxa"/>
          <w:right w:w="108" w:type="dxa"/>
        </w:tblCellMar>
      </w:tblPr>
      <w:tblGrid>
        <w:gridCol w:w="812"/>
        <w:gridCol w:w="2053"/>
        <w:gridCol w:w="1285"/>
        <w:gridCol w:w="1225"/>
        <w:gridCol w:w="2643"/>
        <w:gridCol w:w="842"/>
      </w:tblGrid>
      <w:tr>
        <w:tblPrEx>
          <w:tblLayout w:type="fixed"/>
          <w:tblCellMar>
            <w:top w:w="0" w:type="dxa"/>
            <w:left w:w="108" w:type="dxa"/>
            <w:bottom w:w="0" w:type="dxa"/>
            <w:right w:w="108" w:type="dxa"/>
          </w:tblCellMar>
        </w:tblPrEx>
        <w:trPr>
          <w:trHeight w:val="315" w:hRule="atLeast"/>
          <w:jc w:val="center"/>
        </w:trPr>
        <w:tc>
          <w:tcPr>
            <w:tcW w:w="812"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053"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p>
        </w:tc>
        <w:tc>
          <w:tcPr>
            <w:tcW w:w="5153" w:type="dxa"/>
            <w:gridSpan w:val="3"/>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车型：</w:t>
            </w:r>
          </w:p>
        </w:tc>
        <w:tc>
          <w:tcPr>
            <w:tcW w:w="842"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trHeight w:val="624" w:hRule="atLeast"/>
          <w:jc w:val="center"/>
        </w:trPr>
        <w:tc>
          <w:tcPr>
            <w:tcW w:w="812" w:type="dxa"/>
            <w:vMerge w:val="continue"/>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053" w:type="dxa"/>
            <w:vMerge w:val="continue"/>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工时定额</w:t>
            </w:r>
          </w:p>
        </w:tc>
        <w:tc>
          <w:tcPr>
            <w:tcW w:w="12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工时单价</w:t>
            </w:r>
          </w:p>
        </w:tc>
        <w:tc>
          <w:tcPr>
            <w:tcW w:w="264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工时费（元）</w:t>
            </w:r>
          </w:p>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（工时定额*工时单价）</w:t>
            </w:r>
          </w:p>
        </w:tc>
        <w:tc>
          <w:tcPr>
            <w:tcW w:w="842"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Layout w:type="fixed"/>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2053"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更换前后刹车片</w:t>
            </w:r>
          </w:p>
        </w:tc>
        <w:tc>
          <w:tcPr>
            <w:tcW w:w="12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p>
        </w:tc>
        <w:tc>
          <w:tcPr>
            <w:tcW w:w="12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p>
        </w:tc>
        <w:tc>
          <w:tcPr>
            <w:tcW w:w="264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p>
        </w:tc>
        <w:tc>
          <w:tcPr>
            <w:tcW w:w="842"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p>
        </w:tc>
      </w:tr>
      <w:tr>
        <w:tblPrEx>
          <w:tblLayout w:type="fixed"/>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2</w:t>
            </w:r>
          </w:p>
        </w:tc>
        <w:tc>
          <w:tcPr>
            <w:tcW w:w="205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更换前大灯</w:t>
            </w:r>
          </w:p>
        </w:tc>
        <w:tc>
          <w:tcPr>
            <w:tcW w:w="12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2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43"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42"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3</w:t>
            </w:r>
          </w:p>
        </w:tc>
        <w:tc>
          <w:tcPr>
            <w:tcW w:w="205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更换后保险杠</w:t>
            </w:r>
          </w:p>
        </w:tc>
        <w:tc>
          <w:tcPr>
            <w:tcW w:w="12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2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43"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42"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205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更换前保险杠</w:t>
            </w:r>
          </w:p>
        </w:tc>
        <w:tc>
          <w:tcPr>
            <w:tcW w:w="12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2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43"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42"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205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更换轮胎</w:t>
            </w:r>
          </w:p>
        </w:tc>
        <w:tc>
          <w:tcPr>
            <w:tcW w:w="12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2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43"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42"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205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更换机油</w:t>
            </w:r>
          </w:p>
        </w:tc>
        <w:tc>
          <w:tcPr>
            <w:tcW w:w="12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2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43"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42"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205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更换刹车油</w:t>
            </w:r>
          </w:p>
        </w:tc>
        <w:tc>
          <w:tcPr>
            <w:tcW w:w="12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2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43"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42"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205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更换变速箱油</w:t>
            </w:r>
          </w:p>
        </w:tc>
        <w:tc>
          <w:tcPr>
            <w:tcW w:w="12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2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43"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42"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w:t>
            </w:r>
          </w:p>
        </w:tc>
        <w:tc>
          <w:tcPr>
            <w:tcW w:w="205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更换水箱</w:t>
            </w:r>
          </w:p>
        </w:tc>
        <w:tc>
          <w:tcPr>
            <w:tcW w:w="12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2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43"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42"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205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更换离合片</w:t>
            </w:r>
          </w:p>
        </w:tc>
        <w:tc>
          <w:tcPr>
            <w:tcW w:w="12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2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43"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42"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11</w:t>
            </w:r>
          </w:p>
        </w:tc>
        <w:tc>
          <w:tcPr>
            <w:tcW w:w="205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车辆保养（三芯）</w:t>
            </w:r>
          </w:p>
        </w:tc>
        <w:tc>
          <w:tcPr>
            <w:tcW w:w="12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2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43"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42"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12</w:t>
            </w:r>
          </w:p>
        </w:tc>
        <w:tc>
          <w:tcPr>
            <w:tcW w:w="205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更换电瓶</w:t>
            </w:r>
          </w:p>
        </w:tc>
        <w:tc>
          <w:tcPr>
            <w:tcW w:w="12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2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43"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42"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13</w:t>
            </w:r>
          </w:p>
        </w:tc>
        <w:tc>
          <w:tcPr>
            <w:tcW w:w="205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整车喷漆</w:t>
            </w:r>
          </w:p>
        </w:tc>
        <w:tc>
          <w:tcPr>
            <w:tcW w:w="12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2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43"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42"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trHeight w:val="322" w:hRule="atLeast"/>
          <w:jc w:val="center"/>
        </w:trPr>
        <w:tc>
          <w:tcPr>
            <w:tcW w:w="2865" w:type="dxa"/>
            <w:gridSpan w:val="2"/>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工时费报价</w:t>
            </w:r>
          </w:p>
        </w:tc>
        <w:tc>
          <w:tcPr>
            <w:tcW w:w="12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2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43"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42"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bl>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b/>
          <w:bCs/>
          <w:sz w:val="24"/>
          <w:szCs w:val="24"/>
          <w:highlight w:val="none"/>
        </w:rPr>
        <w:t>二、配件费报价清单</w:t>
      </w:r>
    </w:p>
    <w:tbl>
      <w:tblPr>
        <w:tblStyle w:val="21"/>
        <w:tblW w:w="9015" w:type="dxa"/>
        <w:jc w:val="center"/>
        <w:tblInd w:w="0" w:type="dxa"/>
        <w:tblLayout w:type="fixed"/>
        <w:tblCellMar>
          <w:top w:w="0" w:type="dxa"/>
          <w:left w:w="108" w:type="dxa"/>
          <w:bottom w:w="0" w:type="dxa"/>
          <w:right w:w="108" w:type="dxa"/>
        </w:tblCellMar>
      </w:tblPr>
      <w:tblGrid>
        <w:gridCol w:w="840"/>
        <w:gridCol w:w="1917"/>
        <w:gridCol w:w="723"/>
        <w:gridCol w:w="810"/>
        <w:gridCol w:w="885"/>
        <w:gridCol w:w="960"/>
        <w:gridCol w:w="1995"/>
        <w:gridCol w:w="885"/>
      </w:tblGrid>
      <w:tr>
        <w:tblPrEx>
          <w:tblLayout w:type="fixed"/>
          <w:tblCellMar>
            <w:top w:w="0" w:type="dxa"/>
            <w:left w:w="108" w:type="dxa"/>
            <w:bottom w:w="0" w:type="dxa"/>
            <w:right w:w="108" w:type="dxa"/>
          </w:tblCellMar>
        </w:tblPrEx>
        <w:trPr>
          <w:jc w:val="center"/>
        </w:trPr>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序号</w:t>
            </w:r>
          </w:p>
        </w:tc>
        <w:tc>
          <w:tcPr>
            <w:tcW w:w="1917"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配件名称</w:t>
            </w:r>
          </w:p>
        </w:tc>
        <w:tc>
          <w:tcPr>
            <w:tcW w:w="723"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数量</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单位</w:t>
            </w:r>
          </w:p>
        </w:tc>
        <w:tc>
          <w:tcPr>
            <w:tcW w:w="3840" w:type="dxa"/>
            <w:gridSpan w:val="3"/>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车型：</w:t>
            </w:r>
          </w:p>
        </w:tc>
        <w:tc>
          <w:tcPr>
            <w:tcW w:w="885"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备注</w:t>
            </w:r>
          </w:p>
        </w:tc>
      </w:tr>
      <w:tr>
        <w:tblPrEx>
          <w:tblLayout w:type="fixed"/>
          <w:tblCellMar>
            <w:top w:w="0" w:type="dxa"/>
            <w:left w:w="108" w:type="dxa"/>
            <w:bottom w:w="0" w:type="dxa"/>
            <w:right w:w="108" w:type="dxa"/>
          </w:tblCellMar>
        </w:tblPrEx>
        <w:trPr>
          <w:trHeight w:val="118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17"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723"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配件价格</w:t>
            </w:r>
          </w:p>
        </w:tc>
        <w:tc>
          <w:tcPr>
            <w:tcW w:w="96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加价率</w:t>
            </w:r>
          </w:p>
        </w:tc>
        <w:tc>
          <w:tcPr>
            <w:tcW w:w="199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配件费（元）</w:t>
            </w:r>
          </w:p>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配件价格*（1+加价率）</w:t>
            </w:r>
          </w:p>
        </w:tc>
        <w:tc>
          <w:tcPr>
            <w:tcW w:w="885" w:type="dxa"/>
            <w:vMerge w:val="continue"/>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917"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更换前后刹车片</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更换前大灯</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更换后保险杠</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更换前保险杠</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更换轮胎</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更换机油</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更换刹车油</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更换变速箱油</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更换水箱</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更换离合片</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项</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11</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车辆保养（三芯）</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次</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12</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更换电瓶</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13</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整车喷漆</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次</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4290" w:type="dxa"/>
            <w:gridSpan w:val="4"/>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配件费报价</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bl>
    <w:p>
      <w:pPr>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sz w:val="24"/>
          <w:szCs w:val="24"/>
          <w:highlight w:val="none"/>
        </w:rPr>
      </w:pPr>
      <w:r>
        <w:rPr>
          <w:rFonts w:hint="eastAsia" w:ascii="宋体" w:hAnsi="宋体" w:eastAsia="宋体" w:cs="宋体"/>
          <w:b/>
          <w:bCs/>
          <w:sz w:val="24"/>
          <w:szCs w:val="24"/>
          <w:highlight w:val="none"/>
        </w:rPr>
        <w:t>注：所有配件价格执行同一加价率。</w:t>
      </w:r>
    </w:p>
    <w:p>
      <w:pPr>
        <w:pStyle w:val="39"/>
        <w:spacing w:line="300" w:lineRule="exact"/>
        <w:jc w:val="both"/>
        <w:rPr>
          <w:rFonts w:hint="eastAsia" w:ascii="宋体" w:hAnsi="宋体" w:eastAsia="宋体" w:cs="宋体"/>
          <w:sz w:val="24"/>
          <w:szCs w:val="24"/>
          <w:highlight w:val="none"/>
          <w:lang w:val="en-US" w:eastAsia="zh-CN"/>
        </w:rPr>
      </w:pPr>
    </w:p>
    <w:p>
      <w:pPr>
        <w:pStyle w:val="28"/>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kern w:val="1"/>
          <w:sz w:val="24"/>
          <w:szCs w:val="24"/>
          <w:highlight w:val="none"/>
          <w:lang w:val="en-US" w:eastAsia="zh-CN"/>
        </w:rPr>
      </w:pPr>
      <w:r>
        <w:rPr>
          <w:rFonts w:hint="eastAsia" w:ascii="宋体" w:hAnsi="宋体" w:eastAsia="宋体" w:cs="宋体"/>
          <w:b/>
          <w:sz w:val="24"/>
          <w:szCs w:val="24"/>
          <w:highlight w:val="none"/>
        </w:rPr>
        <w:t>车型：</w:t>
      </w:r>
      <w:r>
        <w:rPr>
          <w:rFonts w:hint="eastAsia" w:ascii="宋体" w:hAnsi="宋体" w:cs="宋体"/>
          <w:kern w:val="1"/>
          <w:sz w:val="24"/>
          <w:szCs w:val="24"/>
          <w:highlight w:val="none"/>
          <w:lang w:val="en-US" w:eastAsia="zh-CN"/>
        </w:rPr>
        <w:t>丰田汉兰达</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b/>
          <w:bCs/>
          <w:sz w:val="24"/>
          <w:szCs w:val="24"/>
          <w:highlight w:val="none"/>
        </w:rPr>
        <w:t>一、工时费报价清单</w:t>
      </w:r>
    </w:p>
    <w:tbl>
      <w:tblPr>
        <w:tblStyle w:val="21"/>
        <w:tblW w:w="9000" w:type="dxa"/>
        <w:jc w:val="center"/>
        <w:tblInd w:w="0" w:type="dxa"/>
        <w:tblLayout w:type="fixed"/>
        <w:tblCellMar>
          <w:top w:w="0" w:type="dxa"/>
          <w:left w:w="108" w:type="dxa"/>
          <w:bottom w:w="0" w:type="dxa"/>
          <w:right w:w="108" w:type="dxa"/>
        </w:tblCellMar>
      </w:tblPr>
      <w:tblGrid>
        <w:gridCol w:w="825"/>
        <w:gridCol w:w="2085"/>
        <w:gridCol w:w="1305"/>
        <w:gridCol w:w="1245"/>
        <w:gridCol w:w="2685"/>
        <w:gridCol w:w="855"/>
      </w:tblGrid>
      <w:tr>
        <w:tblPrEx>
          <w:tblLayout w:type="fixed"/>
          <w:tblCellMar>
            <w:top w:w="0" w:type="dxa"/>
            <w:left w:w="108" w:type="dxa"/>
            <w:bottom w:w="0" w:type="dxa"/>
            <w:right w:w="108" w:type="dxa"/>
          </w:tblCellMar>
        </w:tblPrEx>
        <w:trPr>
          <w:jc w:val="center"/>
        </w:trPr>
        <w:tc>
          <w:tcPr>
            <w:tcW w:w="825"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085"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p>
        </w:tc>
        <w:tc>
          <w:tcPr>
            <w:tcW w:w="5235" w:type="dxa"/>
            <w:gridSpan w:val="3"/>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车型：</w:t>
            </w: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vMerge w:val="continue"/>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085" w:type="dxa"/>
            <w:vMerge w:val="continue"/>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工时定额</w:t>
            </w:r>
          </w:p>
        </w:tc>
        <w:tc>
          <w:tcPr>
            <w:tcW w:w="12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工时单价</w:t>
            </w:r>
          </w:p>
        </w:tc>
        <w:tc>
          <w:tcPr>
            <w:tcW w:w="26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工时费（元）</w:t>
            </w:r>
          </w:p>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（工时定额*工时单价）</w:t>
            </w: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20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更换前后刹车片</w:t>
            </w:r>
          </w:p>
        </w:tc>
        <w:tc>
          <w:tcPr>
            <w:tcW w:w="130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2</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更换前大灯</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3</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更换后保险杠</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更换前保险杠</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更换轮胎</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更换机油</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更换刹车油</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更换变速箱油</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更换水箱</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更换离合片</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11</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车辆保养（三芯）</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12</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更换电瓶</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13</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整车喷漆</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2910" w:type="dxa"/>
            <w:gridSpan w:val="2"/>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工时费报价</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bl>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b/>
          <w:bCs/>
          <w:sz w:val="24"/>
          <w:szCs w:val="24"/>
          <w:highlight w:val="none"/>
        </w:rPr>
        <w:t>二、配件费报价清单</w:t>
      </w:r>
    </w:p>
    <w:tbl>
      <w:tblPr>
        <w:tblStyle w:val="21"/>
        <w:tblW w:w="9015" w:type="dxa"/>
        <w:jc w:val="center"/>
        <w:tblInd w:w="0" w:type="dxa"/>
        <w:tblLayout w:type="fixed"/>
        <w:tblCellMar>
          <w:top w:w="0" w:type="dxa"/>
          <w:left w:w="108" w:type="dxa"/>
          <w:bottom w:w="0" w:type="dxa"/>
          <w:right w:w="108" w:type="dxa"/>
        </w:tblCellMar>
      </w:tblPr>
      <w:tblGrid>
        <w:gridCol w:w="840"/>
        <w:gridCol w:w="1917"/>
        <w:gridCol w:w="723"/>
        <w:gridCol w:w="810"/>
        <w:gridCol w:w="885"/>
        <w:gridCol w:w="960"/>
        <w:gridCol w:w="1995"/>
        <w:gridCol w:w="885"/>
      </w:tblGrid>
      <w:tr>
        <w:tblPrEx>
          <w:tblLayout w:type="fixed"/>
          <w:tblCellMar>
            <w:top w:w="0" w:type="dxa"/>
            <w:left w:w="108" w:type="dxa"/>
            <w:bottom w:w="0" w:type="dxa"/>
            <w:right w:w="108" w:type="dxa"/>
          </w:tblCellMar>
        </w:tblPrEx>
        <w:trPr>
          <w:jc w:val="center"/>
        </w:trPr>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序号</w:t>
            </w:r>
          </w:p>
        </w:tc>
        <w:tc>
          <w:tcPr>
            <w:tcW w:w="1917"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配件名称</w:t>
            </w:r>
          </w:p>
        </w:tc>
        <w:tc>
          <w:tcPr>
            <w:tcW w:w="723"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数量</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单位</w:t>
            </w:r>
          </w:p>
        </w:tc>
        <w:tc>
          <w:tcPr>
            <w:tcW w:w="3840" w:type="dxa"/>
            <w:gridSpan w:val="3"/>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车型：</w:t>
            </w:r>
          </w:p>
        </w:tc>
        <w:tc>
          <w:tcPr>
            <w:tcW w:w="885"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备注</w:t>
            </w:r>
          </w:p>
        </w:tc>
      </w:tr>
      <w:tr>
        <w:tblPrEx>
          <w:tblLayout w:type="fixed"/>
          <w:tblCellMar>
            <w:top w:w="0" w:type="dxa"/>
            <w:left w:w="108" w:type="dxa"/>
            <w:bottom w:w="0" w:type="dxa"/>
            <w:right w:w="108" w:type="dxa"/>
          </w:tblCellMar>
        </w:tblPrEx>
        <w:trPr>
          <w:trHeight w:val="118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17"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723"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配件价格</w:t>
            </w:r>
          </w:p>
        </w:tc>
        <w:tc>
          <w:tcPr>
            <w:tcW w:w="96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加价率</w:t>
            </w:r>
          </w:p>
        </w:tc>
        <w:tc>
          <w:tcPr>
            <w:tcW w:w="199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配件费（元）</w:t>
            </w:r>
          </w:p>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配件价格*（1+加价率）</w:t>
            </w:r>
          </w:p>
        </w:tc>
        <w:tc>
          <w:tcPr>
            <w:tcW w:w="885" w:type="dxa"/>
            <w:vMerge w:val="continue"/>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917"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更换前后刹车片</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更换前大灯</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更换后保险杠</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更换前保险杠</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更换轮胎</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更换机油</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更换刹车油</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更换变速箱油</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更换水箱</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更换离合片</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项</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11</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车辆保养（三芯）</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次</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12</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更换电瓶</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13</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整车喷漆</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次</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4290" w:type="dxa"/>
            <w:gridSpan w:val="4"/>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配件费报价</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bl>
    <w:p>
      <w:pPr>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sz w:val="24"/>
          <w:szCs w:val="24"/>
          <w:highlight w:val="none"/>
        </w:rPr>
      </w:pPr>
      <w:r>
        <w:rPr>
          <w:rFonts w:hint="eastAsia" w:ascii="宋体" w:hAnsi="宋体" w:eastAsia="宋体" w:cs="宋体"/>
          <w:b/>
          <w:bCs/>
          <w:sz w:val="24"/>
          <w:szCs w:val="24"/>
          <w:highlight w:val="none"/>
        </w:rPr>
        <w:t>注：所有配件价格执行同一加价率。</w:t>
      </w:r>
    </w:p>
    <w:p>
      <w:pPr>
        <w:pStyle w:val="28"/>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kern w:val="1"/>
          <w:sz w:val="24"/>
          <w:szCs w:val="24"/>
          <w:highlight w:val="none"/>
          <w:lang w:val="en-US" w:eastAsia="zh-CN"/>
        </w:rPr>
      </w:pPr>
      <w:r>
        <w:rPr>
          <w:rFonts w:hint="eastAsia" w:ascii="宋体" w:hAnsi="宋体" w:eastAsia="宋体" w:cs="宋体"/>
          <w:b/>
          <w:sz w:val="24"/>
          <w:szCs w:val="24"/>
          <w:highlight w:val="none"/>
        </w:rPr>
        <w:t>车型：</w:t>
      </w:r>
      <w:r>
        <w:rPr>
          <w:rFonts w:hint="eastAsia" w:ascii="宋体" w:hAnsi="宋体" w:cs="宋体"/>
          <w:kern w:val="1"/>
          <w:sz w:val="24"/>
          <w:szCs w:val="24"/>
          <w:highlight w:val="none"/>
          <w:lang w:val="en-US" w:eastAsia="zh-CN"/>
        </w:rPr>
        <w:t>现代御翔</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b/>
          <w:bCs/>
          <w:sz w:val="24"/>
          <w:szCs w:val="24"/>
          <w:highlight w:val="none"/>
        </w:rPr>
        <w:t>一、工时费报价清单</w:t>
      </w:r>
    </w:p>
    <w:tbl>
      <w:tblPr>
        <w:tblStyle w:val="21"/>
        <w:tblW w:w="9000" w:type="dxa"/>
        <w:jc w:val="center"/>
        <w:tblInd w:w="0" w:type="dxa"/>
        <w:tblLayout w:type="fixed"/>
        <w:tblCellMar>
          <w:top w:w="0" w:type="dxa"/>
          <w:left w:w="108" w:type="dxa"/>
          <w:bottom w:w="0" w:type="dxa"/>
          <w:right w:w="108" w:type="dxa"/>
        </w:tblCellMar>
      </w:tblPr>
      <w:tblGrid>
        <w:gridCol w:w="825"/>
        <w:gridCol w:w="2085"/>
        <w:gridCol w:w="1305"/>
        <w:gridCol w:w="1245"/>
        <w:gridCol w:w="2685"/>
        <w:gridCol w:w="855"/>
      </w:tblGrid>
      <w:tr>
        <w:tblPrEx>
          <w:tblLayout w:type="fixed"/>
          <w:tblCellMar>
            <w:top w:w="0" w:type="dxa"/>
            <w:left w:w="108" w:type="dxa"/>
            <w:bottom w:w="0" w:type="dxa"/>
            <w:right w:w="108" w:type="dxa"/>
          </w:tblCellMar>
        </w:tblPrEx>
        <w:trPr>
          <w:jc w:val="center"/>
        </w:trPr>
        <w:tc>
          <w:tcPr>
            <w:tcW w:w="825"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085"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p>
        </w:tc>
        <w:tc>
          <w:tcPr>
            <w:tcW w:w="5235" w:type="dxa"/>
            <w:gridSpan w:val="3"/>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车型：</w:t>
            </w: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vMerge w:val="continue"/>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085" w:type="dxa"/>
            <w:vMerge w:val="continue"/>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工时定额</w:t>
            </w:r>
          </w:p>
        </w:tc>
        <w:tc>
          <w:tcPr>
            <w:tcW w:w="12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工时单价</w:t>
            </w:r>
          </w:p>
        </w:tc>
        <w:tc>
          <w:tcPr>
            <w:tcW w:w="26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工时费（元）</w:t>
            </w:r>
          </w:p>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（工时定额*工时单价）</w:t>
            </w: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20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更换前后刹车片</w:t>
            </w:r>
          </w:p>
        </w:tc>
        <w:tc>
          <w:tcPr>
            <w:tcW w:w="130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2</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更换前大灯</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3</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更换后保险杠</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更换前保险杠</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更换轮胎</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更换机油</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更换刹车油</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更换变速箱油</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更换水箱</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更换离合片</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11</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车辆保养（三芯）</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12</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更换电瓶</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13</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整车喷漆</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2910" w:type="dxa"/>
            <w:gridSpan w:val="2"/>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工时费报价</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bl>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b/>
          <w:bCs/>
          <w:sz w:val="24"/>
          <w:szCs w:val="24"/>
          <w:highlight w:val="none"/>
        </w:rPr>
        <w:t>二、配件费报价清单</w:t>
      </w:r>
    </w:p>
    <w:tbl>
      <w:tblPr>
        <w:tblStyle w:val="21"/>
        <w:tblW w:w="9015" w:type="dxa"/>
        <w:jc w:val="center"/>
        <w:tblInd w:w="0" w:type="dxa"/>
        <w:tblLayout w:type="fixed"/>
        <w:tblCellMar>
          <w:top w:w="0" w:type="dxa"/>
          <w:left w:w="108" w:type="dxa"/>
          <w:bottom w:w="0" w:type="dxa"/>
          <w:right w:w="108" w:type="dxa"/>
        </w:tblCellMar>
      </w:tblPr>
      <w:tblGrid>
        <w:gridCol w:w="840"/>
        <w:gridCol w:w="1917"/>
        <w:gridCol w:w="723"/>
        <w:gridCol w:w="810"/>
        <w:gridCol w:w="885"/>
        <w:gridCol w:w="960"/>
        <w:gridCol w:w="1995"/>
        <w:gridCol w:w="885"/>
      </w:tblGrid>
      <w:tr>
        <w:tblPrEx>
          <w:tblLayout w:type="fixed"/>
          <w:tblCellMar>
            <w:top w:w="0" w:type="dxa"/>
            <w:left w:w="108" w:type="dxa"/>
            <w:bottom w:w="0" w:type="dxa"/>
            <w:right w:w="108" w:type="dxa"/>
          </w:tblCellMar>
        </w:tblPrEx>
        <w:trPr>
          <w:jc w:val="center"/>
        </w:trPr>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序号</w:t>
            </w:r>
          </w:p>
        </w:tc>
        <w:tc>
          <w:tcPr>
            <w:tcW w:w="1917"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配件名称</w:t>
            </w:r>
          </w:p>
        </w:tc>
        <w:tc>
          <w:tcPr>
            <w:tcW w:w="723"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数量</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单位</w:t>
            </w:r>
          </w:p>
        </w:tc>
        <w:tc>
          <w:tcPr>
            <w:tcW w:w="3840" w:type="dxa"/>
            <w:gridSpan w:val="3"/>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车型：</w:t>
            </w:r>
          </w:p>
        </w:tc>
        <w:tc>
          <w:tcPr>
            <w:tcW w:w="885"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备注</w:t>
            </w:r>
          </w:p>
        </w:tc>
      </w:tr>
      <w:tr>
        <w:tblPrEx>
          <w:tblLayout w:type="fixed"/>
          <w:tblCellMar>
            <w:top w:w="0" w:type="dxa"/>
            <w:left w:w="108" w:type="dxa"/>
            <w:bottom w:w="0" w:type="dxa"/>
            <w:right w:w="108" w:type="dxa"/>
          </w:tblCellMar>
        </w:tblPrEx>
        <w:trPr>
          <w:trHeight w:val="118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17"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723"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配件价格</w:t>
            </w:r>
          </w:p>
        </w:tc>
        <w:tc>
          <w:tcPr>
            <w:tcW w:w="96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加价率</w:t>
            </w:r>
          </w:p>
        </w:tc>
        <w:tc>
          <w:tcPr>
            <w:tcW w:w="199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配件费（元）</w:t>
            </w:r>
          </w:p>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配件价格*（1+加价率）</w:t>
            </w:r>
          </w:p>
        </w:tc>
        <w:tc>
          <w:tcPr>
            <w:tcW w:w="885" w:type="dxa"/>
            <w:vMerge w:val="continue"/>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917"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更换前后刹车片</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更换前大灯</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更换后保险杠</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更换前保险杠</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更换轮胎</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更换机油</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更换刹车油</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更换变速箱油</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更换水箱</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更换离合片</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项</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11</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车辆保养（三芯）</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次</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12</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更换电瓶</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13</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整车喷漆</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次</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4290" w:type="dxa"/>
            <w:gridSpan w:val="4"/>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配件费报价</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bl>
    <w:p>
      <w:pPr>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sz w:val="24"/>
          <w:szCs w:val="24"/>
          <w:highlight w:val="none"/>
        </w:rPr>
      </w:pPr>
      <w:r>
        <w:rPr>
          <w:rFonts w:hint="eastAsia" w:ascii="宋体" w:hAnsi="宋体" w:eastAsia="宋体" w:cs="宋体"/>
          <w:b/>
          <w:bCs/>
          <w:sz w:val="24"/>
          <w:szCs w:val="24"/>
          <w:highlight w:val="none"/>
        </w:rPr>
        <w:t>注：所有配件价格执行同一加价率。</w:t>
      </w:r>
    </w:p>
    <w:p>
      <w:pPr>
        <w:pStyle w:val="28"/>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kern w:val="1"/>
          <w:sz w:val="24"/>
          <w:szCs w:val="24"/>
          <w:highlight w:val="none"/>
          <w:lang w:val="en-US" w:eastAsia="zh-CN"/>
        </w:rPr>
      </w:pPr>
      <w:r>
        <w:rPr>
          <w:rFonts w:hint="eastAsia" w:ascii="宋体" w:hAnsi="宋体" w:eastAsia="宋体" w:cs="宋体"/>
          <w:b/>
          <w:sz w:val="24"/>
          <w:szCs w:val="24"/>
          <w:highlight w:val="none"/>
        </w:rPr>
        <w:t>车型：</w:t>
      </w:r>
      <w:r>
        <w:rPr>
          <w:rFonts w:hint="eastAsia" w:ascii="宋体" w:hAnsi="宋体" w:cs="宋体"/>
          <w:kern w:val="1"/>
          <w:sz w:val="24"/>
          <w:szCs w:val="24"/>
          <w:highlight w:val="none"/>
          <w:lang w:val="en-US" w:eastAsia="zh-CN"/>
        </w:rPr>
        <w:t>长安之星</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b/>
          <w:bCs/>
          <w:sz w:val="24"/>
          <w:szCs w:val="24"/>
          <w:highlight w:val="none"/>
        </w:rPr>
        <w:t>一、工时费报价清单</w:t>
      </w:r>
    </w:p>
    <w:tbl>
      <w:tblPr>
        <w:tblStyle w:val="21"/>
        <w:tblW w:w="9000" w:type="dxa"/>
        <w:jc w:val="center"/>
        <w:tblInd w:w="0" w:type="dxa"/>
        <w:tblLayout w:type="fixed"/>
        <w:tblCellMar>
          <w:top w:w="0" w:type="dxa"/>
          <w:left w:w="108" w:type="dxa"/>
          <w:bottom w:w="0" w:type="dxa"/>
          <w:right w:w="108" w:type="dxa"/>
        </w:tblCellMar>
      </w:tblPr>
      <w:tblGrid>
        <w:gridCol w:w="825"/>
        <w:gridCol w:w="2085"/>
        <w:gridCol w:w="1305"/>
        <w:gridCol w:w="1245"/>
        <w:gridCol w:w="2685"/>
        <w:gridCol w:w="855"/>
      </w:tblGrid>
      <w:tr>
        <w:tblPrEx>
          <w:tblLayout w:type="fixed"/>
          <w:tblCellMar>
            <w:top w:w="0" w:type="dxa"/>
            <w:left w:w="108" w:type="dxa"/>
            <w:bottom w:w="0" w:type="dxa"/>
            <w:right w:w="108" w:type="dxa"/>
          </w:tblCellMar>
        </w:tblPrEx>
        <w:trPr>
          <w:jc w:val="center"/>
        </w:trPr>
        <w:tc>
          <w:tcPr>
            <w:tcW w:w="825"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085"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p>
        </w:tc>
        <w:tc>
          <w:tcPr>
            <w:tcW w:w="5235" w:type="dxa"/>
            <w:gridSpan w:val="3"/>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车型：</w:t>
            </w: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vMerge w:val="continue"/>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085" w:type="dxa"/>
            <w:vMerge w:val="continue"/>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工时定额</w:t>
            </w:r>
          </w:p>
        </w:tc>
        <w:tc>
          <w:tcPr>
            <w:tcW w:w="12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工时单价</w:t>
            </w:r>
          </w:p>
        </w:tc>
        <w:tc>
          <w:tcPr>
            <w:tcW w:w="26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工时费（元）</w:t>
            </w:r>
          </w:p>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（工时定额*工时单价）</w:t>
            </w: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20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更换前后刹车片</w:t>
            </w:r>
          </w:p>
        </w:tc>
        <w:tc>
          <w:tcPr>
            <w:tcW w:w="130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2</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更换前大灯</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3</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更换后保险杠</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更换前保险杠</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更换轮胎</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更换机油</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更换刹车油</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更换变速箱油</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更换水箱</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更换离合片</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11</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车辆保养（三芯）</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12</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更换电瓶</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13</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整车喷漆</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2910" w:type="dxa"/>
            <w:gridSpan w:val="2"/>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工时费报价</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bl>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b/>
          <w:bCs/>
          <w:sz w:val="24"/>
          <w:szCs w:val="24"/>
          <w:highlight w:val="none"/>
        </w:rPr>
        <w:t>二、配件费报价清单</w:t>
      </w:r>
    </w:p>
    <w:tbl>
      <w:tblPr>
        <w:tblStyle w:val="21"/>
        <w:tblW w:w="9015" w:type="dxa"/>
        <w:jc w:val="center"/>
        <w:tblInd w:w="0" w:type="dxa"/>
        <w:tblLayout w:type="fixed"/>
        <w:tblCellMar>
          <w:top w:w="0" w:type="dxa"/>
          <w:left w:w="108" w:type="dxa"/>
          <w:bottom w:w="0" w:type="dxa"/>
          <w:right w:w="108" w:type="dxa"/>
        </w:tblCellMar>
      </w:tblPr>
      <w:tblGrid>
        <w:gridCol w:w="840"/>
        <w:gridCol w:w="1917"/>
        <w:gridCol w:w="723"/>
        <w:gridCol w:w="810"/>
        <w:gridCol w:w="885"/>
        <w:gridCol w:w="960"/>
        <w:gridCol w:w="1995"/>
        <w:gridCol w:w="885"/>
      </w:tblGrid>
      <w:tr>
        <w:tblPrEx>
          <w:tblLayout w:type="fixed"/>
          <w:tblCellMar>
            <w:top w:w="0" w:type="dxa"/>
            <w:left w:w="108" w:type="dxa"/>
            <w:bottom w:w="0" w:type="dxa"/>
            <w:right w:w="108" w:type="dxa"/>
          </w:tblCellMar>
        </w:tblPrEx>
        <w:trPr>
          <w:jc w:val="center"/>
        </w:trPr>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序号</w:t>
            </w:r>
          </w:p>
        </w:tc>
        <w:tc>
          <w:tcPr>
            <w:tcW w:w="1917"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配件名称</w:t>
            </w:r>
          </w:p>
        </w:tc>
        <w:tc>
          <w:tcPr>
            <w:tcW w:w="723"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数量</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单位</w:t>
            </w:r>
          </w:p>
        </w:tc>
        <w:tc>
          <w:tcPr>
            <w:tcW w:w="3840" w:type="dxa"/>
            <w:gridSpan w:val="3"/>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车型：</w:t>
            </w:r>
          </w:p>
        </w:tc>
        <w:tc>
          <w:tcPr>
            <w:tcW w:w="885"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备注</w:t>
            </w:r>
          </w:p>
        </w:tc>
      </w:tr>
      <w:tr>
        <w:tblPrEx>
          <w:tblLayout w:type="fixed"/>
          <w:tblCellMar>
            <w:top w:w="0" w:type="dxa"/>
            <w:left w:w="108" w:type="dxa"/>
            <w:bottom w:w="0" w:type="dxa"/>
            <w:right w:w="108" w:type="dxa"/>
          </w:tblCellMar>
        </w:tblPrEx>
        <w:trPr>
          <w:trHeight w:val="118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17"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723"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配件价格</w:t>
            </w:r>
          </w:p>
        </w:tc>
        <w:tc>
          <w:tcPr>
            <w:tcW w:w="96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加价率</w:t>
            </w:r>
          </w:p>
        </w:tc>
        <w:tc>
          <w:tcPr>
            <w:tcW w:w="199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配件费（元）</w:t>
            </w:r>
          </w:p>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配件价格*（1+加价率）</w:t>
            </w:r>
          </w:p>
        </w:tc>
        <w:tc>
          <w:tcPr>
            <w:tcW w:w="885" w:type="dxa"/>
            <w:vMerge w:val="continue"/>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917"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更换前后刹车片</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更换前大灯</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更换后保险杠</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更换前保险杠</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更换轮胎</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更换机油</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更换刹车油</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更换变速箱油</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更换水箱</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更换离合片</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项</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11</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车辆保养（三芯）</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次</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12</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更换电瓶</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13</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整车喷漆</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次</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4290" w:type="dxa"/>
            <w:gridSpan w:val="4"/>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配件费报价</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bl>
    <w:p>
      <w:pPr>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sz w:val="24"/>
          <w:szCs w:val="24"/>
          <w:highlight w:val="none"/>
        </w:rPr>
      </w:pPr>
      <w:r>
        <w:rPr>
          <w:rFonts w:hint="eastAsia" w:ascii="宋体" w:hAnsi="宋体" w:eastAsia="宋体" w:cs="宋体"/>
          <w:b/>
          <w:bCs/>
          <w:sz w:val="24"/>
          <w:szCs w:val="24"/>
          <w:highlight w:val="none"/>
        </w:rPr>
        <w:t>注：所有配件价格执行同一加价率。</w:t>
      </w:r>
    </w:p>
    <w:p>
      <w:pPr>
        <w:pStyle w:val="28"/>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kern w:val="1"/>
          <w:sz w:val="24"/>
          <w:szCs w:val="24"/>
          <w:highlight w:val="none"/>
          <w:lang w:val="en-US" w:eastAsia="zh-CN"/>
        </w:rPr>
      </w:pPr>
      <w:r>
        <w:rPr>
          <w:rFonts w:hint="eastAsia" w:ascii="宋体" w:hAnsi="宋体" w:eastAsia="宋体" w:cs="宋体"/>
          <w:b/>
          <w:sz w:val="24"/>
          <w:szCs w:val="24"/>
          <w:highlight w:val="none"/>
        </w:rPr>
        <w:t>车型：</w:t>
      </w:r>
      <w:r>
        <w:rPr>
          <w:rFonts w:hint="eastAsia" w:ascii="宋体" w:hAnsi="宋体" w:cs="宋体"/>
          <w:kern w:val="1"/>
          <w:sz w:val="24"/>
          <w:szCs w:val="24"/>
          <w:highlight w:val="none"/>
          <w:lang w:val="en-US" w:eastAsia="zh-CN"/>
        </w:rPr>
        <w:t>中兴皮卡</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b/>
          <w:bCs/>
          <w:sz w:val="24"/>
          <w:szCs w:val="24"/>
          <w:highlight w:val="none"/>
        </w:rPr>
        <w:t>一、工时费报价清单</w:t>
      </w:r>
    </w:p>
    <w:tbl>
      <w:tblPr>
        <w:tblStyle w:val="21"/>
        <w:tblW w:w="9000" w:type="dxa"/>
        <w:jc w:val="center"/>
        <w:tblInd w:w="0" w:type="dxa"/>
        <w:tblLayout w:type="fixed"/>
        <w:tblCellMar>
          <w:top w:w="0" w:type="dxa"/>
          <w:left w:w="108" w:type="dxa"/>
          <w:bottom w:w="0" w:type="dxa"/>
          <w:right w:w="108" w:type="dxa"/>
        </w:tblCellMar>
      </w:tblPr>
      <w:tblGrid>
        <w:gridCol w:w="825"/>
        <w:gridCol w:w="2085"/>
        <w:gridCol w:w="1305"/>
        <w:gridCol w:w="1245"/>
        <w:gridCol w:w="2685"/>
        <w:gridCol w:w="855"/>
      </w:tblGrid>
      <w:tr>
        <w:tblPrEx>
          <w:tblLayout w:type="fixed"/>
          <w:tblCellMar>
            <w:top w:w="0" w:type="dxa"/>
            <w:left w:w="108" w:type="dxa"/>
            <w:bottom w:w="0" w:type="dxa"/>
            <w:right w:w="108" w:type="dxa"/>
          </w:tblCellMar>
        </w:tblPrEx>
        <w:trPr>
          <w:jc w:val="center"/>
        </w:trPr>
        <w:tc>
          <w:tcPr>
            <w:tcW w:w="825"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085"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p>
        </w:tc>
        <w:tc>
          <w:tcPr>
            <w:tcW w:w="5235" w:type="dxa"/>
            <w:gridSpan w:val="3"/>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车型：</w:t>
            </w: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vMerge w:val="continue"/>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085" w:type="dxa"/>
            <w:vMerge w:val="continue"/>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工时定额</w:t>
            </w:r>
          </w:p>
        </w:tc>
        <w:tc>
          <w:tcPr>
            <w:tcW w:w="12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工时单价</w:t>
            </w:r>
          </w:p>
        </w:tc>
        <w:tc>
          <w:tcPr>
            <w:tcW w:w="26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工时费（元）</w:t>
            </w:r>
          </w:p>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（工时定额*工时单价）</w:t>
            </w: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20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更换前后刹车片</w:t>
            </w:r>
          </w:p>
        </w:tc>
        <w:tc>
          <w:tcPr>
            <w:tcW w:w="130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2</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更换前大灯</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3</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更换后保险杠</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更换前保险杠</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更换轮胎</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更换机油</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更换刹车油</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更换变速箱油</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更换水箱</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更换离合片</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11</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车辆保养（三芯）</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12</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更换电瓶</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13</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整车喷漆</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2910" w:type="dxa"/>
            <w:gridSpan w:val="2"/>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工时费报价</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bl>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b/>
          <w:bCs/>
          <w:sz w:val="24"/>
          <w:szCs w:val="24"/>
          <w:highlight w:val="none"/>
        </w:rPr>
        <w:t>二、配件费报价清单</w:t>
      </w:r>
    </w:p>
    <w:tbl>
      <w:tblPr>
        <w:tblStyle w:val="21"/>
        <w:tblW w:w="9015" w:type="dxa"/>
        <w:jc w:val="center"/>
        <w:tblInd w:w="0" w:type="dxa"/>
        <w:tblLayout w:type="fixed"/>
        <w:tblCellMar>
          <w:top w:w="0" w:type="dxa"/>
          <w:left w:w="108" w:type="dxa"/>
          <w:bottom w:w="0" w:type="dxa"/>
          <w:right w:w="108" w:type="dxa"/>
        </w:tblCellMar>
      </w:tblPr>
      <w:tblGrid>
        <w:gridCol w:w="840"/>
        <w:gridCol w:w="1917"/>
        <w:gridCol w:w="723"/>
        <w:gridCol w:w="810"/>
        <w:gridCol w:w="885"/>
        <w:gridCol w:w="960"/>
        <w:gridCol w:w="1995"/>
        <w:gridCol w:w="885"/>
      </w:tblGrid>
      <w:tr>
        <w:tblPrEx>
          <w:tblLayout w:type="fixed"/>
          <w:tblCellMar>
            <w:top w:w="0" w:type="dxa"/>
            <w:left w:w="108" w:type="dxa"/>
            <w:bottom w:w="0" w:type="dxa"/>
            <w:right w:w="108" w:type="dxa"/>
          </w:tblCellMar>
        </w:tblPrEx>
        <w:trPr>
          <w:jc w:val="center"/>
        </w:trPr>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序号</w:t>
            </w:r>
          </w:p>
        </w:tc>
        <w:tc>
          <w:tcPr>
            <w:tcW w:w="1917"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配件名称</w:t>
            </w:r>
          </w:p>
        </w:tc>
        <w:tc>
          <w:tcPr>
            <w:tcW w:w="723"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数量</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单位</w:t>
            </w:r>
          </w:p>
        </w:tc>
        <w:tc>
          <w:tcPr>
            <w:tcW w:w="3840" w:type="dxa"/>
            <w:gridSpan w:val="3"/>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车型：</w:t>
            </w:r>
          </w:p>
        </w:tc>
        <w:tc>
          <w:tcPr>
            <w:tcW w:w="885"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备注</w:t>
            </w:r>
          </w:p>
        </w:tc>
      </w:tr>
      <w:tr>
        <w:tblPrEx>
          <w:tblLayout w:type="fixed"/>
          <w:tblCellMar>
            <w:top w:w="0" w:type="dxa"/>
            <w:left w:w="108" w:type="dxa"/>
            <w:bottom w:w="0" w:type="dxa"/>
            <w:right w:w="108" w:type="dxa"/>
          </w:tblCellMar>
        </w:tblPrEx>
        <w:trPr>
          <w:trHeight w:val="118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17"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723"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配件价格</w:t>
            </w:r>
          </w:p>
        </w:tc>
        <w:tc>
          <w:tcPr>
            <w:tcW w:w="96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加价率</w:t>
            </w:r>
          </w:p>
        </w:tc>
        <w:tc>
          <w:tcPr>
            <w:tcW w:w="199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配件费（元）</w:t>
            </w:r>
          </w:p>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配件价格*（1+加价率）</w:t>
            </w:r>
          </w:p>
        </w:tc>
        <w:tc>
          <w:tcPr>
            <w:tcW w:w="885" w:type="dxa"/>
            <w:vMerge w:val="continue"/>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917"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更换前后刹车片</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更换前大灯</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更换后保险杠</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更换前保险杠</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更换轮胎</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更换机油</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更换刹车油</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更换变速箱油</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更换水箱</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更换离合片</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项</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11</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车辆保养（三芯）</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次</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12</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更换电瓶</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13</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整车喷漆</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次</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4290" w:type="dxa"/>
            <w:gridSpan w:val="4"/>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配件费报价</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bl>
    <w:p>
      <w:pPr>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sz w:val="24"/>
          <w:szCs w:val="24"/>
          <w:highlight w:val="none"/>
        </w:rPr>
      </w:pPr>
      <w:r>
        <w:rPr>
          <w:rFonts w:hint="eastAsia" w:ascii="宋体" w:hAnsi="宋体" w:eastAsia="宋体" w:cs="宋体"/>
          <w:b/>
          <w:bCs/>
          <w:sz w:val="24"/>
          <w:szCs w:val="24"/>
          <w:highlight w:val="none"/>
        </w:rPr>
        <w:t>注：所有配件价格执行同一加价率。</w:t>
      </w:r>
    </w:p>
    <w:p>
      <w:pPr>
        <w:pStyle w:val="19"/>
        <w:spacing w:line="360" w:lineRule="auto"/>
        <w:ind w:firstLine="200"/>
        <w:rPr>
          <w:rFonts w:hint="eastAsia" w:ascii="宋体" w:hAnsi="宋体" w:eastAsia="宋体" w:cs="宋体"/>
          <w:sz w:val="24"/>
          <w:szCs w:val="24"/>
          <w:highlight w:val="none"/>
        </w:rPr>
      </w:pPr>
    </w:p>
    <w:p>
      <w:pPr>
        <w:pageBreakBefore w:val="0"/>
        <w:widowControl w:val="0"/>
        <w:kinsoku/>
        <w:wordWrap/>
        <w:overflowPunct/>
        <w:topLinePunct w:val="0"/>
        <w:autoSpaceDE/>
        <w:autoSpaceDN/>
        <w:bidi w:val="0"/>
        <w:adjustRightInd/>
        <w:snapToGrid/>
        <w:spacing w:line="360" w:lineRule="auto"/>
        <w:jc w:val="left"/>
        <w:textAlignment w:val="auto"/>
        <w:rPr>
          <w:rFonts w:hint="eastAsia" w:hAnsi="宋体" w:cs="宋体"/>
          <w:kern w:val="1"/>
          <w:sz w:val="24"/>
          <w:szCs w:val="24"/>
          <w:highlight w:val="none"/>
          <w:lang w:val="en-US" w:eastAsia="zh-CN"/>
        </w:rPr>
      </w:pPr>
      <w:r>
        <w:rPr>
          <w:rFonts w:hint="eastAsia" w:hAnsi="宋体" w:cs="宋体"/>
          <w:kern w:val="1"/>
          <w:sz w:val="24"/>
          <w:szCs w:val="24"/>
          <w:highlight w:val="none"/>
          <w:lang w:val="en-US" w:eastAsia="zh-CN"/>
        </w:rPr>
        <w:t>注：本次参与“工时费总报价（15分）、配件费总报价（10分）”报价为“</w:t>
      </w:r>
      <w:r>
        <w:rPr>
          <w:rFonts w:hint="eastAsia" w:ascii="宋体" w:hAnsi="宋体" w:cs="宋体"/>
          <w:b/>
          <w:bCs/>
          <w:kern w:val="1"/>
          <w:sz w:val="24"/>
          <w:szCs w:val="24"/>
          <w:highlight w:val="none"/>
          <w:lang w:val="en-US" w:eastAsia="zh-CN"/>
        </w:rPr>
        <w:t>大众3000</w:t>
      </w:r>
      <w:r>
        <w:rPr>
          <w:rFonts w:hint="eastAsia" w:hAnsi="宋体" w:cs="宋体"/>
          <w:kern w:val="1"/>
          <w:sz w:val="24"/>
          <w:szCs w:val="24"/>
          <w:highlight w:val="none"/>
          <w:lang w:val="en-US" w:eastAsia="zh-CN"/>
        </w:rPr>
        <w:t>”车型“工时费报价单价之和及配件费报价之和”，其他车型报价不参与“工时费总报价（15分）、配件费总报价（10分）”报价评分。</w:t>
      </w:r>
    </w:p>
    <w:p>
      <w:pPr>
        <w:pStyle w:val="19"/>
        <w:spacing w:line="360" w:lineRule="auto"/>
        <w:ind w:firstLine="200"/>
        <w:rPr>
          <w:rFonts w:hint="eastAsia" w:ascii="宋体" w:hAnsi="宋体" w:eastAsia="宋体" w:cs="宋体"/>
          <w:sz w:val="24"/>
          <w:szCs w:val="24"/>
          <w:highlight w:val="none"/>
        </w:rPr>
      </w:pPr>
    </w:p>
    <w:p>
      <w:pPr>
        <w:adjustRightInd w:val="0"/>
        <w:snapToGrid w:val="0"/>
        <w:spacing w:line="360" w:lineRule="auto"/>
        <w:jc w:val="center"/>
        <w:rPr>
          <w:rFonts w:ascii="宋体" w:hAnsi="宋体"/>
          <w:b/>
          <w:bCs w:val="0"/>
          <w:sz w:val="36"/>
          <w:szCs w:val="36"/>
          <w:highlight w:val="none"/>
        </w:rPr>
      </w:pPr>
      <w:bookmarkStart w:id="35" w:name="_Toc63"/>
      <w:bookmarkStart w:id="36" w:name="_Toc525723064"/>
      <w:r>
        <w:rPr>
          <w:rFonts w:hint="eastAsia" w:ascii="宋体" w:hAnsi="宋体"/>
          <w:b/>
          <w:bCs w:val="0"/>
          <w:sz w:val="36"/>
          <w:szCs w:val="36"/>
          <w:highlight w:val="none"/>
        </w:rPr>
        <w:t>第四部分 开标、评标、定标</w:t>
      </w:r>
      <w:bookmarkEnd w:id="35"/>
    </w:p>
    <w:p>
      <w:pPr>
        <w:pStyle w:val="7"/>
        <w:tabs>
          <w:tab w:val="left" w:pos="3000"/>
        </w:tabs>
        <w:adjustRightInd w:val="0"/>
        <w:snapToGrid w:val="0"/>
        <w:spacing w:before="0" w:line="360" w:lineRule="auto"/>
        <w:outlineLvl w:val="1"/>
        <w:rPr>
          <w:rFonts w:hint="eastAsia" w:ascii="宋体" w:hAnsi="宋体" w:eastAsia="宋体" w:cs="宋体"/>
          <w:bCs/>
          <w:szCs w:val="24"/>
          <w:highlight w:val="none"/>
        </w:rPr>
      </w:pPr>
      <w:bookmarkStart w:id="37" w:name="_Toc525723053"/>
      <w:bookmarkStart w:id="38" w:name="_Toc9487"/>
      <w:r>
        <w:rPr>
          <w:rFonts w:hint="eastAsia" w:ascii="宋体" w:hAnsi="宋体" w:eastAsia="宋体" w:cs="宋体"/>
          <w:b/>
          <w:bCs w:val="0"/>
          <w:szCs w:val="24"/>
          <w:highlight w:val="none"/>
        </w:rPr>
        <w:t>一、开标</w:t>
      </w:r>
      <w:bookmarkEnd w:id="37"/>
      <w:bookmarkEnd w:id="38"/>
      <w:r>
        <w:rPr>
          <w:rFonts w:hint="eastAsia" w:ascii="宋体" w:hAnsi="宋体" w:eastAsia="宋体" w:cs="宋体"/>
          <w:bCs/>
          <w:szCs w:val="24"/>
          <w:highlight w:val="none"/>
        </w:rPr>
        <w:tab/>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1、开标地点：详见投标人须知前附表。</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2、开标时间：详见投标人须知前附表。</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3、开标由采购代理机构主持，邀请所有投标人参加。</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4、检查密封情况：开标时，由投标人的法定代表人或其授权人和采购代理机构委托的见证机构检查投标文件的密封情况，见证机构对投标文件的密封情况进行见证。</w:t>
      </w:r>
    </w:p>
    <w:p>
      <w:pPr>
        <w:pStyle w:val="7"/>
        <w:tabs>
          <w:tab w:val="left" w:pos="735"/>
        </w:tabs>
        <w:adjustRightInd w:val="0"/>
        <w:snapToGrid w:val="0"/>
        <w:spacing w:before="0" w:line="360" w:lineRule="auto"/>
        <w:outlineLvl w:val="1"/>
        <w:rPr>
          <w:rFonts w:hint="eastAsia" w:ascii="宋体" w:hAnsi="宋体" w:eastAsia="宋体" w:cs="宋体"/>
          <w:b/>
          <w:bCs w:val="0"/>
          <w:szCs w:val="24"/>
          <w:highlight w:val="none"/>
        </w:rPr>
      </w:pPr>
      <w:bookmarkStart w:id="39" w:name="_Toc525723054"/>
      <w:bookmarkStart w:id="40" w:name="_Toc2076"/>
      <w:r>
        <w:rPr>
          <w:rFonts w:hint="eastAsia" w:ascii="宋体" w:hAnsi="宋体" w:eastAsia="宋体" w:cs="宋体"/>
          <w:b/>
          <w:bCs w:val="0"/>
          <w:szCs w:val="24"/>
          <w:highlight w:val="none"/>
        </w:rPr>
        <w:t>二、评标委员会</w:t>
      </w:r>
      <w:bookmarkEnd w:id="39"/>
      <w:bookmarkEnd w:id="40"/>
    </w:p>
    <w:p>
      <w:pPr>
        <w:tabs>
          <w:tab w:val="left" w:pos="840"/>
        </w:tabs>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招标人将根据本项目的特点依法组建评标委员会，评标委员会负责对投标文件进行审查、质疑、评审，确定入围投标人、中标人。</w:t>
      </w:r>
    </w:p>
    <w:p>
      <w:pPr>
        <w:pStyle w:val="7"/>
        <w:adjustRightInd w:val="0"/>
        <w:snapToGrid w:val="0"/>
        <w:spacing w:before="0" w:line="360" w:lineRule="auto"/>
        <w:outlineLvl w:val="1"/>
        <w:rPr>
          <w:rFonts w:hint="eastAsia" w:ascii="宋体" w:hAnsi="宋体" w:eastAsia="宋体" w:cs="宋体"/>
          <w:b/>
          <w:bCs w:val="0"/>
          <w:szCs w:val="24"/>
          <w:highlight w:val="none"/>
        </w:rPr>
      </w:pPr>
      <w:bookmarkStart w:id="41" w:name="_Toc525723055"/>
      <w:bookmarkStart w:id="42" w:name="_Toc11821"/>
      <w:r>
        <w:rPr>
          <w:rFonts w:hint="eastAsia" w:ascii="宋体" w:hAnsi="宋体" w:eastAsia="宋体" w:cs="宋体"/>
          <w:b/>
          <w:bCs w:val="0"/>
          <w:szCs w:val="24"/>
          <w:highlight w:val="none"/>
        </w:rPr>
        <w:t>三、评标委员会审查投标文件的响应性</w:t>
      </w:r>
      <w:bookmarkEnd w:id="41"/>
      <w:bookmarkEnd w:id="42"/>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1、开标后，评标委员会将组织审查投标文件是否完整；招标文件要求提交的投标保证金是否已提交；投标文件是否已按招标文件的要求签署。</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2、评标委员会将依据投标人提供的投标文件审查投标人的财务、技术和供货能力。如果确定投标人无资格或无能力履行合同，其投标将被拒绝。</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评标委员会将确定每一投标人是否对招标文件的要求做出了实质性的响应而没有重大偏离。实质性响应的投标是指投标符合招标文件的所有条款、条件和规定且没有重大偏离或保留。评标委员会判断投标文件的响应性仅基于投标文件本身而不靠外部证据。</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4、评标委员会将拒绝被确定为非实质性响应的投标文件，投标人不能通过修正或撤销投标文件中的不符之处而使其投标成为实质性响应的投标。</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5、评标委员会允许投标人修改投标文件中不构成重大偏离的、微小的、非正规、不一致或不规则的地方。但是修改和补充的内容不能改变投标文件的实质性内容，投标人修改和补充的内容以书面承诺材料为准。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6、投标文件对招标文件构成偏离的，应单独注明。</w:t>
      </w:r>
    </w:p>
    <w:p>
      <w:pPr>
        <w:pStyle w:val="7"/>
        <w:adjustRightInd w:val="0"/>
        <w:snapToGrid w:val="0"/>
        <w:spacing w:before="0" w:line="360" w:lineRule="auto"/>
        <w:outlineLvl w:val="1"/>
        <w:rPr>
          <w:rFonts w:hint="eastAsia" w:ascii="宋体" w:hAnsi="宋体" w:eastAsia="宋体" w:cs="宋体"/>
          <w:b/>
          <w:bCs w:val="0"/>
          <w:szCs w:val="24"/>
          <w:highlight w:val="none"/>
        </w:rPr>
      </w:pPr>
      <w:bookmarkStart w:id="43" w:name="_Toc17216"/>
      <w:bookmarkStart w:id="44" w:name="_Toc525723056"/>
      <w:r>
        <w:rPr>
          <w:rFonts w:hint="eastAsia" w:ascii="宋体" w:hAnsi="宋体" w:eastAsia="宋体" w:cs="宋体"/>
          <w:b/>
          <w:bCs w:val="0"/>
          <w:szCs w:val="24"/>
          <w:highlight w:val="none"/>
        </w:rPr>
        <w:t>四、评标委员会进行询标及投标人对投标文件的澄清</w:t>
      </w:r>
      <w:bookmarkEnd w:id="43"/>
      <w:bookmarkEnd w:id="44"/>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1、开标后，评标委员会将对投标文件进行审查、质疑、评估和比较，并对投标文件中存在的问题向投标人进行询问。</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2、询标是评标中的重要环节，投标人的法定代表人或其授权人在评标委员会认为需要的时候必须接受评标委员会的询标。</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为有助于对投标文件进行审查，评标委员会有权向投标人询问。评标委员会有权以书面形式要求投标人对其投标文件中含义不明确、同类问题表述不一致或者有明显文字和计算错误的内容作出必要的澄清、说明或者补正。但投标人的澄清、说明或者补正应当采用书面形式，由其法定代表人或授权代理人签字，并不得超出投标文件的范围或改变投标文件的实质性内容。投标人澄清、说明或者补正的内容构成投标文件的组成部分。投标人拒不按照要求对投标文件进行澄清、说明或者补正的，评标委员会可拒绝该投标。</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如评标委员会一致认为某个投标人的投标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5、澄清的内容将构成投标文件的组成部分。</w:t>
      </w:r>
    </w:p>
    <w:p>
      <w:pPr>
        <w:pStyle w:val="7"/>
        <w:tabs>
          <w:tab w:val="left" w:pos="735"/>
        </w:tabs>
        <w:adjustRightInd w:val="0"/>
        <w:snapToGrid w:val="0"/>
        <w:spacing w:before="0" w:line="360" w:lineRule="auto"/>
        <w:outlineLvl w:val="1"/>
        <w:rPr>
          <w:rFonts w:hint="eastAsia" w:ascii="宋体" w:hAnsi="宋体" w:eastAsia="宋体" w:cs="宋体"/>
          <w:b/>
          <w:bCs w:val="0"/>
          <w:szCs w:val="24"/>
          <w:highlight w:val="none"/>
        </w:rPr>
      </w:pPr>
      <w:bookmarkStart w:id="45" w:name="_Toc20323"/>
      <w:bookmarkStart w:id="46" w:name="_Toc525723057"/>
      <w:r>
        <w:rPr>
          <w:rFonts w:hint="eastAsia" w:ascii="宋体" w:hAnsi="宋体" w:eastAsia="宋体" w:cs="宋体"/>
          <w:b/>
          <w:bCs w:val="0"/>
          <w:szCs w:val="24"/>
          <w:highlight w:val="none"/>
        </w:rPr>
        <w:t>五、评标原则</w:t>
      </w:r>
      <w:bookmarkEnd w:id="45"/>
      <w:bookmarkEnd w:id="46"/>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“公平、公正、科学、择优、效益”为本次评标的基本原则，评标委员会将按照这一原则的要求，公正、平等地对待各投标人。同时，在评标时恪守以下原则：</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1、客观性原则：评标委员会将严格按照招标文件的要求，对各投标人的投标文件进行认真评审；评标委员会对投标文件的评审仅依靠投标文件本身，而不依靠投标文件以外的任何因素。</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2、统一性原则：评标委员会将按照统一的评标原则和评标方法，用同一标准进行评标。</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3、独立性原则：评标工作在评标委员会内部独立进行，不受外界任何因素的干扰和影响。</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4、保密性原则：评委及熟知情况的有关工作人员将保守投标人的商业秘密。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5、综合性原则：评标委员会将综合分析、评审投标人的各项指标，而不以单项指标的优劣评定出中标人。</w:t>
      </w:r>
    </w:p>
    <w:p>
      <w:pPr>
        <w:pStyle w:val="7"/>
        <w:tabs>
          <w:tab w:val="left" w:pos="735"/>
        </w:tabs>
        <w:adjustRightInd w:val="0"/>
        <w:snapToGrid w:val="0"/>
        <w:spacing w:before="0" w:line="360" w:lineRule="auto"/>
        <w:outlineLvl w:val="1"/>
        <w:rPr>
          <w:rFonts w:hint="eastAsia" w:ascii="宋体" w:hAnsi="宋体" w:eastAsia="宋体" w:cs="宋体"/>
          <w:b/>
          <w:bCs w:val="0"/>
          <w:szCs w:val="24"/>
          <w:highlight w:val="none"/>
        </w:rPr>
      </w:pPr>
      <w:bookmarkStart w:id="47" w:name="_Toc525723058"/>
      <w:bookmarkStart w:id="48" w:name="_Toc25941"/>
      <w:r>
        <w:rPr>
          <w:rFonts w:hint="eastAsia" w:ascii="宋体" w:hAnsi="宋体" w:eastAsia="宋体" w:cs="宋体"/>
          <w:b/>
          <w:bCs w:val="0"/>
          <w:szCs w:val="24"/>
          <w:highlight w:val="none"/>
        </w:rPr>
        <w:t>六、评标方法</w:t>
      </w:r>
      <w:bookmarkEnd w:id="47"/>
      <w:bookmarkEnd w:id="48"/>
    </w:p>
    <w:p>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本项目均采用综合评分法。</w:t>
      </w:r>
    </w:p>
    <w:p>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评标委员会成员综合评定各投标人提交的投标文件，由评标委员会综合各评委意见，确定入围</w:t>
      </w:r>
      <w:r>
        <w:rPr>
          <w:rFonts w:hint="eastAsia" w:ascii="宋体" w:hAnsi="宋体" w:cs="宋体"/>
          <w:b/>
          <w:sz w:val="24"/>
          <w:szCs w:val="24"/>
          <w:highlight w:val="none"/>
          <w:lang w:val="en-US" w:eastAsia="zh-CN"/>
        </w:rPr>
        <w:t>1名</w:t>
      </w:r>
      <w:r>
        <w:rPr>
          <w:rFonts w:hint="eastAsia" w:ascii="宋体" w:hAnsi="宋体" w:eastAsia="宋体" w:cs="宋体"/>
          <w:b/>
          <w:sz w:val="24"/>
          <w:szCs w:val="24"/>
          <w:highlight w:val="none"/>
        </w:rPr>
        <w:t>中标人。</w:t>
      </w:r>
    </w:p>
    <w:p>
      <w:pPr>
        <w:pStyle w:val="14"/>
        <w:tabs>
          <w:tab w:val="right" w:leader="dot" w:pos="8302"/>
        </w:tabs>
        <w:spacing w:line="360" w:lineRule="auto"/>
        <w:rPr>
          <w:rFonts w:hint="eastAsia" w:ascii="宋体" w:hAnsi="宋体" w:eastAsia="宋体" w:cs="宋体"/>
          <w:highlight w:val="none"/>
        </w:rPr>
      </w:pPr>
      <w:r>
        <w:rPr>
          <w:rFonts w:hint="eastAsia" w:ascii="宋体" w:hAnsi="宋体" w:eastAsia="宋体" w:cs="宋体"/>
          <w:highlight w:val="none"/>
        </w:rPr>
        <w:t>（一）初步评审。</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1、评标委员会根据招标文件规定，详细审阅投标文件是否对招标文件提出的所有要求和条件做出实质性响应。</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（1）评标委员会组织审查投标文件是否完整；招标文件要求提交的投标保证金是否已提交；投标文件是否已按招标文件的要求签署。</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（2）评标委员会将依据投标人提供的资格、资质证明文件，对投标人的财务、技术和服务能力进行审查，确定投标人有无资格或能力履行合同。</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（3）评标委员会对投标文件中含义不明确、对同类问题表述不一致或有明显文字和计算错误的内容，要求投标人以书面形式予以澄清、说明或纠正，但不得超出投标文件的范围或改变投标文件的实质性内容。</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投标文件的明显文字和计算错误按以下原则进行修正：</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①投标文件中的大写金额和小写金额不一致的，以大写金额为准。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②单价乘数量不等于总价的，以单价为准修正总价，但单价小数点有明显错误的除外。</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③文字表述的数据与数字表述的有差别的，以文字为准修正数字。</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2、评标委员会根据详细审阅结果，逐项列出投标文件的全部投标偏差。投标偏差分为重大偏差和细微偏差。</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重大偏差包括以下内容：</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（1）未按招标文件要求提交投标保证金；</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（2）投标人提供的投标文件不完整；</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（3）投标文件未按招标文件要求签署；</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（4）投标文件载明的服务时间不能被招标人接受；</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（5）投标文件附有招标人不能接受的条件；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（6）投标文件不能响应招标文件的商务或技术要求；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（7）不符合招标文件中规定的其他实质性要求。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投标文件有上述情况之一的，将做无效投标或废标处理。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细微偏差是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（二）综合评审，确定入围中标人。</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评标委员会成员对各包通过初步评审的投标人的投标文件进行综合评价并量化打分，依据投标人得分高低确定中标人。</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每一投标人的最终得分为所有评委评分的算术平均值。当综合评议得分相同时，以技术部分得分高低确定排名先后，如仍相同，以评标委员会经过讨论按照少数服从多数的原则确定排名先后。按入围投标人数量要求排名靠前的确定为入围中标人。</w:t>
      </w:r>
    </w:p>
    <w:p>
      <w:pPr>
        <w:pStyle w:val="15"/>
        <w:adjustRightInd w:val="0"/>
        <w:snapToGrid w:val="0"/>
        <w:spacing w:line="360" w:lineRule="auto"/>
        <w:ind w:firstLine="460"/>
        <w:rPr>
          <w:rFonts w:hint="eastAsia" w:ascii="宋体" w:hAnsi="宋体" w:eastAsia="宋体" w:cs="宋体"/>
          <w:kern w:val="0"/>
          <w:szCs w:val="24"/>
          <w:highlight w:val="none"/>
        </w:rPr>
      </w:pPr>
      <w:r>
        <w:rPr>
          <w:rFonts w:hint="eastAsia" w:ascii="宋体" w:hAnsi="宋体" w:eastAsia="宋体" w:cs="宋体"/>
          <w:kern w:val="0"/>
          <w:szCs w:val="24"/>
          <w:highlight w:val="none"/>
        </w:rPr>
        <w:t>如出现投标人达不到法定要求数量、均未对招标文件做出实质性响应、全部落标、串通投标以及投标人互相诋毁，导致评标委员会无法评标或投标人报价均超出项目预算时，评标委员会有权停止招标，否决所有投标，招标人有权改用其他招标人式进行采购。</w:t>
      </w:r>
    </w:p>
    <w:p>
      <w:pPr>
        <w:pStyle w:val="7"/>
        <w:tabs>
          <w:tab w:val="left" w:pos="735"/>
        </w:tabs>
        <w:adjustRightInd w:val="0"/>
        <w:snapToGrid w:val="0"/>
        <w:spacing w:before="0" w:line="360" w:lineRule="auto"/>
        <w:outlineLvl w:val="1"/>
        <w:rPr>
          <w:rFonts w:hint="eastAsia" w:ascii="宋体" w:hAnsi="宋体" w:eastAsia="宋体" w:cs="宋体"/>
          <w:b/>
          <w:bCs w:val="0"/>
          <w:szCs w:val="24"/>
          <w:highlight w:val="none"/>
        </w:rPr>
      </w:pPr>
      <w:bookmarkStart w:id="49" w:name="_Toc525723059"/>
      <w:bookmarkStart w:id="50" w:name="_Toc24351"/>
      <w:r>
        <w:rPr>
          <w:rFonts w:hint="eastAsia" w:ascii="宋体" w:hAnsi="宋体" w:eastAsia="宋体" w:cs="宋体"/>
          <w:b/>
          <w:bCs w:val="0"/>
          <w:szCs w:val="24"/>
          <w:highlight w:val="none"/>
        </w:rPr>
        <w:t>七、评标纪律</w:t>
      </w:r>
      <w:bookmarkEnd w:id="49"/>
      <w:bookmarkEnd w:id="50"/>
    </w:p>
    <w:p>
      <w:pPr>
        <w:adjustRightInd w:val="0"/>
        <w:snapToGrid w:val="0"/>
        <w:spacing w:line="360" w:lineRule="auto"/>
        <w:ind w:firstLine="460"/>
        <w:rPr>
          <w:rFonts w:hint="eastAsia" w:ascii="宋体" w:hAnsi="宋体" w:eastAsia="宋体" w:cs="宋体"/>
          <w:b/>
          <w:sz w:val="24"/>
          <w:szCs w:val="24"/>
          <w:highlight w:val="none"/>
        </w:rPr>
      </w:pPr>
      <w:r>
        <w:rPr>
          <w:rFonts w:hint="eastAsia" w:ascii="宋体" w:hAnsi="宋体" w:eastAsia="宋体" w:cs="宋体"/>
          <w:sz w:val="24"/>
          <w:szCs w:val="24"/>
          <w:highlight w:val="none"/>
        </w:rPr>
        <w:t>1、评标是招标工作的重要环节，评标工作在评标委员会内部独立进行。评标委员会将按照评标原则的要求，公正、平等地对待所有投标人。</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2、所有评标人员应忠于职守、廉洁自律、秉公办事、不徇私情。</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3、评标人员不得接受或参加投标人或与投标有关的单位、组织或个人的有碍公务的宴请、娱乐等，不得以任何形式弄虚作假。</w:t>
      </w:r>
    </w:p>
    <w:p>
      <w:pPr>
        <w:adjustRightInd w:val="0"/>
        <w:snapToGrid w:val="0"/>
        <w:spacing w:line="360" w:lineRule="auto"/>
        <w:ind w:firstLine="460"/>
        <w:rPr>
          <w:rFonts w:hint="eastAsia" w:ascii="宋体" w:hAnsi="宋体" w:eastAsia="宋体" w:cs="宋体"/>
          <w:sz w:val="24"/>
          <w:szCs w:val="24"/>
          <w:highlight w:val="none"/>
        </w:rPr>
      </w:pPr>
      <w:r>
        <w:rPr>
          <w:rFonts w:hint="eastAsia" w:ascii="宋体" w:hAnsi="宋体" w:eastAsia="宋体" w:cs="宋体"/>
          <w:sz w:val="24"/>
          <w:szCs w:val="24"/>
          <w:highlight w:val="none"/>
        </w:rPr>
        <w:t>4、评标期间，评标人员不得随意出入评标地点、与外界通讯、会客等。</w:t>
      </w:r>
    </w:p>
    <w:p>
      <w:pPr>
        <w:adjustRightInd w:val="0"/>
        <w:snapToGrid w:val="0"/>
        <w:spacing w:line="360" w:lineRule="auto"/>
        <w:ind w:firstLine="460"/>
        <w:rPr>
          <w:rFonts w:hint="eastAsia" w:ascii="宋体" w:hAnsi="宋体" w:eastAsia="宋体" w:cs="宋体"/>
          <w:sz w:val="24"/>
          <w:szCs w:val="24"/>
          <w:highlight w:val="none"/>
        </w:rPr>
      </w:pPr>
      <w:r>
        <w:rPr>
          <w:rFonts w:hint="eastAsia" w:ascii="宋体" w:hAnsi="宋体" w:eastAsia="宋体" w:cs="宋体"/>
          <w:sz w:val="24"/>
          <w:szCs w:val="24"/>
          <w:highlight w:val="none"/>
        </w:rPr>
        <w:t>5、在投标文件的审查、澄清、评价和比较以及授予合同的过程中，投标人对招标人、采购代理机构及评标委员会其他成员施加影响的任何行为，都将导致被取消投标资格。</w:t>
      </w:r>
    </w:p>
    <w:p>
      <w:pPr>
        <w:adjustRightInd w:val="0"/>
        <w:snapToGrid w:val="0"/>
        <w:spacing w:line="360" w:lineRule="auto"/>
        <w:ind w:firstLine="460"/>
        <w:rPr>
          <w:rFonts w:hint="eastAsia" w:ascii="宋体" w:hAnsi="宋体" w:eastAsia="宋体" w:cs="宋体"/>
          <w:sz w:val="24"/>
          <w:szCs w:val="24"/>
          <w:highlight w:val="none"/>
        </w:rPr>
      </w:pPr>
      <w:r>
        <w:rPr>
          <w:rFonts w:hint="eastAsia" w:ascii="宋体" w:hAnsi="宋体" w:eastAsia="宋体" w:cs="宋体"/>
          <w:sz w:val="24"/>
          <w:szCs w:val="24"/>
          <w:highlight w:val="none"/>
        </w:rPr>
        <w:t>6、为保证定标的公正性，在评标过程中，评委不得与任何投标人或与招标结果有利害关系的人员进行私下接触。在评标工作结束后，凡与评标情况有接触的任何人，不得将评标情况扩散出评标委员会以外。</w:t>
      </w:r>
    </w:p>
    <w:p>
      <w:pPr>
        <w:adjustRightInd w:val="0"/>
        <w:snapToGrid w:val="0"/>
        <w:spacing w:line="360" w:lineRule="auto"/>
        <w:ind w:firstLine="460"/>
        <w:rPr>
          <w:rFonts w:hint="eastAsia" w:ascii="宋体" w:hAnsi="宋体" w:eastAsia="宋体" w:cs="宋体"/>
          <w:sz w:val="24"/>
          <w:szCs w:val="24"/>
          <w:highlight w:val="none"/>
        </w:rPr>
      </w:pPr>
      <w:r>
        <w:rPr>
          <w:rFonts w:hint="eastAsia" w:ascii="宋体" w:hAnsi="宋体" w:eastAsia="宋体" w:cs="宋体"/>
          <w:sz w:val="24"/>
          <w:szCs w:val="24"/>
          <w:highlight w:val="none"/>
        </w:rPr>
        <w:t>7、评标结束后，各评标人员应将全部资料整理上交采购代理机构，严禁将评标过程中的任何资料带出评标现场向投标人或其他单位提供。</w:t>
      </w:r>
    </w:p>
    <w:p>
      <w:pPr>
        <w:adjustRightInd w:val="0"/>
        <w:snapToGrid w:val="0"/>
        <w:spacing w:line="360" w:lineRule="auto"/>
        <w:ind w:firstLine="460"/>
        <w:rPr>
          <w:rFonts w:hint="eastAsia" w:ascii="宋体" w:hAnsi="宋体" w:eastAsia="宋体" w:cs="宋体"/>
          <w:sz w:val="24"/>
          <w:szCs w:val="24"/>
          <w:highlight w:val="none"/>
        </w:rPr>
      </w:pPr>
      <w:r>
        <w:rPr>
          <w:rFonts w:hint="eastAsia" w:ascii="宋体" w:hAnsi="宋体" w:eastAsia="宋体" w:cs="宋体"/>
          <w:sz w:val="24"/>
          <w:szCs w:val="24"/>
          <w:highlight w:val="none"/>
        </w:rPr>
        <w:t>8、招标人与采购代理机构应对评标委员会成员名单、项目资金预算、已购买招标文件的潜在投标人名单、评标过程予以保密。</w:t>
      </w:r>
    </w:p>
    <w:p>
      <w:pPr>
        <w:adjustRightInd w:val="0"/>
        <w:snapToGrid w:val="0"/>
        <w:spacing w:line="360" w:lineRule="auto"/>
        <w:ind w:firstLine="460"/>
        <w:rPr>
          <w:rFonts w:hint="eastAsia" w:ascii="宋体" w:hAnsi="宋体" w:eastAsia="宋体" w:cs="宋体"/>
          <w:sz w:val="24"/>
          <w:szCs w:val="24"/>
          <w:highlight w:val="none"/>
        </w:rPr>
      </w:pPr>
      <w:r>
        <w:rPr>
          <w:rFonts w:hint="eastAsia" w:ascii="宋体" w:hAnsi="宋体" w:eastAsia="宋体" w:cs="宋体"/>
          <w:sz w:val="24"/>
          <w:szCs w:val="24"/>
          <w:highlight w:val="none"/>
        </w:rPr>
        <w:t>9、评标委员会对各投标人的商业秘密予以保密。</w:t>
      </w:r>
    </w:p>
    <w:p>
      <w:pPr>
        <w:adjustRightInd w:val="0"/>
        <w:snapToGrid w:val="0"/>
        <w:spacing w:line="360" w:lineRule="auto"/>
        <w:ind w:firstLine="460"/>
        <w:rPr>
          <w:rFonts w:hint="eastAsia" w:ascii="宋体" w:hAnsi="宋体" w:eastAsia="宋体" w:cs="宋体"/>
          <w:sz w:val="24"/>
          <w:szCs w:val="24"/>
          <w:highlight w:val="none"/>
        </w:rPr>
      </w:pPr>
      <w:r>
        <w:rPr>
          <w:rFonts w:hint="eastAsia" w:ascii="宋体" w:hAnsi="宋体" w:eastAsia="宋体" w:cs="宋体"/>
          <w:sz w:val="24"/>
          <w:szCs w:val="24"/>
          <w:highlight w:val="none"/>
        </w:rPr>
        <w:t>10、评标委员会成员应当客观、公正地履行职责，遵守职业道德，对所提出的评审意见承担个人责任。</w:t>
      </w:r>
    </w:p>
    <w:p>
      <w:pPr>
        <w:adjustRightInd w:val="0"/>
        <w:snapToGrid w:val="0"/>
        <w:spacing w:line="360" w:lineRule="auto"/>
        <w:ind w:firstLine="460"/>
        <w:rPr>
          <w:rFonts w:hint="eastAsia" w:ascii="宋体" w:hAnsi="宋体" w:eastAsia="宋体" w:cs="宋体"/>
          <w:sz w:val="24"/>
          <w:szCs w:val="24"/>
          <w:highlight w:val="none"/>
        </w:rPr>
      </w:pPr>
      <w:r>
        <w:rPr>
          <w:rFonts w:hint="eastAsia" w:ascii="宋体" w:hAnsi="宋体" w:eastAsia="宋体" w:cs="宋体"/>
          <w:sz w:val="24"/>
          <w:szCs w:val="24"/>
          <w:highlight w:val="none"/>
        </w:rPr>
        <w:t>11、整个评标过程中，投标人企图影响招标结果的任何活动，可能导致投标失败。如有违法行为，将依法追究其法律责任。</w:t>
      </w:r>
    </w:p>
    <w:p>
      <w:pPr>
        <w:pStyle w:val="4"/>
        <w:numPr>
          <w:ilvl w:val="0"/>
          <w:numId w:val="0"/>
        </w:numPr>
        <w:spacing w:before="0" w:after="0" w:line="360" w:lineRule="auto"/>
        <w:rPr>
          <w:rFonts w:hint="eastAsia" w:ascii="宋体" w:hAnsi="宋体" w:eastAsia="宋体" w:cs="宋体"/>
          <w:sz w:val="24"/>
          <w:szCs w:val="24"/>
          <w:highlight w:val="none"/>
        </w:rPr>
      </w:pPr>
      <w:bookmarkStart w:id="51" w:name="_Toc16082"/>
      <w:bookmarkStart w:id="52" w:name="_Toc525723060"/>
      <w:r>
        <w:rPr>
          <w:rFonts w:hint="eastAsia" w:ascii="宋体" w:hAnsi="宋体" w:eastAsia="宋体" w:cs="宋体"/>
          <w:sz w:val="24"/>
          <w:szCs w:val="24"/>
          <w:highlight w:val="none"/>
        </w:rPr>
        <w:t>八、中标通知书</w:t>
      </w:r>
      <w:bookmarkEnd w:id="51"/>
      <w:bookmarkEnd w:id="52"/>
    </w:p>
    <w:p>
      <w:pPr>
        <w:adjustRightInd w:val="0"/>
        <w:snapToGrid w:val="0"/>
        <w:spacing w:line="360" w:lineRule="auto"/>
        <w:ind w:firstLine="460"/>
        <w:rPr>
          <w:rFonts w:hint="eastAsia" w:ascii="宋体" w:hAnsi="宋体" w:eastAsia="宋体" w:cs="宋体"/>
          <w:sz w:val="24"/>
          <w:szCs w:val="24"/>
          <w:highlight w:val="none"/>
        </w:rPr>
      </w:pPr>
      <w:r>
        <w:rPr>
          <w:rFonts w:hint="eastAsia" w:ascii="宋体" w:hAnsi="宋体" w:eastAsia="宋体" w:cs="宋体"/>
          <w:sz w:val="24"/>
          <w:szCs w:val="24"/>
          <w:highlight w:val="none"/>
        </w:rPr>
        <w:t>在投标有效期内，招标人将依据评标委员会确定的中标结果向中标人签发《中标通知书》。</w:t>
      </w:r>
    </w:p>
    <w:p>
      <w:pPr>
        <w:pStyle w:val="4"/>
        <w:numPr>
          <w:ilvl w:val="0"/>
          <w:numId w:val="0"/>
        </w:numPr>
        <w:spacing w:before="0" w:after="0" w:line="360" w:lineRule="auto"/>
        <w:rPr>
          <w:rFonts w:hint="eastAsia" w:ascii="宋体" w:hAnsi="宋体" w:eastAsia="宋体" w:cs="宋体"/>
          <w:kern w:val="2"/>
          <w:sz w:val="24"/>
          <w:szCs w:val="24"/>
          <w:highlight w:val="none"/>
        </w:rPr>
      </w:pPr>
      <w:bookmarkStart w:id="53" w:name="_Toc525723061"/>
      <w:bookmarkStart w:id="54" w:name="_Toc30900"/>
      <w:r>
        <w:rPr>
          <w:rFonts w:hint="eastAsia" w:ascii="宋体" w:hAnsi="宋体" w:eastAsia="宋体" w:cs="宋体"/>
          <w:kern w:val="2"/>
          <w:sz w:val="24"/>
          <w:szCs w:val="24"/>
          <w:highlight w:val="none"/>
        </w:rPr>
        <w:t>九、评标过程保密</w:t>
      </w:r>
      <w:bookmarkEnd w:id="53"/>
      <w:bookmarkEnd w:id="54"/>
    </w:p>
    <w:p>
      <w:pPr>
        <w:adjustRightInd w:val="0"/>
        <w:snapToGrid w:val="0"/>
        <w:spacing w:line="360" w:lineRule="auto"/>
        <w:ind w:firstLine="460"/>
        <w:rPr>
          <w:rFonts w:hint="eastAsia" w:ascii="宋体" w:hAnsi="宋体" w:eastAsia="宋体" w:cs="宋体"/>
          <w:sz w:val="24"/>
          <w:szCs w:val="24"/>
          <w:highlight w:val="none"/>
        </w:rPr>
      </w:pPr>
      <w:r>
        <w:rPr>
          <w:rFonts w:hint="eastAsia" w:ascii="宋体" w:hAnsi="宋体" w:eastAsia="宋体" w:cs="宋体"/>
          <w:sz w:val="24"/>
          <w:szCs w:val="24"/>
          <w:highlight w:val="none"/>
        </w:rPr>
        <w:t>开标之后，直到签订合同止，凡是属于审查、澄清、评价和比较的有关资料等，均不向投标人或者其他与评标无关的人员透露。</w:t>
      </w:r>
    </w:p>
    <w:p>
      <w:pPr>
        <w:pStyle w:val="4"/>
        <w:numPr>
          <w:ilvl w:val="0"/>
          <w:numId w:val="0"/>
        </w:numPr>
        <w:spacing w:before="0" w:after="0" w:line="360" w:lineRule="auto"/>
        <w:rPr>
          <w:rFonts w:hint="eastAsia" w:ascii="宋体" w:hAnsi="宋体" w:eastAsia="宋体" w:cs="宋体"/>
          <w:kern w:val="2"/>
          <w:sz w:val="24"/>
          <w:szCs w:val="24"/>
          <w:highlight w:val="none"/>
        </w:rPr>
      </w:pPr>
      <w:bookmarkStart w:id="55" w:name="_Toc525723062"/>
      <w:bookmarkStart w:id="56" w:name="_Toc16274"/>
      <w:r>
        <w:rPr>
          <w:rFonts w:hint="eastAsia" w:ascii="宋体" w:hAnsi="宋体" w:eastAsia="宋体" w:cs="宋体"/>
          <w:kern w:val="2"/>
          <w:sz w:val="24"/>
          <w:szCs w:val="24"/>
          <w:highlight w:val="none"/>
        </w:rPr>
        <w:t>十、投标人瑕疵滞后的处理</w:t>
      </w:r>
      <w:bookmarkEnd w:id="55"/>
      <w:bookmarkEnd w:id="56"/>
    </w:p>
    <w:p>
      <w:pPr>
        <w:adjustRightInd w:val="0"/>
        <w:snapToGrid w:val="0"/>
        <w:spacing w:line="360" w:lineRule="auto"/>
        <w:ind w:firstLine="460"/>
        <w:rPr>
          <w:rFonts w:hint="eastAsia" w:ascii="宋体" w:hAnsi="宋体" w:eastAsia="宋体" w:cs="宋体"/>
          <w:sz w:val="24"/>
          <w:szCs w:val="24"/>
          <w:highlight w:val="none"/>
        </w:rPr>
      </w:pPr>
      <w:r>
        <w:rPr>
          <w:rFonts w:hint="eastAsia" w:ascii="宋体" w:hAnsi="宋体" w:eastAsia="宋体" w:cs="宋体"/>
          <w:sz w:val="24"/>
          <w:szCs w:val="24"/>
          <w:highlight w:val="none"/>
        </w:rPr>
        <w:t>1、 无论基于何种原因，各项本应作拒绝处理的情形即便未被及时发现而使该投标人进入初审、综合评标或其它后续程序，包括已经签订合同的情形，一旦在任何时间被发现存在上述情形，则代理招标人均有权随时视情形决定是否取消该投标人的此前评议结果，或随时视情形决定是否对该投标予以拒绝，并有权决定采取相应的补救或纠正措施。一旦该投标人被拒绝或被取消该投标人的此前评议结果，其现有的位置将被其他投标人依序替代，相关的一切损失均由该投标人承担。</w:t>
      </w:r>
    </w:p>
    <w:p>
      <w:pPr>
        <w:adjustRightInd w:val="0"/>
        <w:snapToGrid w:val="0"/>
        <w:spacing w:line="360" w:lineRule="auto"/>
        <w:ind w:firstLine="460"/>
        <w:rPr>
          <w:rFonts w:hint="eastAsia" w:ascii="宋体" w:hAnsi="宋体" w:eastAsia="宋体" w:cs="宋体"/>
          <w:sz w:val="24"/>
          <w:szCs w:val="24"/>
          <w:highlight w:val="none"/>
        </w:rPr>
      </w:pPr>
      <w:r>
        <w:rPr>
          <w:rFonts w:hint="eastAsia" w:ascii="宋体" w:hAnsi="宋体" w:eastAsia="宋体" w:cs="宋体"/>
          <w:sz w:val="24"/>
          <w:szCs w:val="24"/>
          <w:highlight w:val="none"/>
        </w:rPr>
        <w:t>2、 若已经超过质疑期限而没有被发现且已经签订了相关的合同，之后才发现存在上述情形，经评标委员会/代理招标人再行审查认为其在技术、必要资质等方面并不存在问题而仅属于商务方面存在瑕疵的问题，且若一旦取消该投标人的此前评议结果或采取类似效果的处理措施将对本次采购更为不利，在此情形下准备考虑维持结果，评标委员会/代理招标人有权要求该存在瑕疵的投标人提供特别担保金用以承担可能产生的赔偿责任，若其拒绝提供该等担保或所实际提供的担保金额不足要求金额，评标委员会/代理招标人有权并且应当决定取消投标人的此前评议结果或采取类似效果的措施。</w:t>
      </w:r>
    </w:p>
    <w:p>
      <w:pPr>
        <w:pStyle w:val="4"/>
        <w:numPr>
          <w:ilvl w:val="0"/>
          <w:numId w:val="0"/>
        </w:numPr>
        <w:spacing w:before="0" w:after="0" w:line="360" w:lineRule="auto"/>
        <w:rPr>
          <w:rFonts w:hint="eastAsia" w:ascii="宋体" w:hAnsi="宋体" w:eastAsia="宋体" w:cs="宋体"/>
          <w:kern w:val="2"/>
          <w:sz w:val="24"/>
          <w:szCs w:val="24"/>
          <w:highlight w:val="none"/>
        </w:rPr>
      </w:pPr>
      <w:bookmarkStart w:id="57" w:name="_Toc525723063"/>
      <w:bookmarkStart w:id="58" w:name="_Toc20249"/>
      <w:r>
        <w:rPr>
          <w:rFonts w:hint="eastAsia" w:ascii="宋体" w:hAnsi="宋体" w:eastAsia="宋体" w:cs="宋体"/>
          <w:kern w:val="2"/>
          <w:sz w:val="24"/>
          <w:szCs w:val="24"/>
          <w:highlight w:val="none"/>
        </w:rPr>
        <w:t>十一、废标</w:t>
      </w:r>
      <w:bookmarkEnd w:id="57"/>
      <w:bookmarkEnd w:id="58"/>
    </w:p>
    <w:p>
      <w:pPr>
        <w:adjustRightInd w:val="0"/>
        <w:snapToGrid w:val="0"/>
        <w:spacing w:line="360" w:lineRule="auto"/>
        <w:ind w:firstLine="460"/>
        <w:rPr>
          <w:rFonts w:hint="eastAsia" w:ascii="宋体" w:hAnsi="宋体" w:eastAsia="宋体" w:cs="宋体"/>
          <w:sz w:val="24"/>
          <w:szCs w:val="24"/>
          <w:highlight w:val="none"/>
        </w:rPr>
      </w:pPr>
      <w:r>
        <w:rPr>
          <w:rFonts w:hint="eastAsia" w:ascii="宋体" w:hAnsi="宋体" w:eastAsia="宋体" w:cs="宋体"/>
          <w:sz w:val="24"/>
          <w:szCs w:val="24"/>
          <w:highlight w:val="none"/>
        </w:rPr>
        <w:t>根据政府采购法律法规的有关规定，出现下列情形之一的，评标委员会将否决所有投标人的投标。</w:t>
      </w:r>
    </w:p>
    <w:p>
      <w:pPr>
        <w:adjustRightInd w:val="0"/>
        <w:snapToGrid w:val="0"/>
        <w:spacing w:line="360" w:lineRule="auto"/>
        <w:ind w:firstLine="46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1)符合专业条件的投标人或者对招标文件作实质响应的投标人不足三家的； </w:t>
      </w:r>
    </w:p>
    <w:p>
      <w:pPr>
        <w:adjustRightInd w:val="0"/>
        <w:snapToGrid w:val="0"/>
        <w:spacing w:line="360" w:lineRule="auto"/>
        <w:ind w:left="460" w:leftChars="230"/>
        <w:rPr>
          <w:rFonts w:hint="eastAsia" w:ascii="宋体" w:hAnsi="宋体" w:eastAsia="宋体" w:cs="宋体"/>
          <w:sz w:val="24"/>
          <w:szCs w:val="24"/>
          <w:highlight w:val="none"/>
        </w:rPr>
      </w:pPr>
      <w:r>
        <w:rPr>
          <w:rFonts w:hint="eastAsia" w:ascii="宋体" w:hAnsi="宋体" w:eastAsia="宋体" w:cs="宋体"/>
          <w:sz w:val="24"/>
          <w:szCs w:val="24"/>
          <w:highlight w:val="none"/>
        </w:rPr>
        <w:t>2)出现影响采购公正的违法、违规行为的；</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3)因重大变故，采购任务取消的；</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4)采购人、评标小组一致认为本项目明显不具备竞争性，由采购人或评标小组根据情况，有权作出废标决定。</w:t>
      </w:r>
    </w:p>
    <w:p>
      <w:pPr>
        <w:pStyle w:val="3"/>
        <w:spacing w:line="360" w:lineRule="auto"/>
        <w:jc w:val="center"/>
        <w:rPr>
          <w:rFonts w:ascii="宋体" w:hAnsi="宋体"/>
          <w:bCs/>
          <w:sz w:val="36"/>
          <w:szCs w:val="36"/>
          <w:highlight w:val="none"/>
        </w:rPr>
      </w:pPr>
      <w:bookmarkStart w:id="59" w:name="_Toc28430"/>
      <w:r>
        <w:rPr>
          <w:rFonts w:hint="eastAsia" w:ascii="宋体" w:hAnsi="宋体"/>
          <w:bCs/>
          <w:sz w:val="36"/>
          <w:szCs w:val="36"/>
          <w:highlight w:val="none"/>
        </w:rPr>
        <w:t>第五部分 授予合同</w:t>
      </w:r>
      <w:bookmarkEnd w:id="36"/>
      <w:bookmarkEnd w:id="59"/>
    </w:p>
    <w:p>
      <w:pPr>
        <w:pStyle w:val="4"/>
        <w:numPr>
          <w:ilvl w:val="0"/>
          <w:numId w:val="0"/>
        </w:numPr>
        <w:spacing w:line="360" w:lineRule="auto"/>
        <w:rPr>
          <w:rFonts w:hint="eastAsia" w:ascii="宋体" w:hAnsi="宋体" w:eastAsia="宋体" w:cs="宋体"/>
          <w:bCs/>
          <w:sz w:val="24"/>
          <w:szCs w:val="24"/>
          <w:highlight w:val="none"/>
        </w:rPr>
      </w:pPr>
      <w:bookmarkStart w:id="60" w:name="_Toc29378"/>
      <w:bookmarkStart w:id="61" w:name="_Toc525723065"/>
      <w:r>
        <w:rPr>
          <w:rFonts w:hint="eastAsia" w:ascii="宋体" w:hAnsi="宋体" w:eastAsia="宋体" w:cs="宋体"/>
          <w:bCs/>
          <w:sz w:val="24"/>
          <w:szCs w:val="24"/>
          <w:highlight w:val="none"/>
        </w:rPr>
        <w:t>一、签订合同</w:t>
      </w:r>
      <w:bookmarkEnd w:id="60"/>
      <w:bookmarkEnd w:id="61"/>
      <w:r>
        <w:rPr>
          <w:rFonts w:hint="eastAsia" w:ascii="宋体" w:hAnsi="宋体" w:eastAsia="宋体" w:cs="宋体"/>
          <w:bCs/>
          <w:sz w:val="24"/>
          <w:szCs w:val="24"/>
          <w:highlight w:val="none"/>
        </w:rPr>
        <w:t xml:space="preserve"> </w:t>
      </w:r>
    </w:p>
    <w:p>
      <w:pPr>
        <w:tabs>
          <w:tab w:val="left" w:pos="900"/>
        </w:tabs>
        <w:adjustRightInd w:val="0"/>
        <w:snapToGrid w:val="0"/>
        <w:spacing w:before="100" w:beforeAutospacing="1" w:after="100" w:afterAutospacing="1"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中标通知书发出之日起三十日内，由招标人和中标人签订合同。合同签订的内容不能超出招标文件和投标文件的实质性内容。</w:t>
      </w:r>
    </w:p>
    <w:p>
      <w:pPr>
        <w:pStyle w:val="4"/>
        <w:numPr>
          <w:ilvl w:val="0"/>
          <w:numId w:val="0"/>
        </w:numPr>
        <w:spacing w:line="360" w:lineRule="auto"/>
        <w:rPr>
          <w:rFonts w:hint="eastAsia" w:ascii="宋体" w:hAnsi="宋体" w:eastAsia="宋体" w:cs="宋体"/>
          <w:bCs/>
          <w:sz w:val="24"/>
          <w:szCs w:val="24"/>
          <w:highlight w:val="none"/>
        </w:rPr>
      </w:pPr>
      <w:bookmarkStart w:id="62" w:name="_Toc3936"/>
      <w:bookmarkStart w:id="63" w:name="_Toc525723066"/>
      <w:r>
        <w:rPr>
          <w:rFonts w:hint="eastAsia" w:ascii="宋体" w:hAnsi="宋体" w:eastAsia="宋体" w:cs="宋体"/>
          <w:bCs/>
          <w:sz w:val="24"/>
          <w:szCs w:val="24"/>
          <w:highlight w:val="none"/>
        </w:rPr>
        <w:t>二、合同格式</w:t>
      </w:r>
      <w:bookmarkEnd w:id="62"/>
      <w:bookmarkEnd w:id="63"/>
    </w:p>
    <w:p>
      <w:pPr>
        <w:pStyle w:val="9"/>
        <w:tabs>
          <w:tab w:val="left" w:pos="1260"/>
          <w:tab w:val="left" w:pos="6400"/>
        </w:tabs>
        <w:adjustRightInd w:val="0"/>
        <w:snapToGrid w:val="0"/>
        <w:spacing w:before="100" w:beforeAutospacing="1" w:after="100" w:afterAutospacing="1" w:line="360" w:lineRule="auto"/>
        <w:ind w:left="0" w:firstLine="0"/>
        <w:jc w:val="center"/>
        <w:rPr>
          <w:rFonts w:hAnsi="宋体"/>
          <w:b/>
          <w:sz w:val="24"/>
          <w:highlight w:val="none"/>
        </w:rPr>
      </w:pPr>
    </w:p>
    <w:p>
      <w:pPr>
        <w:pStyle w:val="9"/>
        <w:tabs>
          <w:tab w:val="left" w:pos="1260"/>
          <w:tab w:val="left" w:pos="6400"/>
        </w:tabs>
        <w:adjustRightInd w:val="0"/>
        <w:snapToGrid w:val="0"/>
        <w:spacing w:before="100" w:beforeAutospacing="1" w:after="100" w:afterAutospacing="1" w:line="360" w:lineRule="auto"/>
        <w:ind w:left="0" w:firstLine="0"/>
        <w:jc w:val="center"/>
        <w:rPr>
          <w:rFonts w:ascii="Times New Roman" w:hAnsi="宋体"/>
          <w:b/>
          <w:sz w:val="24"/>
          <w:highlight w:val="none"/>
        </w:rPr>
      </w:pPr>
    </w:p>
    <w:p>
      <w:pPr>
        <w:pStyle w:val="9"/>
        <w:tabs>
          <w:tab w:val="left" w:pos="1260"/>
          <w:tab w:val="left" w:pos="6400"/>
        </w:tabs>
        <w:snapToGrid w:val="0"/>
        <w:spacing w:line="360" w:lineRule="auto"/>
        <w:ind w:left="0" w:firstLine="0"/>
        <w:jc w:val="center"/>
        <w:rPr>
          <w:rFonts w:ascii="Times New Roman" w:hAnsi="宋体"/>
          <w:b/>
          <w:sz w:val="24"/>
          <w:highlight w:val="none"/>
        </w:rPr>
      </w:pPr>
    </w:p>
    <w:p>
      <w:pPr>
        <w:pStyle w:val="9"/>
        <w:tabs>
          <w:tab w:val="left" w:pos="1260"/>
          <w:tab w:val="left" w:pos="6400"/>
        </w:tabs>
        <w:snapToGrid w:val="0"/>
        <w:spacing w:line="360" w:lineRule="auto"/>
        <w:ind w:left="0" w:firstLine="0"/>
        <w:jc w:val="center"/>
        <w:rPr>
          <w:rFonts w:ascii="Times New Roman" w:hAnsi="宋体"/>
          <w:b/>
          <w:sz w:val="24"/>
          <w:highlight w:val="none"/>
        </w:rPr>
      </w:pPr>
    </w:p>
    <w:p>
      <w:pPr>
        <w:pStyle w:val="9"/>
        <w:tabs>
          <w:tab w:val="left" w:pos="1260"/>
          <w:tab w:val="left" w:pos="6400"/>
        </w:tabs>
        <w:snapToGrid w:val="0"/>
        <w:spacing w:line="360" w:lineRule="auto"/>
        <w:ind w:left="0" w:firstLine="0"/>
        <w:jc w:val="center"/>
        <w:rPr>
          <w:rFonts w:ascii="Times New Roman" w:hAnsi="宋体"/>
          <w:b/>
          <w:sz w:val="24"/>
          <w:highlight w:val="none"/>
        </w:rPr>
      </w:pPr>
    </w:p>
    <w:p>
      <w:pPr>
        <w:pStyle w:val="9"/>
        <w:tabs>
          <w:tab w:val="left" w:pos="1260"/>
          <w:tab w:val="left" w:pos="6400"/>
        </w:tabs>
        <w:snapToGrid w:val="0"/>
        <w:spacing w:line="360" w:lineRule="auto"/>
        <w:ind w:left="0" w:firstLine="0"/>
        <w:jc w:val="center"/>
        <w:rPr>
          <w:rFonts w:ascii="Times New Roman" w:hAnsi="宋体"/>
          <w:b/>
          <w:sz w:val="24"/>
          <w:highlight w:val="none"/>
        </w:rPr>
      </w:pPr>
    </w:p>
    <w:p>
      <w:pPr>
        <w:pStyle w:val="9"/>
        <w:tabs>
          <w:tab w:val="left" w:pos="1260"/>
          <w:tab w:val="left" w:pos="6400"/>
        </w:tabs>
        <w:snapToGrid w:val="0"/>
        <w:spacing w:line="360" w:lineRule="auto"/>
        <w:ind w:left="0" w:firstLine="0"/>
        <w:jc w:val="center"/>
        <w:rPr>
          <w:rFonts w:ascii="Times New Roman" w:hAnsi="宋体"/>
          <w:b/>
          <w:sz w:val="24"/>
          <w:highlight w:val="none"/>
        </w:rPr>
      </w:pPr>
    </w:p>
    <w:p>
      <w:pPr>
        <w:pStyle w:val="9"/>
        <w:tabs>
          <w:tab w:val="left" w:pos="1260"/>
          <w:tab w:val="left" w:pos="6400"/>
        </w:tabs>
        <w:snapToGrid w:val="0"/>
        <w:spacing w:line="360" w:lineRule="auto"/>
        <w:ind w:left="0" w:firstLine="0"/>
        <w:jc w:val="center"/>
        <w:rPr>
          <w:rFonts w:ascii="Times New Roman" w:hAnsi="宋体"/>
          <w:b/>
          <w:sz w:val="24"/>
          <w:highlight w:val="none"/>
        </w:rPr>
      </w:pPr>
    </w:p>
    <w:p>
      <w:pPr>
        <w:pStyle w:val="9"/>
        <w:tabs>
          <w:tab w:val="left" w:pos="1260"/>
          <w:tab w:val="left" w:pos="6400"/>
        </w:tabs>
        <w:snapToGrid w:val="0"/>
        <w:spacing w:line="360" w:lineRule="auto"/>
        <w:ind w:left="0" w:firstLine="0"/>
        <w:jc w:val="center"/>
        <w:rPr>
          <w:rFonts w:ascii="Times New Roman" w:hAnsi="宋体"/>
          <w:b/>
          <w:sz w:val="24"/>
          <w:highlight w:val="none"/>
        </w:rPr>
      </w:pPr>
    </w:p>
    <w:p>
      <w:pPr>
        <w:pStyle w:val="9"/>
        <w:tabs>
          <w:tab w:val="left" w:pos="1260"/>
          <w:tab w:val="left" w:pos="6400"/>
        </w:tabs>
        <w:snapToGrid w:val="0"/>
        <w:spacing w:line="360" w:lineRule="auto"/>
        <w:ind w:left="0" w:firstLine="0"/>
        <w:jc w:val="center"/>
        <w:rPr>
          <w:rFonts w:ascii="Times New Roman" w:hAnsi="宋体"/>
          <w:b/>
          <w:sz w:val="24"/>
          <w:highlight w:val="none"/>
        </w:rPr>
      </w:pPr>
    </w:p>
    <w:p>
      <w:pPr>
        <w:pStyle w:val="9"/>
        <w:tabs>
          <w:tab w:val="left" w:pos="1260"/>
          <w:tab w:val="left" w:pos="6400"/>
        </w:tabs>
        <w:snapToGrid w:val="0"/>
        <w:spacing w:line="360" w:lineRule="auto"/>
        <w:ind w:left="0" w:firstLine="0"/>
        <w:jc w:val="center"/>
        <w:rPr>
          <w:rFonts w:ascii="Times New Roman" w:hAnsi="宋体"/>
          <w:b/>
          <w:sz w:val="24"/>
          <w:highlight w:val="none"/>
        </w:rPr>
      </w:pPr>
    </w:p>
    <w:p>
      <w:pPr>
        <w:pStyle w:val="9"/>
        <w:tabs>
          <w:tab w:val="left" w:pos="1260"/>
          <w:tab w:val="left" w:pos="6400"/>
        </w:tabs>
        <w:snapToGrid w:val="0"/>
        <w:spacing w:line="360" w:lineRule="auto"/>
        <w:ind w:left="0" w:firstLine="0"/>
        <w:jc w:val="center"/>
        <w:rPr>
          <w:rFonts w:ascii="Times New Roman" w:hAnsi="宋体"/>
          <w:b/>
          <w:sz w:val="24"/>
          <w:highlight w:val="none"/>
        </w:rPr>
      </w:pPr>
    </w:p>
    <w:p>
      <w:pPr>
        <w:pStyle w:val="9"/>
        <w:tabs>
          <w:tab w:val="left" w:pos="1260"/>
          <w:tab w:val="left" w:pos="6400"/>
        </w:tabs>
        <w:snapToGrid w:val="0"/>
        <w:spacing w:line="360" w:lineRule="auto"/>
        <w:ind w:left="0" w:firstLine="0"/>
        <w:jc w:val="center"/>
        <w:rPr>
          <w:rFonts w:ascii="Times New Roman" w:hAnsi="宋体"/>
          <w:b/>
          <w:sz w:val="24"/>
          <w:highlight w:val="none"/>
        </w:rPr>
      </w:pPr>
    </w:p>
    <w:p>
      <w:pPr>
        <w:pStyle w:val="9"/>
        <w:tabs>
          <w:tab w:val="left" w:pos="1260"/>
          <w:tab w:val="left" w:pos="6400"/>
        </w:tabs>
        <w:snapToGrid w:val="0"/>
        <w:spacing w:line="360" w:lineRule="auto"/>
        <w:ind w:left="0" w:firstLine="0"/>
        <w:jc w:val="center"/>
        <w:rPr>
          <w:rFonts w:ascii="Times New Roman" w:hAnsi="宋体"/>
          <w:b/>
          <w:sz w:val="24"/>
          <w:highlight w:val="none"/>
        </w:rPr>
      </w:pPr>
    </w:p>
    <w:p>
      <w:pPr>
        <w:pStyle w:val="9"/>
        <w:tabs>
          <w:tab w:val="left" w:pos="1260"/>
          <w:tab w:val="left" w:pos="6400"/>
        </w:tabs>
        <w:snapToGrid w:val="0"/>
        <w:spacing w:line="360" w:lineRule="auto"/>
        <w:ind w:left="0" w:firstLine="0"/>
        <w:jc w:val="center"/>
        <w:rPr>
          <w:rFonts w:ascii="Times New Roman" w:hAnsi="宋体"/>
          <w:b/>
          <w:sz w:val="24"/>
          <w:highlight w:val="none"/>
        </w:rPr>
      </w:pPr>
    </w:p>
    <w:p>
      <w:pPr>
        <w:pStyle w:val="9"/>
        <w:tabs>
          <w:tab w:val="left" w:pos="1260"/>
          <w:tab w:val="left" w:pos="6400"/>
        </w:tabs>
        <w:snapToGrid w:val="0"/>
        <w:spacing w:line="360" w:lineRule="auto"/>
        <w:ind w:left="0" w:firstLine="0"/>
        <w:jc w:val="center"/>
        <w:rPr>
          <w:rFonts w:ascii="Times New Roman" w:hAnsi="宋体"/>
          <w:b/>
          <w:sz w:val="24"/>
          <w:highlight w:val="none"/>
        </w:rPr>
      </w:pPr>
    </w:p>
    <w:p>
      <w:pPr>
        <w:pStyle w:val="9"/>
        <w:tabs>
          <w:tab w:val="left" w:pos="1260"/>
          <w:tab w:val="left" w:pos="6400"/>
        </w:tabs>
        <w:snapToGrid w:val="0"/>
        <w:spacing w:line="360" w:lineRule="auto"/>
        <w:ind w:left="0" w:firstLine="0"/>
        <w:jc w:val="center"/>
        <w:rPr>
          <w:rFonts w:ascii="Times New Roman" w:hAnsi="宋体"/>
          <w:b/>
          <w:sz w:val="24"/>
          <w:highlight w:val="none"/>
        </w:rPr>
      </w:pPr>
    </w:p>
    <w:p>
      <w:pPr>
        <w:pStyle w:val="9"/>
        <w:tabs>
          <w:tab w:val="left" w:pos="1260"/>
          <w:tab w:val="left" w:pos="6400"/>
        </w:tabs>
        <w:snapToGrid w:val="0"/>
        <w:spacing w:line="360" w:lineRule="auto"/>
        <w:ind w:left="0" w:firstLine="0"/>
        <w:jc w:val="center"/>
        <w:rPr>
          <w:rFonts w:ascii="Times New Roman" w:hAnsi="宋体"/>
          <w:b/>
          <w:sz w:val="24"/>
          <w:highlight w:val="none"/>
        </w:rPr>
      </w:pPr>
    </w:p>
    <w:p>
      <w:pPr>
        <w:pStyle w:val="9"/>
        <w:tabs>
          <w:tab w:val="left" w:pos="1260"/>
          <w:tab w:val="left" w:pos="6400"/>
        </w:tabs>
        <w:snapToGrid w:val="0"/>
        <w:spacing w:line="360" w:lineRule="auto"/>
        <w:ind w:left="0" w:firstLine="0"/>
        <w:jc w:val="center"/>
        <w:rPr>
          <w:rFonts w:ascii="Times New Roman" w:hAnsi="宋体"/>
          <w:b/>
          <w:sz w:val="24"/>
          <w:highlight w:val="none"/>
        </w:rPr>
      </w:pPr>
    </w:p>
    <w:p>
      <w:pPr>
        <w:pStyle w:val="9"/>
        <w:tabs>
          <w:tab w:val="left" w:pos="1260"/>
          <w:tab w:val="left" w:pos="6400"/>
        </w:tabs>
        <w:snapToGrid w:val="0"/>
        <w:spacing w:line="360" w:lineRule="auto"/>
        <w:ind w:left="0" w:firstLine="0"/>
        <w:jc w:val="center"/>
        <w:rPr>
          <w:rFonts w:ascii="Times New Roman" w:hAnsi="宋体"/>
          <w:b/>
          <w:sz w:val="24"/>
          <w:highlight w:val="none"/>
        </w:rPr>
      </w:pPr>
    </w:p>
    <w:p>
      <w:pPr>
        <w:snapToGrid w:val="0"/>
        <w:spacing w:line="360" w:lineRule="auto"/>
        <w:jc w:val="both"/>
        <w:rPr>
          <w:rFonts w:hint="eastAsia" w:ascii="宋体" w:hAnsi="宋体"/>
          <w:bCs/>
          <w:sz w:val="56"/>
          <w:szCs w:val="56"/>
          <w:highlight w:val="none"/>
        </w:rPr>
      </w:pPr>
      <w:bookmarkStart w:id="64" w:name="_Toc15752_WPSOffice_Level2"/>
    </w:p>
    <w:p>
      <w:pPr>
        <w:snapToGrid w:val="0"/>
        <w:spacing w:line="360" w:lineRule="auto"/>
        <w:jc w:val="center"/>
        <w:rPr>
          <w:rFonts w:ascii="宋体" w:hAnsi="宋体"/>
          <w:bCs/>
          <w:sz w:val="52"/>
          <w:szCs w:val="52"/>
          <w:highlight w:val="none"/>
        </w:rPr>
      </w:pPr>
      <w:r>
        <w:rPr>
          <w:rFonts w:hint="eastAsia" w:ascii="宋体" w:hAnsi="宋体"/>
          <w:bCs/>
          <w:sz w:val="52"/>
          <w:szCs w:val="52"/>
          <w:highlight w:val="none"/>
        </w:rPr>
        <w:t>采购入围合同</w:t>
      </w:r>
      <w:bookmarkEnd w:id="64"/>
    </w:p>
    <w:p>
      <w:pPr>
        <w:snapToGrid w:val="0"/>
        <w:spacing w:line="360" w:lineRule="auto"/>
        <w:jc w:val="center"/>
        <w:rPr>
          <w:rFonts w:ascii="宋体" w:hAnsi="宋体"/>
          <w:bCs/>
          <w:sz w:val="48"/>
          <w:szCs w:val="48"/>
          <w:highlight w:val="none"/>
        </w:rPr>
      </w:pPr>
      <w:bookmarkStart w:id="65" w:name="_Toc5542_WPSOffice_Level2"/>
      <w:r>
        <w:rPr>
          <w:rFonts w:hint="eastAsia" w:ascii="宋体" w:hAnsi="宋体"/>
          <w:bCs/>
          <w:sz w:val="52"/>
          <w:szCs w:val="52"/>
          <w:highlight w:val="none"/>
        </w:rPr>
        <w:t>（参考格式）</w:t>
      </w:r>
      <w:bookmarkEnd w:id="65"/>
    </w:p>
    <w:p>
      <w:pPr>
        <w:tabs>
          <w:tab w:val="left" w:pos="7360"/>
        </w:tabs>
        <w:snapToGrid w:val="0"/>
        <w:spacing w:line="360" w:lineRule="auto"/>
        <w:jc w:val="center"/>
        <w:rPr>
          <w:rFonts w:ascii="宋体" w:hAnsi="宋体"/>
          <w:b/>
          <w:sz w:val="48"/>
          <w:szCs w:val="48"/>
          <w:highlight w:val="none"/>
        </w:rPr>
      </w:pPr>
    </w:p>
    <w:p>
      <w:pPr>
        <w:snapToGrid w:val="0"/>
        <w:spacing w:line="360" w:lineRule="auto"/>
        <w:jc w:val="center"/>
        <w:rPr>
          <w:rFonts w:ascii="宋体" w:hAnsi="宋体"/>
          <w:b/>
          <w:sz w:val="72"/>
          <w:szCs w:val="72"/>
          <w:highlight w:val="none"/>
        </w:rPr>
      </w:pPr>
    </w:p>
    <w:p>
      <w:pPr>
        <w:snapToGrid w:val="0"/>
        <w:spacing w:line="360" w:lineRule="auto"/>
        <w:ind w:left="3150" w:leftChars="775" w:hanging="1600" w:hangingChars="500"/>
        <w:rPr>
          <w:rFonts w:ascii="宋体" w:hAnsi="宋体"/>
          <w:bCs/>
          <w:sz w:val="32"/>
          <w:szCs w:val="32"/>
          <w:highlight w:val="none"/>
        </w:rPr>
      </w:pPr>
      <w:bookmarkStart w:id="66" w:name="_Toc1991_WPSOffice_Level2"/>
      <w:r>
        <w:rPr>
          <w:rFonts w:hint="eastAsia" w:ascii="宋体" w:hAnsi="宋体"/>
          <w:bCs/>
          <w:sz w:val="32"/>
          <w:szCs w:val="32"/>
          <w:highlight w:val="none"/>
        </w:rPr>
        <w:t>项目名称：</w:t>
      </w:r>
      <w:bookmarkEnd w:id="66"/>
      <w:r>
        <w:rPr>
          <w:rFonts w:hint="eastAsia" w:ascii="宋体" w:hAnsi="宋体"/>
          <w:bCs/>
          <w:sz w:val="32"/>
          <w:szCs w:val="32"/>
          <w:highlight w:val="none"/>
          <w:u w:val="single"/>
        </w:rPr>
        <w:t xml:space="preserve">                </w:t>
      </w:r>
    </w:p>
    <w:p>
      <w:pPr>
        <w:snapToGrid w:val="0"/>
        <w:spacing w:beforeLines="100" w:line="360" w:lineRule="auto"/>
        <w:ind w:firstLine="1590" w:firstLineChars="497"/>
        <w:rPr>
          <w:rFonts w:ascii="宋体" w:hAnsi="宋体"/>
          <w:bCs/>
          <w:sz w:val="32"/>
          <w:szCs w:val="32"/>
          <w:highlight w:val="none"/>
          <w:u w:val="single"/>
        </w:rPr>
      </w:pPr>
      <w:bookmarkStart w:id="67" w:name="_Toc6756_WPSOffice_Level2"/>
      <w:r>
        <w:rPr>
          <w:rFonts w:hint="eastAsia" w:ascii="宋体" w:hAnsi="宋体"/>
          <w:bCs/>
          <w:sz w:val="32"/>
          <w:szCs w:val="32"/>
          <w:highlight w:val="none"/>
        </w:rPr>
        <w:t>合同编号：</w:t>
      </w:r>
      <w:bookmarkEnd w:id="67"/>
      <w:r>
        <w:rPr>
          <w:rFonts w:hint="eastAsia" w:ascii="宋体" w:hAnsi="宋体"/>
          <w:bCs/>
          <w:sz w:val="32"/>
          <w:szCs w:val="32"/>
          <w:highlight w:val="none"/>
          <w:u w:val="single"/>
        </w:rPr>
        <w:t xml:space="preserve">                </w:t>
      </w:r>
    </w:p>
    <w:p>
      <w:pPr>
        <w:snapToGrid w:val="0"/>
        <w:spacing w:line="360" w:lineRule="auto"/>
        <w:rPr>
          <w:rFonts w:ascii="宋体" w:hAnsi="宋体"/>
          <w:bCs/>
          <w:sz w:val="32"/>
          <w:szCs w:val="32"/>
          <w:highlight w:val="none"/>
        </w:rPr>
      </w:pPr>
    </w:p>
    <w:p>
      <w:pPr>
        <w:snapToGrid w:val="0"/>
        <w:spacing w:line="360" w:lineRule="auto"/>
        <w:rPr>
          <w:rFonts w:ascii="宋体" w:hAnsi="宋体"/>
          <w:bCs/>
          <w:sz w:val="32"/>
          <w:szCs w:val="32"/>
          <w:highlight w:val="none"/>
        </w:rPr>
      </w:pPr>
    </w:p>
    <w:p>
      <w:pPr>
        <w:snapToGrid w:val="0"/>
        <w:spacing w:line="360" w:lineRule="auto"/>
        <w:rPr>
          <w:rFonts w:ascii="宋体" w:hAnsi="宋体"/>
          <w:bCs/>
          <w:sz w:val="32"/>
          <w:szCs w:val="32"/>
          <w:highlight w:val="none"/>
        </w:rPr>
      </w:pPr>
    </w:p>
    <w:p>
      <w:pPr>
        <w:snapToGrid w:val="0"/>
        <w:spacing w:line="360" w:lineRule="auto"/>
        <w:rPr>
          <w:rFonts w:ascii="宋体" w:hAnsi="宋体"/>
          <w:bCs/>
          <w:sz w:val="32"/>
          <w:szCs w:val="32"/>
          <w:highlight w:val="none"/>
        </w:rPr>
      </w:pPr>
    </w:p>
    <w:p>
      <w:pPr>
        <w:snapToGrid w:val="0"/>
        <w:spacing w:line="360" w:lineRule="auto"/>
        <w:ind w:left="3150" w:leftChars="775" w:hanging="1600" w:hangingChars="500"/>
        <w:rPr>
          <w:rFonts w:hint="eastAsia" w:ascii="宋体" w:hAnsi="宋体" w:cs="宋体"/>
          <w:kern w:val="0"/>
          <w:sz w:val="24"/>
          <w:szCs w:val="24"/>
          <w:highlight w:val="none"/>
          <w:u w:val="single"/>
          <w:lang w:val="en-US" w:eastAsia="zh-CN"/>
        </w:rPr>
      </w:pPr>
      <w:bookmarkStart w:id="68" w:name="_Toc24132_WPSOffice_Level2"/>
      <w:r>
        <w:rPr>
          <w:rFonts w:hint="eastAsia" w:ascii="宋体" w:hAnsi="宋体"/>
          <w:bCs/>
          <w:sz w:val="32"/>
          <w:szCs w:val="32"/>
          <w:highlight w:val="none"/>
        </w:rPr>
        <w:t>甲方：</w:t>
      </w:r>
      <w:bookmarkEnd w:id="68"/>
      <w:r>
        <w:rPr>
          <w:rFonts w:hint="eastAsia" w:ascii="宋体" w:hAnsi="宋体" w:cs="宋体"/>
          <w:kern w:val="0"/>
          <w:sz w:val="24"/>
          <w:szCs w:val="24"/>
          <w:highlight w:val="none"/>
          <w:u w:val="single"/>
          <w:lang w:val="en-US" w:eastAsia="zh-CN"/>
        </w:rPr>
        <w:t xml:space="preserve">                         </w:t>
      </w:r>
    </w:p>
    <w:p>
      <w:pPr>
        <w:snapToGrid w:val="0"/>
        <w:spacing w:line="360" w:lineRule="auto"/>
        <w:ind w:left="3150" w:leftChars="775" w:hanging="1600" w:hangingChars="500"/>
        <w:rPr>
          <w:rFonts w:ascii="宋体" w:hAnsi="宋体"/>
          <w:bCs/>
          <w:sz w:val="32"/>
          <w:szCs w:val="32"/>
          <w:highlight w:val="none"/>
          <w:u w:val="single"/>
        </w:rPr>
      </w:pPr>
      <w:bookmarkStart w:id="69" w:name="_Toc15216_WPSOffice_Level2"/>
      <w:r>
        <w:rPr>
          <w:rFonts w:hint="eastAsia" w:ascii="宋体" w:hAnsi="宋体"/>
          <w:bCs/>
          <w:sz w:val="32"/>
          <w:szCs w:val="32"/>
          <w:highlight w:val="none"/>
        </w:rPr>
        <w:t>乙方：</w:t>
      </w:r>
      <w:bookmarkEnd w:id="69"/>
      <w:r>
        <w:rPr>
          <w:rFonts w:hint="eastAsia" w:ascii="宋体" w:hAnsi="宋体"/>
          <w:bCs/>
          <w:sz w:val="32"/>
          <w:szCs w:val="32"/>
          <w:highlight w:val="none"/>
          <w:u w:val="single"/>
        </w:rPr>
        <w:t xml:space="preserve">                    </w:t>
      </w:r>
    </w:p>
    <w:p>
      <w:pPr>
        <w:snapToGrid w:val="0"/>
        <w:spacing w:beforeLines="100" w:line="360" w:lineRule="auto"/>
        <w:ind w:firstLine="1120" w:firstLineChars="350"/>
        <w:rPr>
          <w:rFonts w:ascii="宋体" w:hAnsi="宋体"/>
          <w:bCs/>
          <w:sz w:val="32"/>
          <w:szCs w:val="32"/>
          <w:highlight w:val="none"/>
          <w:u w:val="single"/>
        </w:rPr>
      </w:pPr>
    </w:p>
    <w:p>
      <w:pPr>
        <w:adjustRightInd w:val="0"/>
        <w:snapToGrid w:val="0"/>
        <w:spacing w:line="360" w:lineRule="auto"/>
        <w:ind w:firstLine="480" w:firstLineChars="200"/>
        <w:rPr>
          <w:rFonts w:ascii="黑体" w:hAnsi="黑体" w:eastAsia="黑体"/>
          <w:snapToGrid w:val="0"/>
          <w:kern w:val="0"/>
          <w:sz w:val="24"/>
          <w:szCs w:val="24"/>
          <w:highlight w:val="none"/>
        </w:rPr>
      </w:pPr>
    </w:p>
    <w:p>
      <w:pPr>
        <w:adjustRightInd w:val="0"/>
        <w:snapToGrid w:val="0"/>
        <w:spacing w:line="360" w:lineRule="auto"/>
        <w:ind w:firstLine="480" w:firstLineChars="200"/>
        <w:rPr>
          <w:rFonts w:ascii="黑体" w:hAnsi="黑体" w:eastAsia="黑体"/>
          <w:snapToGrid w:val="0"/>
          <w:kern w:val="0"/>
          <w:sz w:val="24"/>
          <w:szCs w:val="24"/>
          <w:highlight w:val="none"/>
        </w:rPr>
      </w:pPr>
    </w:p>
    <w:p>
      <w:pPr>
        <w:pStyle w:val="28"/>
        <w:rPr>
          <w:highlight w:val="none"/>
        </w:rPr>
      </w:pPr>
    </w:p>
    <w:p>
      <w:pPr>
        <w:adjustRightInd w:val="0"/>
        <w:snapToGrid w:val="0"/>
        <w:spacing w:line="360" w:lineRule="auto"/>
        <w:ind w:firstLine="480" w:firstLineChars="200"/>
        <w:rPr>
          <w:rFonts w:ascii="黑体" w:hAnsi="黑体" w:eastAsia="黑体"/>
          <w:snapToGrid w:val="0"/>
          <w:kern w:val="0"/>
          <w:sz w:val="24"/>
          <w:szCs w:val="24"/>
          <w:highlight w:val="none"/>
        </w:rPr>
      </w:pPr>
    </w:p>
    <w:p>
      <w:pPr>
        <w:adjustRightInd w:val="0"/>
        <w:snapToGrid w:val="0"/>
        <w:spacing w:line="360" w:lineRule="auto"/>
        <w:ind w:firstLine="480" w:firstLineChars="200"/>
        <w:rPr>
          <w:rFonts w:hint="eastAsia" w:ascii="黑体" w:hAnsi="黑体" w:eastAsia="黑体"/>
          <w:snapToGrid w:val="0"/>
          <w:kern w:val="0"/>
          <w:sz w:val="24"/>
          <w:szCs w:val="24"/>
          <w:highlight w:val="none"/>
        </w:rPr>
      </w:pPr>
    </w:p>
    <w:p>
      <w:pPr>
        <w:pStyle w:val="28"/>
        <w:rPr>
          <w:rFonts w:hint="eastAsia" w:ascii="黑体" w:hAnsi="黑体" w:eastAsia="黑体"/>
          <w:snapToGrid w:val="0"/>
          <w:kern w:val="0"/>
          <w:sz w:val="24"/>
          <w:szCs w:val="24"/>
          <w:highlight w:val="none"/>
        </w:rPr>
      </w:pPr>
    </w:p>
    <w:p>
      <w:pPr>
        <w:pStyle w:val="28"/>
        <w:rPr>
          <w:rFonts w:hint="eastAsia" w:ascii="黑体" w:hAnsi="黑体" w:eastAsia="黑体"/>
          <w:snapToGrid w:val="0"/>
          <w:kern w:val="0"/>
          <w:sz w:val="24"/>
          <w:szCs w:val="24"/>
          <w:highlight w:val="none"/>
        </w:rPr>
      </w:pP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甲方：</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 xml:space="preserve">乙方：                  </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济南市消防支队章丘区大队车辆维修定点入围项目(项目编号</w:t>
      </w:r>
      <w:r>
        <w:rPr>
          <w:rFonts w:hint="eastAsia" w:ascii="宋体" w:hAnsi="宋体" w:eastAsia="宋体" w:cs="宋体"/>
          <w:snapToGrid w:val="0"/>
          <w:kern w:val="0"/>
          <w:sz w:val="24"/>
          <w:szCs w:val="24"/>
          <w:highlight w:val="none"/>
          <w:lang w:val="en-US" w:eastAsia="zh-CN"/>
        </w:rPr>
        <w:t>:</w:t>
      </w:r>
      <w:r>
        <w:rPr>
          <w:rFonts w:hint="eastAsia" w:ascii="宋体" w:hAnsi="宋体" w:eastAsia="宋体" w:cs="宋体"/>
          <w:snapToGrid w:val="0"/>
          <w:kern w:val="0"/>
          <w:sz w:val="24"/>
          <w:szCs w:val="24"/>
          <w:highlight w:val="none"/>
        </w:rPr>
        <w:t xml:space="preserve">        )，由济南市消防支队章丘区大队委托</w:t>
      </w:r>
      <w:r>
        <w:rPr>
          <w:rFonts w:hint="eastAsia" w:ascii="宋体" w:hAnsi="宋体" w:eastAsia="宋体" w:cs="宋体"/>
          <w:snapToGrid w:val="0"/>
          <w:kern w:val="0"/>
          <w:sz w:val="24"/>
          <w:szCs w:val="24"/>
          <w:highlight w:val="none"/>
          <w:lang w:eastAsia="zh-CN"/>
        </w:rPr>
        <w:t>山东蓝盾招标代理有限公司</w:t>
      </w:r>
      <w:r>
        <w:rPr>
          <w:rFonts w:hint="eastAsia" w:ascii="宋体" w:hAnsi="宋体" w:eastAsia="宋体" w:cs="宋体"/>
          <w:snapToGrid w:val="0"/>
          <w:kern w:val="0"/>
          <w:sz w:val="24"/>
          <w:szCs w:val="24"/>
          <w:highlight w:val="none"/>
        </w:rPr>
        <w:t>在国内以公开招标的方式进行采购。经评标委员会确定乙方为入围单位。根据甲方招标文件、乙方的投标文件及其承诺等，双方依据《中华人民共和国合同法》、《中华人民共和国政府采购法》、《中华人民共和国招标投标法》和其他法律、法规的规定，在平等协商的基础上签订本合同。</w:t>
      </w:r>
    </w:p>
    <w:p>
      <w:pPr>
        <w:adjustRightInd w:val="0"/>
        <w:snapToGrid w:val="0"/>
        <w:spacing w:line="360" w:lineRule="auto"/>
        <w:ind w:firstLine="482" w:firstLineChars="200"/>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一、合同文件组成</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1、本合同中所列各项条款</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2、中标通知书</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3、甲方的招标文件及附件</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4、乙方的投标文件及附件、承诺(包括但不限于报价清单、人员配备、服务承诺等)</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二、服务的名称、内容</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1、服务名称：</w:t>
      </w:r>
      <w:r>
        <w:rPr>
          <w:rFonts w:hint="eastAsia" w:ascii="宋体" w:hAnsi="宋体" w:eastAsia="宋体" w:cs="宋体"/>
          <w:snapToGrid w:val="0"/>
          <w:kern w:val="0"/>
          <w:sz w:val="24"/>
          <w:szCs w:val="24"/>
          <w:highlight w:val="none"/>
          <w:lang w:eastAsia="zh-CN"/>
        </w:rPr>
        <w:t>济南市消防支队章丘区大队车辆维修定点入围项目</w:t>
      </w:r>
      <w:r>
        <w:rPr>
          <w:rFonts w:hint="eastAsia" w:ascii="宋体" w:hAnsi="宋体" w:eastAsia="宋体" w:cs="宋体"/>
          <w:snapToGrid w:val="0"/>
          <w:kern w:val="0"/>
          <w:sz w:val="24"/>
          <w:szCs w:val="24"/>
          <w:highlight w:val="none"/>
        </w:rPr>
        <w:t>。</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2、服务内容: 济南市消防支队</w:t>
      </w:r>
      <w:r>
        <w:rPr>
          <w:rFonts w:hint="eastAsia" w:ascii="宋体" w:hAnsi="宋体" w:eastAsia="宋体" w:cs="宋体"/>
          <w:snapToGrid w:val="0"/>
          <w:kern w:val="0"/>
          <w:sz w:val="24"/>
          <w:szCs w:val="24"/>
          <w:highlight w:val="none"/>
          <w:lang w:eastAsia="zh-CN"/>
        </w:rPr>
        <w:t>章丘区大队</w:t>
      </w:r>
      <w:r>
        <w:rPr>
          <w:rFonts w:hint="eastAsia" w:ascii="宋体" w:hAnsi="宋体" w:eastAsia="宋体" w:cs="宋体"/>
          <w:snapToGrid w:val="0"/>
          <w:kern w:val="0"/>
          <w:sz w:val="24"/>
          <w:szCs w:val="24"/>
          <w:highlight w:val="none"/>
        </w:rPr>
        <w:t>所属公务用车的车辆小修、一级维护、二级维护、大修服务</w:t>
      </w:r>
    </w:p>
    <w:p>
      <w:pPr>
        <w:adjustRightInd w:val="0"/>
        <w:snapToGrid w:val="0"/>
        <w:spacing w:line="360" w:lineRule="auto"/>
        <w:ind w:firstLine="480" w:firstLineChars="200"/>
        <w:rPr>
          <w:rFonts w:hint="eastAsia" w:ascii="宋体" w:hAnsi="宋体" w:eastAsia="宋体" w:cs="宋体"/>
          <w:kern w:val="1"/>
          <w:sz w:val="24"/>
          <w:szCs w:val="24"/>
        </w:rPr>
      </w:pPr>
      <w:r>
        <w:rPr>
          <w:rFonts w:hint="eastAsia" w:ascii="宋体" w:hAnsi="宋体" w:eastAsia="宋体" w:cs="宋体"/>
          <w:snapToGrid w:val="0"/>
          <w:kern w:val="0"/>
          <w:sz w:val="24"/>
          <w:szCs w:val="24"/>
          <w:highlight w:val="none"/>
        </w:rPr>
        <w:t>3、</w:t>
      </w:r>
      <w:r>
        <w:rPr>
          <w:rFonts w:hint="eastAsia" w:ascii="宋体" w:hAnsi="宋体" w:eastAsia="宋体" w:cs="宋体"/>
          <w:kern w:val="1"/>
          <w:sz w:val="24"/>
          <w:szCs w:val="24"/>
        </w:rPr>
        <w:t>实际发生维修业务时，</w:t>
      </w:r>
      <w:r>
        <w:rPr>
          <w:rFonts w:hint="eastAsia" w:ascii="宋体" w:hAnsi="宋体" w:cs="宋体"/>
          <w:kern w:val="1"/>
          <w:sz w:val="24"/>
          <w:szCs w:val="24"/>
          <w:lang w:eastAsia="zh-CN"/>
        </w:rPr>
        <w:t>单车</w:t>
      </w:r>
      <w:r>
        <w:rPr>
          <w:rFonts w:hint="eastAsia" w:ascii="宋体" w:hAnsi="宋体" w:eastAsia="宋体" w:cs="宋体"/>
          <w:kern w:val="1"/>
          <w:sz w:val="24"/>
          <w:szCs w:val="24"/>
        </w:rPr>
        <w:t>单次维修金额</w:t>
      </w:r>
      <w:r>
        <w:rPr>
          <w:rFonts w:hint="eastAsia" w:ascii="宋体" w:hAnsi="宋体" w:cs="宋体"/>
          <w:b/>
          <w:kern w:val="1"/>
          <w:sz w:val="24"/>
          <w:szCs w:val="24"/>
          <w:lang w:val="en-US" w:eastAsia="zh-CN"/>
        </w:rPr>
        <w:t>3000</w:t>
      </w:r>
      <w:r>
        <w:rPr>
          <w:rFonts w:hint="eastAsia" w:ascii="宋体" w:hAnsi="宋体" w:eastAsia="宋体" w:cs="宋体"/>
          <w:b/>
          <w:kern w:val="1"/>
          <w:sz w:val="24"/>
          <w:szCs w:val="24"/>
        </w:rPr>
        <w:t>元以下的</w:t>
      </w:r>
      <w:r>
        <w:rPr>
          <w:rFonts w:hint="eastAsia" w:ascii="宋体" w:hAnsi="宋体" w:eastAsia="宋体" w:cs="宋体"/>
          <w:kern w:val="1"/>
          <w:sz w:val="24"/>
          <w:szCs w:val="24"/>
        </w:rPr>
        <w:t>，由招标人直接选取定点维修企业；单次维修</w:t>
      </w:r>
      <w:r>
        <w:rPr>
          <w:rFonts w:hint="eastAsia" w:ascii="宋体" w:hAnsi="宋体" w:cs="宋体"/>
          <w:kern w:val="1"/>
          <w:sz w:val="24"/>
          <w:szCs w:val="24"/>
          <w:lang w:val="en-US" w:eastAsia="zh-CN"/>
        </w:rPr>
        <w:t>3000</w:t>
      </w:r>
      <w:r>
        <w:rPr>
          <w:rFonts w:hint="eastAsia" w:ascii="宋体" w:hAnsi="宋体" w:eastAsia="宋体" w:cs="宋体"/>
          <w:kern w:val="1"/>
          <w:sz w:val="24"/>
          <w:szCs w:val="24"/>
        </w:rPr>
        <w:t>元以上，</w:t>
      </w:r>
      <w:r>
        <w:rPr>
          <w:rFonts w:hint="eastAsia" w:ascii="宋体" w:hAnsi="宋体" w:eastAsia="宋体" w:cs="宋体"/>
          <w:b/>
          <w:kern w:val="1"/>
          <w:sz w:val="24"/>
          <w:szCs w:val="24"/>
        </w:rPr>
        <w:t>15万元以下的</w:t>
      </w:r>
      <w:r>
        <w:rPr>
          <w:rFonts w:hint="eastAsia" w:ascii="宋体" w:hAnsi="宋体" w:eastAsia="宋体" w:cs="宋体"/>
          <w:kern w:val="1"/>
          <w:sz w:val="24"/>
          <w:szCs w:val="24"/>
        </w:rPr>
        <w:t>由招标人组织全体定点维修企业进行二次竞价，同等服务条件下价格最低者优先选用。发生紧急维修业务的，由招标人直接指定维修单位至指定地点。</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cs="宋体"/>
          <w:snapToGrid w:val="0"/>
          <w:kern w:val="0"/>
          <w:sz w:val="24"/>
          <w:szCs w:val="24"/>
          <w:highlight w:val="none"/>
          <w:lang w:eastAsia="zh-CN"/>
        </w:rPr>
        <w:t>三</w:t>
      </w:r>
      <w:r>
        <w:rPr>
          <w:rFonts w:hint="eastAsia" w:ascii="宋体" w:hAnsi="宋体" w:eastAsia="宋体" w:cs="宋体"/>
          <w:snapToGrid w:val="0"/>
          <w:kern w:val="0"/>
          <w:sz w:val="24"/>
          <w:szCs w:val="24"/>
          <w:highlight w:val="none"/>
        </w:rPr>
        <w:t>、付 款</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①对账：服务费用支付采取先使用，后结算的方式，按实际发生数量结算。双方以自然月为对账周期，入围单位每月5号前提供上月对账单(如当天遇国家法定节假日、休息日的可顺延至节假日、休息日后的第一个工作日)，否则以招标人具体使用部门的账目为准。</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②付款方式：经双方对账确认后，招标人每季度最后一个工作日前以银行网银转账的方式支付入围单位维修费用至基本帐户。付款前，入围单位需提供所付货款的正规机打发票和维修详单。</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cs="宋体"/>
          <w:snapToGrid w:val="0"/>
          <w:kern w:val="0"/>
          <w:sz w:val="24"/>
          <w:szCs w:val="24"/>
          <w:highlight w:val="none"/>
          <w:lang w:eastAsia="zh-CN"/>
        </w:rPr>
        <w:t>四</w:t>
      </w:r>
      <w:r>
        <w:rPr>
          <w:rFonts w:hint="eastAsia" w:ascii="宋体" w:hAnsi="宋体" w:eastAsia="宋体" w:cs="宋体"/>
          <w:snapToGrid w:val="0"/>
          <w:kern w:val="0"/>
          <w:sz w:val="24"/>
          <w:szCs w:val="24"/>
          <w:highlight w:val="none"/>
        </w:rPr>
        <w:t>、服务期限、地点</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sz w:val="24"/>
          <w:szCs w:val="24"/>
          <w:highlight w:val="none"/>
          <w:lang w:eastAsia="zh-CN"/>
        </w:rPr>
      </w:pPr>
      <w:r>
        <w:rPr>
          <w:rFonts w:hint="eastAsia" w:ascii="宋体" w:hAnsi="宋体" w:eastAsia="宋体" w:cs="宋体"/>
          <w:snapToGrid w:val="0"/>
          <w:kern w:val="0"/>
          <w:sz w:val="24"/>
          <w:szCs w:val="24"/>
          <w:highlight w:val="none"/>
        </w:rPr>
        <w:t>1、服务期限：</w:t>
      </w:r>
      <w:r>
        <w:rPr>
          <w:rFonts w:hint="eastAsia" w:ascii="宋体" w:hAnsi="宋体" w:eastAsia="宋体" w:cs="宋体"/>
          <w:b/>
          <w:sz w:val="24"/>
          <w:szCs w:val="24"/>
          <w:highlight w:val="none"/>
        </w:rPr>
        <w:t>本次招标的入围服务期为一年，自合同签订之日起12个月。</w:t>
      </w:r>
      <w:r>
        <w:rPr>
          <w:rFonts w:hint="eastAsia" w:ascii="宋体" w:hAnsi="宋体" w:cs="宋体"/>
          <w:b/>
          <w:sz w:val="24"/>
          <w:szCs w:val="24"/>
          <w:highlight w:val="none"/>
          <w:lang w:eastAsia="zh-CN"/>
        </w:rPr>
        <w:t>（或自合同签订后根据实际项目情况审批预算费用已用完，则服务期限结束。）</w:t>
      </w:r>
    </w:p>
    <w:p>
      <w:pPr>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napToGrid w:val="0"/>
          <w:kern w:val="0"/>
          <w:sz w:val="24"/>
          <w:szCs w:val="24"/>
          <w:highlight w:val="none"/>
          <w:lang w:eastAsia="zh-CN"/>
        </w:rPr>
      </w:pPr>
      <w:r>
        <w:rPr>
          <w:rFonts w:hint="eastAsia" w:ascii="宋体" w:hAnsi="宋体" w:eastAsia="宋体" w:cs="宋体"/>
          <w:b/>
          <w:sz w:val="24"/>
          <w:szCs w:val="24"/>
          <w:highlight w:val="none"/>
        </w:rPr>
        <w:t>服务有效期满，招标人可根据服务情况，决定是否续约。如续约的，双方应另行签订合同。</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2、服务地点：章丘区消防大队驻地及刁镇消防中队驻地。。</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cs="宋体"/>
          <w:snapToGrid w:val="0"/>
          <w:kern w:val="0"/>
          <w:sz w:val="24"/>
          <w:szCs w:val="24"/>
          <w:highlight w:val="none"/>
          <w:lang w:eastAsia="zh-CN"/>
        </w:rPr>
        <w:t>五</w:t>
      </w:r>
      <w:r>
        <w:rPr>
          <w:rFonts w:hint="eastAsia" w:ascii="宋体" w:hAnsi="宋体" w:eastAsia="宋体" w:cs="宋体"/>
          <w:snapToGrid w:val="0"/>
          <w:kern w:val="0"/>
          <w:sz w:val="24"/>
          <w:szCs w:val="24"/>
          <w:highlight w:val="none"/>
        </w:rPr>
        <w:t>、服务标准和验收</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执行招标文件的相关规定。</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cs="宋体"/>
          <w:snapToGrid w:val="0"/>
          <w:kern w:val="0"/>
          <w:sz w:val="24"/>
          <w:szCs w:val="24"/>
          <w:highlight w:val="none"/>
          <w:lang w:eastAsia="zh-CN"/>
        </w:rPr>
        <w:t>六</w:t>
      </w:r>
      <w:r>
        <w:rPr>
          <w:rFonts w:hint="eastAsia" w:ascii="宋体" w:hAnsi="宋体" w:eastAsia="宋体" w:cs="宋体"/>
          <w:snapToGrid w:val="0"/>
          <w:kern w:val="0"/>
          <w:sz w:val="24"/>
          <w:szCs w:val="24"/>
          <w:highlight w:val="none"/>
        </w:rPr>
        <w:t>、入围资格的取消</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执行招标文件的相关规定。</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cs="宋体"/>
          <w:snapToGrid w:val="0"/>
          <w:kern w:val="0"/>
          <w:sz w:val="24"/>
          <w:szCs w:val="24"/>
          <w:highlight w:val="none"/>
          <w:lang w:eastAsia="zh-CN"/>
        </w:rPr>
        <w:t>七</w:t>
      </w:r>
      <w:r>
        <w:rPr>
          <w:rFonts w:hint="eastAsia" w:ascii="宋体" w:hAnsi="宋体" w:eastAsia="宋体" w:cs="宋体"/>
          <w:snapToGrid w:val="0"/>
          <w:kern w:val="0"/>
          <w:sz w:val="24"/>
          <w:szCs w:val="24"/>
          <w:highlight w:val="none"/>
        </w:rPr>
        <w:t>、违约责任</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1、甲方无正当理由逾期付款超过   工作日的，应以应付而未付的款项为基数，以人民银行同期贷款利率按日支付违约金。</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2、乙方逾期交付车辆的，甲方有权拒绝支付当季度全部维修款项。同时乙方应当向甲方支付违约金，违约金以本次维修费用的20%计算。</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3、乙方维修不合格的，甲方有权拒收维修车辆并拒绝支付本次维修款，直至乙方无偿继续维修达到甲方要求或符合相关标准为止。因此而造成乙方逾期交付车辆的，双方同意按本条第二项的规定处理。</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cs="宋体"/>
          <w:snapToGrid w:val="0"/>
          <w:kern w:val="0"/>
          <w:sz w:val="24"/>
          <w:szCs w:val="24"/>
          <w:highlight w:val="none"/>
          <w:lang w:eastAsia="zh-CN"/>
        </w:rPr>
        <w:t>八</w:t>
      </w:r>
      <w:r>
        <w:rPr>
          <w:rFonts w:hint="eastAsia" w:ascii="宋体" w:hAnsi="宋体" w:eastAsia="宋体" w:cs="宋体"/>
          <w:snapToGrid w:val="0"/>
          <w:kern w:val="0"/>
          <w:sz w:val="24"/>
          <w:szCs w:val="24"/>
          <w:highlight w:val="none"/>
        </w:rPr>
        <w:t>、不可抗力条款</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合同任何一方由于受诸如战争、骚乱、瘟疫、严重火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2、遭受不可抗力一方应在不可抗力事故发生后尽快以书面形式通知对方，并于事故发生后14天内将有关部门出具的证明文件、详细情况报告以及不可抗力对履行合同影响程度的说明用特快专递寄给对方。</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4、一旦不可抗力事故的影响持续120天以上，甲乙双方通过友好协商，在合理的时间内达成进一步履行合同或终止合同的协议。</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cs="宋体"/>
          <w:snapToGrid w:val="0"/>
          <w:kern w:val="0"/>
          <w:sz w:val="24"/>
          <w:szCs w:val="24"/>
          <w:highlight w:val="none"/>
          <w:lang w:eastAsia="zh-CN"/>
        </w:rPr>
        <w:t>九</w:t>
      </w:r>
      <w:r>
        <w:rPr>
          <w:rFonts w:hint="eastAsia" w:ascii="宋体" w:hAnsi="宋体" w:eastAsia="宋体" w:cs="宋体"/>
          <w:snapToGrid w:val="0"/>
          <w:kern w:val="0"/>
          <w:sz w:val="24"/>
          <w:szCs w:val="24"/>
          <w:highlight w:val="none"/>
        </w:rPr>
        <w:t>、在履行本合同过程中发生纠纷时，双方应协商解决。协商不成时，由甲方住所地人民法院管辖。</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十、本合同一式</w:t>
      </w:r>
      <w:r>
        <w:rPr>
          <w:rFonts w:hint="eastAsia" w:ascii="宋体" w:hAnsi="宋体" w:cs="宋体"/>
          <w:snapToGrid w:val="0"/>
          <w:kern w:val="0"/>
          <w:sz w:val="24"/>
          <w:szCs w:val="24"/>
          <w:highlight w:val="none"/>
          <w:lang w:eastAsia="zh-CN"/>
        </w:rPr>
        <w:t>六</w:t>
      </w:r>
      <w:r>
        <w:rPr>
          <w:rFonts w:hint="eastAsia" w:ascii="宋体" w:hAnsi="宋体" w:eastAsia="宋体" w:cs="宋体"/>
          <w:snapToGrid w:val="0"/>
          <w:kern w:val="0"/>
          <w:sz w:val="24"/>
          <w:szCs w:val="24"/>
          <w:highlight w:val="none"/>
        </w:rPr>
        <w:t>份，甲乙双方各执二份，</w:t>
      </w:r>
      <w:r>
        <w:rPr>
          <w:rFonts w:hint="eastAsia" w:ascii="宋体" w:hAnsi="宋体" w:eastAsia="宋体" w:cs="宋体"/>
          <w:sz w:val="24"/>
          <w:szCs w:val="24"/>
          <w:highlight w:val="none"/>
        </w:rPr>
        <w:t>招标代理公司</w:t>
      </w:r>
      <w:r>
        <w:rPr>
          <w:rFonts w:hint="eastAsia" w:ascii="宋体" w:hAnsi="宋体" w:cs="宋体"/>
          <w:sz w:val="24"/>
          <w:szCs w:val="24"/>
          <w:highlight w:val="none"/>
          <w:lang w:eastAsia="zh-CN"/>
        </w:rPr>
        <w:t>二</w:t>
      </w:r>
      <w:r>
        <w:rPr>
          <w:rFonts w:hint="eastAsia" w:ascii="宋体" w:hAnsi="宋体" w:eastAsia="宋体" w:cs="宋体"/>
          <w:sz w:val="24"/>
          <w:szCs w:val="24"/>
          <w:highlight w:val="none"/>
        </w:rPr>
        <w:t>份，</w:t>
      </w:r>
      <w:r>
        <w:rPr>
          <w:rFonts w:hint="eastAsia" w:ascii="宋体" w:hAnsi="宋体" w:eastAsia="宋体" w:cs="宋体"/>
          <w:snapToGrid w:val="0"/>
          <w:kern w:val="0"/>
          <w:sz w:val="24"/>
          <w:szCs w:val="24"/>
          <w:highlight w:val="none"/>
        </w:rPr>
        <w:t>具有同等法律效力。经甲乙双方盖章、签字后生效。</w:t>
      </w:r>
    </w:p>
    <w:p>
      <w:pPr>
        <w:adjustRightInd w:val="0"/>
        <w:snapToGrid w:val="0"/>
        <w:spacing w:before="100" w:beforeAutospacing="1" w:after="100" w:afterAutospacing="1" w:line="360" w:lineRule="auto"/>
        <w:ind w:left="362" w:leftChars="181" w:firstLine="460"/>
        <w:rPr>
          <w:rFonts w:hint="eastAsia" w:ascii="宋体" w:hAnsi="宋体" w:eastAsia="宋体" w:cs="宋体"/>
          <w:sz w:val="24"/>
          <w:szCs w:val="24"/>
          <w:highlight w:val="none"/>
        </w:rPr>
      </w:pPr>
      <w:bookmarkStart w:id="70" w:name="_Toc5556_WPSOffice_Level2"/>
      <w:r>
        <w:rPr>
          <w:rFonts w:hint="eastAsia" w:ascii="宋体" w:hAnsi="宋体" w:eastAsia="宋体" w:cs="宋体"/>
          <w:sz w:val="24"/>
          <w:szCs w:val="24"/>
          <w:highlight w:val="none"/>
        </w:rPr>
        <w:t>甲    方：                             乙    方：</w:t>
      </w:r>
      <w:bookmarkEnd w:id="70"/>
    </w:p>
    <w:p>
      <w:pPr>
        <w:adjustRightInd w:val="0"/>
        <w:snapToGrid w:val="0"/>
        <w:spacing w:before="100" w:beforeAutospacing="1" w:after="100" w:afterAutospacing="1" w:line="360" w:lineRule="auto"/>
        <w:ind w:left="362" w:leftChars="181"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盖    章                               盖    章</w:t>
      </w:r>
    </w:p>
    <w:p>
      <w:pPr>
        <w:adjustRightInd w:val="0"/>
        <w:snapToGrid w:val="0"/>
        <w:spacing w:before="100" w:beforeAutospacing="1" w:after="100" w:afterAutospacing="1" w:line="360" w:lineRule="auto"/>
        <w:ind w:left="362" w:leftChars="181"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全权代表：（签字或盖章）                全权代表：（签字或盖章）</w:t>
      </w:r>
    </w:p>
    <w:p>
      <w:pPr>
        <w:adjustRightInd w:val="0"/>
        <w:snapToGrid w:val="0"/>
        <w:spacing w:before="100" w:beforeAutospacing="1" w:after="100" w:afterAutospacing="1" w:line="360" w:lineRule="auto"/>
        <w:ind w:left="362" w:leftChars="181"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地    址：                             地    址：</w:t>
      </w:r>
    </w:p>
    <w:p>
      <w:pPr>
        <w:adjustRightInd w:val="0"/>
        <w:snapToGrid w:val="0"/>
        <w:spacing w:before="100" w:beforeAutospacing="1" w:after="100" w:afterAutospacing="1" w:line="360" w:lineRule="auto"/>
        <w:ind w:left="362" w:leftChars="181"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邮政编码：                             邮政编码：</w:t>
      </w:r>
    </w:p>
    <w:p>
      <w:pPr>
        <w:adjustRightInd w:val="0"/>
        <w:snapToGrid w:val="0"/>
        <w:spacing w:before="100" w:beforeAutospacing="1" w:after="100" w:afterAutospacing="1" w:line="360" w:lineRule="auto"/>
        <w:ind w:left="362" w:leftChars="181"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电    话：                             电    话：</w:t>
      </w:r>
    </w:p>
    <w:p>
      <w:pPr>
        <w:adjustRightInd w:val="0"/>
        <w:snapToGrid w:val="0"/>
        <w:spacing w:before="100" w:beforeAutospacing="1" w:after="100" w:afterAutospacing="1" w:line="360" w:lineRule="auto"/>
        <w:ind w:left="362" w:leftChars="181"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开户单位：                             开户单位：</w:t>
      </w:r>
    </w:p>
    <w:p>
      <w:pPr>
        <w:adjustRightInd w:val="0"/>
        <w:snapToGrid w:val="0"/>
        <w:spacing w:before="100" w:beforeAutospacing="1" w:after="100" w:afterAutospacing="1" w:line="360" w:lineRule="auto"/>
        <w:ind w:left="362" w:leftChars="181"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开户银行：                             开户银行：</w:t>
      </w:r>
    </w:p>
    <w:p>
      <w:pPr>
        <w:adjustRightInd w:val="0"/>
        <w:snapToGrid w:val="0"/>
        <w:spacing w:before="100" w:beforeAutospacing="1" w:after="100" w:afterAutospacing="1" w:line="360" w:lineRule="auto"/>
        <w:ind w:left="362" w:leftChars="181"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帐    号：                             帐    号： </w:t>
      </w:r>
    </w:p>
    <w:p>
      <w:pPr>
        <w:adjustRightInd w:val="0"/>
        <w:snapToGrid w:val="0"/>
        <w:spacing w:before="100" w:beforeAutospacing="1" w:after="100" w:afterAutospacing="1" w:line="360" w:lineRule="auto"/>
        <w:ind w:left="362" w:leftChars="181"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本合同签订时间：                       本合同签订时间：</w:t>
      </w:r>
    </w:p>
    <w:p>
      <w:pPr>
        <w:pStyle w:val="11"/>
        <w:tabs>
          <w:tab w:val="left" w:pos="772"/>
          <w:tab w:val="left" w:pos="1700"/>
        </w:tabs>
        <w:adjustRightInd w:val="0"/>
        <w:snapToGrid w:val="0"/>
        <w:spacing w:before="100" w:beforeAutospacing="1" w:after="100" w:afterAutospacing="1" w:line="360" w:lineRule="auto"/>
        <w:ind w:firstLine="0"/>
        <w:outlineLvl w:val="0"/>
        <w:rPr>
          <w:rFonts w:hint="eastAsia" w:ascii="宋体" w:hAnsi="宋体" w:eastAsia="宋体" w:cs="宋体"/>
          <w:sz w:val="24"/>
          <w:szCs w:val="24"/>
          <w:highlight w:val="none"/>
        </w:rPr>
      </w:pPr>
    </w:p>
    <w:p>
      <w:pPr>
        <w:pStyle w:val="11"/>
        <w:tabs>
          <w:tab w:val="left" w:pos="772"/>
          <w:tab w:val="left" w:pos="1700"/>
        </w:tabs>
        <w:adjustRightInd w:val="0"/>
        <w:snapToGrid w:val="0"/>
        <w:spacing w:before="100" w:beforeAutospacing="1" w:after="100" w:afterAutospacing="1" w:line="360" w:lineRule="auto"/>
        <w:ind w:firstLine="0"/>
        <w:outlineLvl w:val="0"/>
        <w:rPr>
          <w:rFonts w:hint="eastAsia" w:ascii="宋体" w:hAnsi="宋体" w:eastAsia="宋体" w:cs="宋体"/>
          <w:bCs/>
          <w:sz w:val="24"/>
          <w:szCs w:val="24"/>
          <w:highlight w:val="none"/>
        </w:rPr>
      </w:pPr>
    </w:p>
    <w:p>
      <w:pPr>
        <w:pStyle w:val="11"/>
        <w:tabs>
          <w:tab w:val="left" w:pos="772"/>
          <w:tab w:val="left" w:pos="1700"/>
        </w:tabs>
        <w:adjustRightInd w:val="0"/>
        <w:snapToGrid w:val="0"/>
        <w:spacing w:before="100" w:beforeAutospacing="1" w:after="100" w:afterAutospacing="1" w:line="360" w:lineRule="auto"/>
        <w:ind w:firstLine="0"/>
        <w:jc w:val="center"/>
        <w:outlineLvl w:val="0"/>
        <w:rPr>
          <w:rFonts w:ascii="宋体" w:hAnsi="宋体"/>
          <w:b/>
          <w:bCs/>
          <w:szCs w:val="28"/>
          <w:highlight w:val="none"/>
        </w:rPr>
      </w:pPr>
      <w:bookmarkStart w:id="71" w:name="_Toc525723067"/>
    </w:p>
    <w:p>
      <w:pPr>
        <w:pStyle w:val="11"/>
        <w:tabs>
          <w:tab w:val="left" w:pos="772"/>
          <w:tab w:val="left" w:pos="1700"/>
        </w:tabs>
        <w:adjustRightInd w:val="0"/>
        <w:snapToGrid w:val="0"/>
        <w:spacing w:before="100" w:beforeAutospacing="1" w:after="100" w:afterAutospacing="1" w:line="360" w:lineRule="auto"/>
        <w:ind w:firstLine="0"/>
        <w:jc w:val="both"/>
        <w:outlineLvl w:val="0"/>
        <w:rPr>
          <w:rFonts w:ascii="宋体" w:hAnsi="宋体"/>
          <w:b/>
          <w:bCs/>
          <w:szCs w:val="28"/>
          <w:highlight w:val="none"/>
        </w:rPr>
      </w:pPr>
    </w:p>
    <w:bookmarkEnd w:id="71"/>
    <w:p>
      <w:pPr>
        <w:pStyle w:val="3"/>
        <w:spacing w:line="240" w:lineRule="auto"/>
        <w:jc w:val="center"/>
        <w:rPr>
          <w:rFonts w:hint="eastAsia" w:ascii="宋体" w:hAnsi="宋体" w:eastAsia="宋体" w:cs="宋体"/>
          <w:b/>
          <w:bCs/>
          <w:color w:val="auto"/>
          <w:sz w:val="36"/>
          <w:szCs w:val="36"/>
          <w:highlight w:val="none"/>
          <w:lang w:val="en-US" w:eastAsia="zh-CN"/>
        </w:rPr>
      </w:pPr>
      <w:bookmarkStart w:id="72" w:name="_Toc2821"/>
      <w:bookmarkStart w:id="73" w:name="_Toc183264345"/>
      <w:bookmarkStart w:id="74" w:name="_Toc23040"/>
      <w:bookmarkStart w:id="75" w:name="_Toc8362"/>
      <w:bookmarkStart w:id="76" w:name="_Toc3757"/>
      <w:bookmarkStart w:id="77" w:name="_Toc13443"/>
      <w:bookmarkStart w:id="78" w:name="_Toc14653"/>
      <w:bookmarkStart w:id="79" w:name="_Toc5854"/>
      <w:bookmarkStart w:id="80" w:name="_Toc28419"/>
      <w:bookmarkStart w:id="81" w:name="_Toc1967"/>
      <w:bookmarkStart w:id="82" w:name="_Toc31460"/>
      <w:bookmarkStart w:id="83" w:name="_Toc32715"/>
      <w:bookmarkStart w:id="84" w:name="_Toc25577"/>
      <w:bookmarkStart w:id="85" w:name="_Toc5820"/>
      <w:bookmarkStart w:id="86" w:name="_Toc26493"/>
      <w:r>
        <w:rPr>
          <w:rFonts w:hint="eastAsia" w:ascii="宋体" w:hAnsi="宋体" w:cs="宋体"/>
          <w:b/>
          <w:bCs/>
          <w:color w:val="auto"/>
          <w:sz w:val="36"/>
          <w:szCs w:val="36"/>
          <w:highlight w:val="none"/>
          <w:lang w:eastAsia="zh-CN"/>
        </w:rPr>
        <w:t>第六部分</w:t>
      </w:r>
      <w:r>
        <w:rPr>
          <w:rFonts w:hint="eastAsia" w:ascii="宋体" w:hAnsi="宋体" w:cs="宋体"/>
          <w:b/>
          <w:bCs/>
          <w:color w:val="auto"/>
          <w:sz w:val="36"/>
          <w:szCs w:val="36"/>
          <w:highlight w:val="none"/>
          <w:lang w:val="en-US" w:eastAsia="zh-CN"/>
        </w:rPr>
        <w:t xml:space="preserve"> 附件</w:t>
      </w:r>
      <w:bookmarkEnd w:id="72"/>
    </w:p>
    <w:p>
      <w:pPr>
        <w:pStyle w:val="3"/>
        <w:spacing w:line="240" w:lineRule="auto"/>
        <w:jc w:val="center"/>
        <w:rPr>
          <w:rFonts w:hint="eastAsia" w:ascii="宋体" w:hAnsi="宋体" w:eastAsia="宋体" w:cs="宋体"/>
          <w:b/>
          <w:bCs/>
          <w:color w:val="auto"/>
          <w:sz w:val="24"/>
          <w:szCs w:val="24"/>
          <w:highlight w:val="none"/>
        </w:rPr>
      </w:pPr>
      <w:bookmarkStart w:id="87" w:name="_Toc2436"/>
      <w:r>
        <w:rPr>
          <w:rFonts w:hint="eastAsia" w:ascii="宋体" w:hAnsi="宋体" w:eastAsia="宋体" w:cs="宋体"/>
          <w:b/>
          <w:bCs/>
          <w:color w:val="auto"/>
          <w:sz w:val="24"/>
          <w:szCs w:val="24"/>
          <w:highlight w:val="none"/>
          <w:lang w:eastAsia="zh-CN"/>
        </w:rPr>
        <w:t>附件</w:t>
      </w:r>
      <w:r>
        <w:rPr>
          <w:rFonts w:hint="eastAsia" w:ascii="宋体" w:hAnsi="宋体" w:eastAsia="宋体" w:cs="宋体"/>
          <w:b/>
          <w:bCs/>
          <w:color w:val="auto"/>
          <w:sz w:val="24"/>
          <w:szCs w:val="24"/>
          <w:highlight w:val="none"/>
        </w:rPr>
        <w:t>一、</w:t>
      </w:r>
      <w:bookmarkEnd w:id="73"/>
      <w:r>
        <w:rPr>
          <w:rFonts w:hint="eastAsia" w:ascii="宋体" w:hAnsi="宋体" w:eastAsia="宋体" w:cs="宋体"/>
          <w:b/>
          <w:bCs/>
          <w:color w:val="auto"/>
          <w:sz w:val="24"/>
          <w:szCs w:val="24"/>
          <w:highlight w:val="none"/>
        </w:rPr>
        <w:t>投  标  函</w:t>
      </w:r>
      <w:bookmarkEnd w:id="74"/>
      <w:bookmarkEnd w:id="75"/>
      <w:bookmarkEnd w:id="76"/>
      <w:bookmarkEnd w:id="77"/>
      <w:bookmarkEnd w:id="78"/>
      <w:bookmarkEnd w:id="79"/>
      <w:bookmarkEnd w:id="80"/>
      <w:bookmarkEnd w:id="81"/>
      <w:bookmarkEnd w:id="82"/>
      <w:bookmarkEnd w:id="83"/>
      <w:bookmarkEnd w:id="84"/>
      <w:bookmarkEnd w:id="85"/>
      <w:bookmarkEnd w:id="86"/>
      <w:bookmarkEnd w:id="87"/>
    </w:p>
    <w:p>
      <w:pPr>
        <w:pStyle w:val="11"/>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bookmarkStart w:id="88" w:name="_Toc17009"/>
      <w:bookmarkStart w:id="89" w:name="_Toc183264346"/>
      <w:bookmarkStart w:id="90" w:name="_Toc1499"/>
      <w:bookmarkStart w:id="91" w:name="_Toc6430"/>
      <w:bookmarkStart w:id="92" w:name="_Toc10451"/>
      <w:bookmarkStart w:id="93" w:name="_Toc23301"/>
      <w:bookmarkStart w:id="94" w:name="_Toc9805"/>
      <w:bookmarkStart w:id="95" w:name="_Toc13445"/>
      <w:bookmarkStart w:id="96" w:name="_Toc9563"/>
      <w:bookmarkStart w:id="97" w:name="_Toc11257"/>
      <w:bookmarkStart w:id="98" w:name="_Toc806"/>
      <w:bookmarkStart w:id="99" w:name="_Toc740"/>
      <w:bookmarkStart w:id="100" w:name="_Toc15853"/>
      <w:r>
        <w:rPr>
          <w:rFonts w:hint="eastAsia" w:ascii="宋体" w:hAnsi="宋体" w:eastAsia="宋体" w:cs="宋体"/>
          <w:color w:val="auto"/>
          <w:sz w:val="24"/>
          <w:szCs w:val="24"/>
          <w:highlight w:val="none"/>
          <w:u w:val="single"/>
        </w:rPr>
        <w:t>山东</w:t>
      </w:r>
      <w:r>
        <w:rPr>
          <w:rFonts w:hint="eastAsia" w:ascii="宋体" w:hAnsi="宋体" w:eastAsia="宋体" w:cs="宋体"/>
          <w:color w:val="auto"/>
          <w:sz w:val="24"/>
          <w:szCs w:val="24"/>
          <w:highlight w:val="none"/>
          <w:u w:val="single"/>
          <w:lang w:eastAsia="zh-CN"/>
        </w:rPr>
        <w:t>蓝盾招标代理有限公司</w:t>
      </w:r>
      <w:r>
        <w:rPr>
          <w:rFonts w:hint="eastAsia" w:ascii="宋体" w:hAnsi="宋体" w:eastAsia="宋体" w:cs="宋体"/>
          <w:color w:val="auto"/>
          <w:sz w:val="24"/>
          <w:szCs w:val="24"/>
          <w:highlight w:val="none"/>
        </w:rPr>
        <w:t>：</w:t>
      </w:r>
    </w:p>
    <w:p>
      <w:pPr>
        <w:pStyle w:val="11"/>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经研究，我们决定参加项目编号为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（项目名称）的投标活动并提交</w:t>
      </w:r>
      <w:r>
        <w:rPr>
          <w:rFonts w:hint="eastAsia" w:ascii="宋体" w:hAnsi="宋体" w:eastAsia="宋体" w:cs="宋体"/>
          <w:color w:val="auto"/>
          <w:sz w:val="24"/>
          <w:szCs w:val="24"/>
          <w:highlight w:val="none"/>
          <w:lang w:eastAsia="zh-CN"/>
        </w:rPr>
        <w:t>报价文件</w:t>
      </w:r>
      <w:r>
        <w:rPr>
          <w:rFonts w:hint="eastAsia" w:ascii="宋体" w:hAnsi="宋体" w:eastAsia="宋体" w:cs="宋体"/>
          <w:color w:val="auto"/>
          <w:sz w:val="24"/>
          <w:szCs w:val="24"/>
          <w:highlight w:val="none"/>
        </w:rPr>
        <w:t>。为此，我方郑重声明以下诸点，并负法律责任。</w:t>
      </w:r>
    </w:p>
    <w:p>
      <w:pPr>
        <w:pStyle w:val="11"/>
        <w:spacing w:line="560" w:lineRule="exact"/>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1、我方提交的</w:t>
      </w:r>
      <w:r>
        <w:rPr>
          <w:rFonts w:hint="eastAsia" w:ascii="宋体" w:hAnsi="宋体" w:eastAsia="宋体" w:cs="宋体"/>
          <w:color w:val="auto"/>
          <w:sz w:val="24"/>
          <w:szCs w:val="24"/>
          <w:highlight w:val="none"/>
          <w:lang w:eastAsia="zh-CN"/>
        </w:rPr>
        <w:t>报价文件</w:t>
      </w:r>
      <w:r>
        <w:rPr>
          <w:rFonts w:hint="eastAsia" w:ascii="宋体" w:hAnsi="宋体" w:eastAsia="宋体" w:cs="宋体"/>
          <w:color w:val="auto"/>
          <w:sz w:val="24"/>
          <w:szCs w:val="24"/>
          <w:highlight w:val="none"/>
        </w:rPr>
        <w:t>，纸质</w:t>
      </w:r>
      <w:r>
        <w:rPr>
          <w:rFonts w:hint="eastAsia" w:ascii="宋体" w:hAnsi="宋体" w:cs="宋体"/>
          <w:color w:val="auto"/>
          <w:sz w:val="24"/>
          <w:szCs w:val="24"/>
          <w:highlight w:val="none"/>
          <w:lang w:eastAsia="zh-CN"/>
        </w:rPr>
        <w:t>五</w:t>
      </w:r>
      <w:r>
        <w:rPr>
          <w:rFonts w:hint="eastAsia" w:ascii="宋体" w:hAnsi="宋体" w:eastAsia="宋体" w:cs="宋体"/>
          <w:color w:val="auto"/>
          <w:sz w:val="24"/>
          <w:szCs w:val="24"/>
          <w:highlight w:val="none"/>
        </w:rPr>
        <w:t>份，正本一份，副本</w:t>
      </w:r>
      <w:r>
        <w:rPr>
          <w:rFonts w:hint="eastAsia" w:ascii="宋体" w:hAnsi="宋体" w:cs="宋体"/>
          <w:color w:val="auto"/>
          <w:sz w:val="24"/>
          <w:szCs w:val="24"/>
          <w:highlight w:val="none"/>
          <w:lang w:eastAsia="zh-CN"/>
        </w:rPr>
        <w:t>四</w:t>
      </w:r>
      <w:r>
        <w:rPr>
          <w:rFonts w:hint="eastAsia" w:ascii="宋体" w:hAnsi="宋体" w:eastAsia="宋体" w:cs="宋体"/>
          <w:color w:val="auto"/>
          <w:sz w:val="24"/>
          <w:szCs w:val="24"/>
          <w:highlight w:val="none"/>
        </w:rPr>
        <w:t>份，开标一览表三份；</w:t>
      </w:r>
      <w:r>
        <w:rPr>
          <w:rFonts w:hint="eastAsia" w:ascii="宋体" w:hAnsi="宋体" w:eastAsia="宋体" w:cs="宋体"/>
          <w:color w:val="auto"/>
          <w:sz w:val="24"/>
          <w:szCs w:val="24"/>
          <w:highlight w:val="none"/>
          <w:lang w:eastAsia="zh-CN"/>
        </w:rPr>
        <w:t>报价文件</w:t>
      </w:r>
      <w:r>
        <w:rPr>
          <w:rFonts w:hint="eastAsia" w:ascii="宋体" w:hAnsi="宋体" w:eastAsia="宋体" w:cs="宋体"/>
          <w:color w:val="auto"/>
          <w:sz w:val="24"/>
          <w:szCs w:val="24"/>
          <w:highlight w:val="none"/>
        </w:rPr>
        <w:t>电子版一份。</w:t>
      </w:r>
    </w:p>
    <w:p>
      <w:pPr>
        <w:pStyle w:val="11"/>
        <w:spacing w:line="560" w:lineRule="exact"/>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2、如果我们的</w:t>
      </w:r>
      <w:r>
        <w:rPr>
          <w:rFonts w:hint="eastAsia" w:ascii="宋体" w:hAnsi="宋体" w:eastAsia="宋体" w:cs="宋体"/>
          <w:color w:val="auto"/>
          <w:sz w:val="24"/>
          <w:szCs w:val="24"/>
          <w:highlight w:val="none"/>
          <w:lang w:eastAsia="zh-CN"/>
        </w:rPr>
        <w:t>报价文件</w:t>
      </w:r>
      <w:r>
        <w:rPr>
          <w:rFonts w:hint="eastAsia" w:ascii="宋体" w:hAnsi="宋体" w:eastAsia="宋体" w:cs="宋体"/>
          <w:color w:val="auto"/>
          <w:sz w:val="24"/>
          <w:szCs w:val="24"/>
          <w:highlight w:val="none"/>
        </w:rPr>
        <w:t>被接受，我们将履行</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中规定的每一项要求，并按我们</w:t>
      </w:r>
      <w:r>
        <w:rPr>
          <w:rFonts w:hint="eastAsia" w:ascii="宋体" w:hAnsi="宋体" w:eastAsia="宋体" w:cs="宋体"/>
          <w:color w:val="auto"/>
          <w:sz w:val="24"/>
          <w:szCs w:val="24"/>
          <w:highlight w:val="none"/>
          <w:lang w:eastAsia="zh-CN"/>
        </w:rPr>
        <w:t>报价文件</w:t>
      </w:r>
      <w:r>
        <w:rPr>
          <w:rFonts w:hint="eastAsia" w:ascii="宋体" w:hAnsi="宋体" w:eastAsia="宋体" w:cs="宋体"/>
          <w:color w:val="auto"/>
          <w:sz w:val="24"/>
          <w:szCs w:val="24"/>
          <w:highlight w:val="none"/>
        </w:rPr>
        <w:t>中的承诺按期、保质、保量的完成本项目监理工作。</w:t>
      </w:r>
    </w:p>
    <w:p>
      <w:pPr>
        <w:pStyle w:val="11"/>
        <w:spacing w:line="560" w:lineRule="exact"/>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3、我们理解，最低报价不是中标的唯一条件，你们有选择中标人的权力。</w:t>
      </w:r>
    </w:p>
    <w:p>
      <w:pPr>
        <w:pStyle w:val="11"/>
        <w:spacing w:line="560" w:lineRule="exact"/>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4、我方愿按《中华人民共和国合同法》履行自己的全部责任。</w:t>
      </w:r>
    </w:p>
    <w:p>
      <w:pPr>
        <w:pStyle w:val="11"/>
        <w:spacing w:line="560" w:lineRule="exact"/>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5、我们同意按</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规定交纳投标保证金、中标服务费、公证费/见证费，遵守贵机构有关招标的各项规定。</w:t>
      </w:r>
    </w:p>
    <w:p>
      <w:pPr>
        <w:pStyle w:val="11"/>
        <w:spacing w:line="560" w:lineRule="exact"/>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6、我方若未成为中标人，贵机构有权不做任何解释。</w:t>
      </w:r>
    </w:p>
    <w:p>
      <w:pPr>
        <w:pStyle w:val="11"/>
        <w:spacing w:line="560" w:lineRule="exact"/>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7、我方的</w:t>
      </w:r>
      <w:r>
        <w:rPr>
          <w:rFonts w:hint="eastAsia" w:ascii="宋体" w:hAnsi="宋体" w:eastAsia="宋体" w:cs="宋体"/>
          <w:color w:val="auto"/>
          <w:sz w:val="24"/>
          <w:szCs w:val="24"/>
          <w:highlight w:val="none"/>
          <w:lang w:eastAsia="zh-CN"/>
        </w:rPr>
        <w:t>报价文件</w:t>
      </w:r>
      <w:r>
        <w:rPr>
          <w:rFonts w:hint="eastAsia" w:ascii="宋体" w:hAnsi="宋体" w:eastAsia="宋体" w:cs="宋体"/>
          <w:color w:val="auto"/>
          <w:sz w:val="24"/>
          <w:szCs w:val="24"/>
          <w:highlight w:val="none"/>
        </w:rPr>
        <w:t>自开标之日起有效期为</w:t>
      </w: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日。</w:t>
      </w:r>
    </w:p>
    <w:p>
      <w:pPr>
        <w:pStyle w:val="11"/>
        <w:spacing w:line="560" w:lineRule="exact"/>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8、与本投标有关的一切正式往来通讯请寄：</w:t>
      </w:r>
    </w:p>
    <w:p>
      <w:pPr>
        <w:pStyle w:val="11"/>
        <w:spacing w:line="560" w:lineRule="exact"/>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                            邮政编码：</w:t>
      </w:r>
    </w:p>
    <w:p>
      <w:pPr>
        <w:pStyle w:val="11"/>
        <w:spacing w:line="560" w:lineRule="exact"/>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                            传    真：</w:t>
      </w:r>
    </w:p>
    <w:p>
      <w:pPr>
        <w:pStyle w:val="11"/>
        <w:spacing w:line="560" w:lineRule="exact"/>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开户单位：                            开户银行：</w:t>
      </w:r>
    </w:p>
    <w:p>
      <w:pPr>
        <w:pStyle w:val="11"/>
        <w:spacing w:line="560" w:lineRule="exact"/>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    号：</w:t>
      </w:r>
    </w:p>
    <w:p>
      <w:pPr>
        <w:pStyle w:val="11"/>
        <w:spacing w:line="560" w:lineRule="exact"/>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投标单位（公章）</w:t>
      </w:r>
    </w:p>
    <w:p>
      <w:pPr>
        <w:pStyle w:val="11"/>
        <w:spacing w:line="560" w:lineRule="exact"/>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法定代表人或授权代理人签字：                       </w:t>
      </w:r>
      <w:r>
        <w:rPr>
          <w:rFonts w:hint="eastAsia" w:ascii="宋体" w:hAnsi="宋体" w:eastAsia="宋体" w:cs="宋体"/>
          <w:color w:val="auto"/>
          <w:spacing w:val="6"/>
          <w:sz w:val="24"/>
          <w:szCs w:val="24"/>
          <w:highlight w:val="none"/>
        </w:rPr>
        <w:t xml:space="preserve">   日期：</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年</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月</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日</w:t>
      </w:r>
    </w:p>
    <w:p>
      <w:pPr>
        <w:pStyle w:val="8"/>
        <w:spacing w:line="500" w:lineRule="atLeast"/>
        <w:rPr>
          <w:rFonts w:hint="eastAsia" w:ascii="宋体" w:hAnsi="宋体" w:eastAsia="宋体" w:cs="宋体"/>
          <w:color w:val="auto"/>
          <w:sz w:val="24"/>
          <w:szCs w:val="24"/>
          <w:highlight w:val="none"/>
        </w:rPr>
      </w:pPr>
    </w:p>
    <w:p>
      <w:pPr>
        <w:pStyle w:val="3"/>
        <w:jc w:val="center"/>
        <w:rPr>
          <w:rFonts w:hint="eastAsia" w:ascii="宋体" w:hAnsi="宋体" w:eastAsia="宋体" w:cs="宋体"/>
          <w:b/>
          <w:bCs/>
          <w:color w:val="auto"/>
          <w:sz w:val="24"/>
          <w:szCs w:val="24"/>
          <w:highlight w:val="none"/>
          <w:lang w:eastAsia="zh-CN"/>
        </w:rPr>
      </w:pPr>
      <w:bookmarkStart w:id="101" w:name="_Toc18722"/>
      <w:bookmarkStart w:id="102" w:name="_Toc30752"/>
      <w:bookmarkStart w:id="103" w:name="_Toc18415"/>
      <w:r>
        <w:rPr>
          <w:rFonts w:hint="eastAsia" w:ascii="宋体" w:hAnsi="宋体" w:eastAsia="宋体" w:cs="宋体"/>
          <w:b/>
          <w:bCs/>
          <w:color w:val="auto"/>
          <w:sz w:val="24"/>
          <w:szCs w:val="24"/>
          <w:highlight w:val="none"/>
          <w:lang w:eastAsia="zh-CN"/>
        </w:rPr>
        <w:t>附件二、法定代表人身份证明</w:t>
      </w:r>
      <w:bookmarkEnd w:id="101"/>
      <w:bookmarkEnd w:id="102"/>
      <w:bookmarkEnd w:id="103"/>
    </w:p>
    <w:p>
      <w:pPr>
        <w:spacing w:line="440" w:lineRule="exact"/>
        <w:rPr>
          <w:rFonts w:hint="eastAsia" w:ascii="宋体" w:hAnsi="宋体" w:eastAsia="宋体" w:cs="宋体"/>
          <w:sz w:val="24"/>
          <w:szCs w:val="24"/>
          <w:highlight w:val="none"/>
        </w:rPr>
      </w:pPr>
    </w:p>
    <w:p>
      <w:pPr>
        <w:topLinePunct/>
        <w:snapToGrid w:val="0"/>
        <w:spacing w:line="440" w:lineRule="exact"/>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供应商名称：</w:t>
      </w:r>
      <w:r>
        <w:rPr>
          <w:rFonts w:hint="eastAsia" w:ascii="宋体" w:hAnsi="宋体" w:eastAsia="宋体" w:cs="宋体"/>
          <w:bCs/>
          <w:sz w:val="24"/>
          <w:szCs w:val="24"/>
          <w:highlight w:val="none"/>
          <w:u w:val="single"/>
        </w:rPr>
        <w:t xml:space="preserve">                         </w:t>
      </w:r>
    </w:p>
    <w:p>
      <w:pPr>
        <w:topLinePunct/>
        <w:snapToGrid w:val="0"/>
        <w:spacing w:line="44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单位性质：</w:t>
      </w:r>
      <w:r>
        <w:rPr>
          <w:rFonts w:hint="eastAsia" w:ascii="宋体" w:hAnsi="宋体" w:eastAsia="宋体" w:cs="宋体"/>
          <w:bCs/>
          <w:sz w:val="24"/>
          <w:szCs w:val="24"/>
          <w:highlight w:val="none"/>
          <w:u w:val="single"/>
        </w:rPr>
        <w:t xml:space="preserve">                           </w:t>
      </w:r>
    </w:p>
    <w:p>
      <w:pPr>
        <w:topLinePunct/>
        <w:snapToGrid w:val="0"/>
        <w:spacing w:line="44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成立时间：</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月</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日</w:t>
      </w:r>
    </w:p>
    <w:p>
      <w:pPr>
        <w:topLinePunct/>
        <w:snapToGrid w:val="0"/>
        <w:spacing w:line="44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经营期限：</w:t>
      </w:r>
      <w:r>
        <w:rPr>
          <w:rFonts w:hint="eastAsia" w:ascii="宋体" w:hAnsi="宋体" w:eastAsia="宋体" w:cs="宋体"/>
          <w:bCs/>
          <w:sz w:val="24"/>
          <w:szCs w:val="24"/>
          <w:highlight w:val="none"/>
          <w:u w:val="single"/>
        </w:rPr>
        <w:t xml:space="preserve">            </w:t>
      </w:r>
    </w:p>
    <w:p>
      <w:pPr>
        <w:topLinePunct/>
        <w:snapToGrid w:val="0"/>
        <w:spacing w:line="440" w:lineRule="exact"/>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姓名：</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性别：</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年龄：</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职务：</w:t>
      </w:r>
      <w:r>
        <w:rPr>
          <w:rFonts w:hint="eastAsia" w:ascii="宋体" w:hAnsi="宋体" w:eastAsia="宋体" w:cs="宋体"/>
          <w:bCs/>
          <w:sz w:val="24"/>
          <w:szCs w:val="24"/>
          <w:highlight w:val="none"/>
          <w:u w:val="single"/>
        </w:rPr>
        <w:t xml:space="preserve">         </w:t>
      </w:r>
    </w:p>
    <w:p>
      <w:pPr>
        <w:topLinePunct/>
        <w:snapToGrid w:val="0"/>
        <w:spacing w:line="44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系</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（供应商名称）的法定代表人。</w:t>
      </w:r>
    </w:p>
    <w:p>
      <w:pPr>
        <w:topLinePunct/>
        <w:snapToGrid w:val="0"/>
        <w:spacing w:line="44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特此证明。</w:t>
      </w:r>
    </w:p>
    <w:p>
      <w:pPr>
        <w:topLinePunct/>
        <w:snapToGrid w:val="0"/>
        <w:spacing w:line="440" w:lineRule="exact"/>
        <w:ind w:firstLine="480" w:firstLineChars="200"/>
        <w:rPr>
          <w:rFonts w:hint="eastAsia" w:ascii="宋体" w:hAnsi="宋体" w:eastAsia="宋体" w:cs="宋体"/>
          <w:bCs/>
          <w:sz w:val="24"/>
          <w:szCs w:val="24"/>
          <w:highlight w:val="none"/>
        </w:rPr>
      </w:pPr>
    </w:p>
    <w:p>
      <w:pPr>
        <w:topLinePunct/>
        <w:snapToGrid w:val="0"/>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附：法定代表人身份证复印件</w:t>
      </w:r>
      <w:r>
        <w:rPr>
          <w:rFonts w:hint="eastAsia" w:ascii="宋体" w:hAnsi="宋体" w:eastAsia="宋体" w:cs="宋体"/>
          <w:bCs/>
          <w:sz w:val="24"/>
          <w:szCs w:val="24"/>
          <w:highlight w:val="none"/>
        </w:rPr>
        <w:t>(需同时提供正面及背面)</w:t>
      </w:r>
    </w:p>
    <w:p>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76200</wp:posOffset>
                </wp:positionH>
                <wp:positionV relativeFrom="paragraph">
                  <wp:posOffset>314960</wp:posOffset>
                </wp:positionV>
                <wp:extent cx="2969895" cy="1863725"/>
                <wp:effectExtent l="4445" t="4445" r="16510" b="17780"/>
                <wp:wrapNone/>
                <wp:docPr id="3" name="流程图: 可选过程 3"/>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both"/>
                              <w:rPr>
                                <w:szCs w:val="21"/>
                              </w:rPr>
                            </w:pPr>
                            <w:r>
                              <w:rPr>
                                <w:rFonts w:hint="eastAsia"/>
                                <w:szCs w:val="21"/>
                              </w:rPr>
                              <w:t>法定代表人身份证正面复印件贴于此处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6pt;margin-top:24.8pt;height:146.75pt;width:233.85pt;z-index:251662336;mso-width-relative:page;mso-height-relative:page;" fillcolor="#FFFFFF" filled="t" stroked="t" coordsize="21600,21600" o:gfxdata="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jZYPZ1wAAAAkBAAAPAAAAAAAAAAEA&#10;IAAAACIAAABkcnMvZG93bnJldi54bWxQSwECFAAUAAAACACHTuJAFIKuCUkCAABhBAAADgAAAAAA&#10;AAABACAAAAAmAQAAZHJzL2Uyb0RvYy54bWxQSwUGAAAAAAYABgBZAQAA4QUAAAAA&#10;">
                <v:fill on="t" focussize="0,0"/>
                <v:stroke color="#000000" miterlimit="8" joinstyle="miter"/>
                <v:imagedata o:title=""/>
                <o:lock v:ext="edit" aspectratio="f"/>
                <v:textbox>
                  <w:txbxContent>
                    <w:p>
                      <w:pPr>
                        <w:jc w:val="both"/>
                        <w:rPr>
                          <w:szCs w:val="21"/>
                        </w:rPr>
                      </w:pPr>
                      <w:r>
                        <w:rPr>
                          <w:rFonts w:hint="eastAsia"/>
                          <w:szCs w:val="21"/>
                        </w:rPr>
                        <w:t>法定代表人身份证正面复印件贴于此处</w:t>
                      </w:r>
                    </w:p>
                  </w:txbxContent>
                </v:textbox>
              </v:shape>
            </w:pict>
          </mc:Fallback>
        </mc:AlternateContent>
      </w:r>
      <w:r>
        <w:rPr>
          <w:rFonts w:hint="eastAsia" w:ascii="宋体" w:hAnsi="宋体" w:eastAsia="宋体" w:cs="宋体"/>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3221990</wp:posOffset>
                </wp:positionH>
                <wp:positionV relativeFrom="paragraph">
                  <wp:posOffset>264160</wp:posOffset>
                </wp:positionV>
                <wp:extent cx="2994660" cy="1848485"/>
                <wp:effectExtent l="4445" t="5080" r="10795" b="13335"/>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法定代表人身份证背面复印件贴于此处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3.7pt;margin-top:20.8pt;height:145.55pt;width:235.8pt;z-index:251663360;mso-width-relative:page;mso-height-relative:page;" fillcolor="#FFFFFF" filled="t" stroked="t" coordsize="21600,21600" o:gfxdata="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1bPTtkAAAAKAQAADwAAAAAA&#10;AAABACAAAAAiAAAAZHJzL2Rvd25yZXYueG1sUEsBAhQAFAAAAAgAh07iQG14ufxLAgAAYQQAAA4A&#10;AAAAAAAAAQAgAAAAKAEAAGRycy9lMm9Eb2MueG1sUEsFBgAAAAAGAAYAWQEAAOUFAAAAAA==&#10;">
                <v:fill on="t" focussize="0,0"/>
                <v:stroke color="#000000" miterlimit="8" joinstyle="miter"/>
                <v:imagedata o:title=""/>
                <o:lock v:ext="edit" aspectratio="f"/>
                <v:textbox>
                  <w:txbxContent>
                    <w:p>
                      <w:pPr>
                        <w:jc w:val="center"/>
                        <w:rPr>
                          <w:szCs w:val="21"/>
                        </w:rPr>
                      </w:pPr>
                      <w:r>
                        <w:rPr>
                          <w:rFonts w:hint="eastAsia"/>
                          <w:szCs w:val="21"/>
                        </w:rPr>
                        <w:t>法定代表人身份证背面复印件贴于此处</w:t>
                      </w:r>
                    </w:p>
                  </w:txbxContent>
                </v:textbox>
              </v:shape>
            </w:pict>
          </mc:Fallback>
        </mc:AlternateContent>
      </w:r>
    </w:p>
    <w:p>
      <w:pPr>
        <w:spacing w:line="500" w:lineRule="exact"/>
        <w:rPr>
          <w:rFonts w:hint="eastAsia" w:ascii="宋体" w:hAnsi="宋体" w:eastAsia="宋体" w:cs="宋体"/>
          <w:sz w:val="24"/>
          <w:szCs w:val="24"/>
          <w:highlight w:val="none"/>
        </w:rPr>
      </w:pPr>
    </w:p>
    <w:p>
      <w:pPr>
        <w:spacing w:line="440" w:lineRule="exact"/>
        <w:rPr>
          <w:rFonts w:hint="eastAsia" w:ascii="宋体" w:hAnsi="宋体" w:eastAsia="宋体" w:cs="宋体"/>
          <w:sz w:val="24"/>
          <w:szCs w:val="24"/>
          <w:highlight w:val="none"/>
        </w:rPr>
      </w:pP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spacing w:line="500" w:lineRule="exact"/>
        <w:rPr>
          <w:rFonts w:hint="eastAsia" w:ascii="宋体" w:hAnsi="宋体" w:eastAsia="宋体" w:cs="宋体"/>
          <w:sz w:val="24"/>
          <w:szCs w:val="24"/>
          <w:highlight w:val="none"/>
        </w:rPr>
      </w:pPr>
    </w:p>
    <w:p>
      <w:pPr>
        <w:spacing w:line="440" w:lineRule="exact"/>
        <w:rPr>
          <w:rFonts w:hint="eastAsia" w:ascii="宋体" w:hAnsi="宋体" w:eastAsia="宋体" w:cs="宋体"/>
          <w:sz w:val="24"/>
          <w:szCs w:val="24"/>
          <w:highlight w:val="none"/>
        </w:rPr>
      </w:pPr>
    </w:p>
    <w:p>
      <w:pPr>
        <w:spacing w:line="500" w:lineRule="exact"/>
        <w:rPr>
          <w:rFonts w:hint="eastAsia" w:ascii="宋体" w:hAnsi="宋体" w:eastAsia="宋体" w:cs="宋体"/>
          <w:sz w:val="24"/>
          <w:szCs w:val="24"/>
          <w:highlight w:val="none"/>
        </w:rPr>
      </w:pPr>
    </w:p>
    <w:p>
      <w:pPr>
        <w:spacing w:line="440" w:lineRule="exact"/>
        <w:rPr>
          <w:rFonts w:hint="eastAsia" w:ascii="宋体" w:hAnsi="宋体" w:eastAsia="宋体" w:cs="宋体"/>
          <w:sz w:val="24"/>
          <w:szCs w:val="24"/>
          <w:highlight w:val="none"/>
        </w:rPr>
      </w:pP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spacing w:line="440" w:lineRule="exact"/>
        <w:rPr>
          <w:rFonts w:hint="eastAsia" w:ascii="宋体" w:hAnsi="宋体" w:eastAsia="宋体" w:cs="宋体"/>
          <w:sz w:val="24"/>
          <w:szCs w:val="24"/>
          <w:highlight w:val="none"/>
        </w:rPr>
      </w:pP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供应商名称（公章）：</w:t>
      </w:r>
      <w:r>
        <w:rPr>
          <w:rFonts w:hint="eastAsia" w:ascii="宋体" w:hAnsi="宋体" w:eastAsia="宋体" w:cs="宋体"/>
          <w:sz w:val="24"/>
          <w:szCs w:val="24"/>
          <w:highlight w:val="none"/>
          <w:u w:val="single"/>
        </w:rPr>
        <w:t xml:space="preserve">               </w:t>
      </w:r>
    </w:p>
    <w:p>
      <w:pPr>
        <w:spacing w:line="440" w:lineRule="exact"/>
        <w:rPr>
          <w:rFonts w:hint="eastAsia" w:ascii="宋体" w:hAnsi="宋体" w:eastAsia="宋体" w:cs="宋体"/>
          <w:sz w:val="24"/>
          <w:szCs w:val="24"/>
          <w:highlight w:val="none"/>
        </w:rPr>
      </w:pP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法定代表人（签字或盖章）：</w:t>
      </w:r>
      <w:r>
        <w:rPr>
          <w:rFonts w:hint="eastAsia" w:ascii="宋体" w:hAnsi="宋体" w:eastAsia="宋体" w:cs="宋体"/>
          <w:sz w:val="24"/>
          <w:szCs w:val="24"/>
          <w:highlight w:val="none"/>
          <w:u w:val="single"/>
        </w:rPr>
        <w:t xml:space="preserve">               </w:t>
      </w:r>
    </w:p>
    <w:p>
      <w:pPr>
        <w:pStyle w:val="28"/>
        <w:jc w:val="right"/>
        <w:rPr>
          <w:rFonts w:hint="eastAsia" w:ascii="宋体" w:hAnsi="宋体" w:eastAsia="宋体" w:cs="宋体"/>
          <w:spacing w:val="6"/>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pacing w:val="6"/>
          <w:sz w:val="24"/>
          <w:szCs w:val="24"/>
          <w:highlight w:val="none"/>
        </w:rPr>
        <w:t xml:space="preserve"> </w:t>
      </w:r>
    </w:p>
    <w:p>
      <w:pPr>
        <w:pStyle w:val="28"/>
        <w:jc w:val="right"/>
        <w:rPr>
          <w:rFonts w:hint="eastAsia" w:ascii="宋体" w:hAnsi="宋体" w:eastAsia="宋体" w:cs="宋体"/>
          <w:spacing w:val="6"/>
          <w:sz w:val="24"/>
          <w:szCs w:val="24"/>
          <w:highlight w:val="none"/>
        </w:rPr>
      </w:pPr>
    </w:p>
    <w:p>
      <w:pPr>
        <w:pStyle w:val="28"/>
        <w:jc w:val="right"/>
        <w:rPr>
          <w:rFonts w:hint="eastAsia" w:ascii="宋体" w:hAnsi="宋体" w:eastAsia="宋体" w:cs="宋体"/>
          <w:spacing w:val="6"/>
          <w:sz w:val="24"/>
          <w:szCs w:val="24"/>
          <w:highlight w:val="none"/>
        </w:rPr>
      </w:pPr>
    </w:p>
    <w:p>
      <w:pPr>
        <w:pStyle w:val="28"/>
        <w:jc w:val="right"/>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日期：</w:t>
      </w:r>
      <w:r>
        <w:rPr>
          <w:rFonts w:hint="eastAsia" w:ascii="宋体" w:hAnsi="宋体" w:eastAsia="宋体" w:cs="宋体"/>
          <w:spacing w:val="6"/>
          <w:sz w:val="24"/>
          <w:szCs w:val="24"/>
          <w:highlight w:val="none"/>
          <w:u w:val="single"/>
        </w:rPr>
        <w:t xml:space="preserve">       </w:t>
      </w:r>
      <w:r>
        <w:rPr>
          <w:rFonts w:hint="eastAsia" w:ascii="宋体" w:hAnsi="宋体" w:eastAsia="宋体" w:cs="宋体"/>
          <w:spacing w:val="6"/>
          <w:sz w:val="24"/>
          <w:szCs w:val="24"/>
          <w:highlight w:val="none"/>
        </w:rPr>
        <w:t>年</w:t>
      </w:r>
      <w:r>
        <w:rPr>
          <w:rFonts w:hint="eastAsia" w:ascii="宋体" w:hAnsi="宋体" w:eastAsia="宋体" w:cs="宋体"/>
          <w:spacing w:val="6"/>
          <w:sz w:val="24"/>
          <w:szCs w:val="24"/>
          <w:highlight w:val="none"/>
          <w:u w:val="single"/>
        </w:rPr>
        <w:t xml:space="preserve">   </w:t>
      </w:r>
      <w:r>
        <w:rPr>
          <w:rFonts w:hint="eastAsia" w:ascii="宋体" w:hAnsi="宋体" w:eastAsia="宋体" w:cs="宋体"/>
          <w:spacing w:val="6"/>
          <w:sz w:val="24"/>
          <w:szCs w:val="24"/>
          <w:highlight w:val="none"/>
        </w:rPr>
        <w:t>月</w:t>
      </w:r>
      <w:r>
        <w:rPr>
          <w:rFonts w:hint="eastAsia" w:ascii="宋体" w:hAnsi="宋体" w:eastAsia="宋体" w:cs="宋体"/>
          <w:spacing w:val="6"/>
          <w:sz w:val="24"/>
          <w:szCs w:val="24"/>
          <w:highlight w:val="none"/>
          <w:u w:val="single"/>
        </w:rPr>
        <w:t xml:space="preserve">   </w:t>
      </w:r>
      <w:r>
        <w:rPr>
          <w:rFonts w:hint="eastAsia" w:ascii="宋体" w:hAnsi="宋体" w:eastAsia="宋体" w:cs="宋体"/>
          <w:spacing w:val="6"/>
          <w:sz w:val="24"/>
          <w:szCs w:val="24"/>
          <w:highlight w:val="none"/>
        </w:rPr>
        <w:t>日</w:t>
      </w: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pStyle w:val="32"/>
        <w:spacing w:line="360" w:lineRule="auto"/>
        <w:outlineLvl w:val="1"/>
        <w:rPr>
          <w:rFonts w:hint="eastAsia" w:ascii="宋体" w:hAnsi="宋体" w:eastAsia="宋体" w:cs="宋体"/>
          <w:b/>
          <w:bCs/>
          <w:sz w:val="24"/>
          <w:szCs w:val="24"/>
          <w:highlight w:val="none"/>
        </w:rPr>
        <w:sectPr>
          <w:pgSz w:w="11906" w:h="16838"/>
          <w:pgMar w:top="1440" w:right="1080" w:bottom="1440" w:left="1080" w:header="851" w:footer="992" w:gutter="0"/>
          <w:pgNumType w:fmt="decimal"/>
          <w:cols w:space="425" w:num="1"/>
          <w:docGrid w:type="lines" w:linePitch="312" w:charSpace="0"/>
        </w:sectPr>
      </w:pPr>
    </w:p>
    <w:p>
      <w:pPr>
        <w:pStyle w:val="3"/>
        <w:jc w:val="center"/>
        <w:rPr>
          <w:rFonts w:hint="eastAsia" w:ascii="宋体" w:hAnsi="宋体" w:eastAsia="宋体" w:cs="宋体"/>
          <w:color w:val="auto"/>
          <w:sz w:val="24"/>
          <w:szCs w:val="24"/>
          <w:highlight w:val="none"/>
        </w:rPr>
      </w:pPr>
      <w:bookmarkStart w:id="104" w:name="_Toc13290"/>
      <w:bookmarkStart w:id="105" w:name="_Toc29803"/>
      <w:r>
        <w:rPr>
          <w:rFonts w:hint="eastAsia" w:ascii="宋体" w:hAnsi="宋体" w:eastAsia="宋体" w:cs="宋体"/>
          <w:b/>
          <w:bCs/>
          <w:color w:val="auto"/>
          <w:sz w:val="24"/>
          <w:szCs w:val="24"/>
          <w:highlight w:val="none"/>
          <w:lang w:eastAsia="zh-CN"/>
        </w:rPr>
        <w:t>附件三、法定代表人授权委托书</w:t>
      </w:r>
      <w:bookmarkEnd w:id="88"/>
      <w:bookmarkEnd w:id="89"/>
      <w:bookmarkEnd w:id="90"/>
      <w:bookmarkEnd w:id="91"/>
      <w:bookmarkEnd w:id="92"/>
      <w:bookmarkEnd w:id="93"/>
      <w:bookmarkEnd w:id="94"/>
      <w:bookmarkEnd w:id="95"/>
      <w:bookmarkEnd w:id="96"/>
      <w:bookmarkEnd w:id="97"/>
      <w:bookmarkEnd w:id="98"/>
      <w:bookmarkEnd w:id="99"/>
      <w:bookmarkEnd w:id="100"/>
      <w:bookmarkEnd w:id="104"/>
      <w:bookmarkEnd w:id="105"/>
    </w:p>
    <w:p>
      <w:pPr>
        <w:pStyle w:val="8"/>
        <w:pageBreakBefore w:val="0"/>
        <w:kinsoku/>
        <w:wordWrap/>
        <w:overflowPunct/>
        <w:topLinePunct w:val="0"/>
        <w:bidi w:val="0"/>
        <w:spacing w:line="360" w:lineRule="auto"/>
        <w:ind w:left="-2"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授权我单位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（职务或职称）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（姓名）为我单位本次授权代理人，全权办理此次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采购项目（项目编号：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）的一切事宜。代理人在该项目活动中所签署的一切文件，我（单位）均予承认。</w:t>
      </w:r>
    </w:p>
    <w:p>
      <w:pPr>
        <w:pStyle w:val="8"/>
        <w:pageBreakBefore w:val="0"/>
        <w:kinsoku/>
        <w:wordWrap/>
        <w:overflowPunct/>
        <w:topLinePunct w:val="0"/>
        <w:bidi w:val="0"/>
        <w:spacing w:line="360" w:lineRule="auto"/>
        <w:ind w:left="-2"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pPr>
        <w:pStyle w:val="8"/>
        <w:pageBreakBefore w:val="0"/>
        <w:kinsoku/>
        <w:wordWrap/>
        <w:overflowPunct/>
        <w:topLinePunct w:val="0"/>
        <w:bidi w:val="0"/>
        <w:spacing w:line="360" w:lineRule="auto"/>
        <w:ind w:left="-2" w:firstLine="480"/>
        <w:textAlignment w:val="auto"/>
        <w:rPr>
          <w:rFonts w:hint="eastAsia" w:ascii="宋体" w:hAnsi="宋体" w:eastAsia="宋体" w:cs="宋体"/>
          <w:color w:val="auto"/>
          <w:sz w:val="24"/>
          <w:szCs w:val="24"/>
          <w:highlight w:val="none"/>
        </w:rPr>
      </w:pPr>
    </w:p>
    <w:p>
      <w:pPr>
        <w:pStyle w:val="8"/>
        <w:pageBreakBefore w:val="0"/>
        <w:kinsoku/>
        <w:wordWrap/>
        <w:overflowPunct/>
        <w:topLinePunct w:val="0"/>
        <w:bidi w:val="0"/>
        <w:spacing w:line="360" w:lineRule="auto"/>
        <w:ind w:left="-2"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特此授权。</w:t>
      </w:r>
    </w:p>
    <w:p>
      <w:pPr>
        <w:pStyle w:val="8"/>
        <w:pageBreakBefore w:val="0"/>
        <w:kinsoku/>
        <w:wordWrap/>
        <w:overflowPunct/>
        <w:topLinePunct w:val="0"/>
        <w:bidi w:val="0"/>
        <w:spacing w:line="360" w:lineRule="auto"/>
        <w:ind w:left="-2" w:firstLine="480"/>
        <w:textAlignment w:val="auto"/>
        <w:rPr>
          <w:rFonts w:hint="eastAsia" w:ascii="宋体" w:hAnsi="宋体" w:eastAsia="宋体" w:cs="宋体"/>
          <w:color w:val="auto"/>
          <w:sz w:val="24"/>
          <w:szCs w:val="24"/>
          <w:highlight w:val="none"/>
        </w:rPr>
      </w:pPr>
    </w:p>
    <w:tbl>
      <w:tblPr>
        <w:tblStyle w:val="21"/>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1" w:hRule="atLeast"/>
          <w:jc w:val="center"/>
        </w:trPr>
        <w:tc>
          <w:tcPr>
            <w:tcW w:w="9071" w:type="dxa"/>
            <w:vAlign w:val="center"/>
          </w:tcPr>
          <w:p>
            <w:pPr>
              <w:pStyle w:val="8"/>
              <w:pageBreakBefore w:val="0"/>
              <w:kinsoku/>
              <w:wordWrap/>
              <w:overflowPunct/>
              <w:topLinePunct w:val="0"/>
              <w:bidi w:val="0"/>
              <w:spacing w:line="360" w:lineRule="auto"/>
              <w:ind w:left="-2" w:firstLine="48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被授权人身份证复印件粘贴处（正反两面）</w:t>
            </w:r>
          </w:p>
        </w:tc>
      </w:tr>
    </w:tbl>
    <w:p>
      <w:pPr>
        <w:pStyle w:val="8"/>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p>
      <w:pPr>
        <w:pStyle w:val="8"/>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授权单位（公章）：</w:t>
      </w:r>
      <w:r>
        <w:rPr>
          <w:rFonts w:hint="eastAsia" w:ascii="宋体" w:hAnsi="宋体" w:eastAsia="宋体" w:cs="宋体"/>
          <w:color w:val="auto"/>
          <w:sz w:val="24"/>
          <w:szCs w:val="24"/>
          <w:highlight w:val="none"/>
          <w:u w:val="single"/>
        </w:rPr>
        <w:t xml:space="preserve">                        </w:t>
      </w:r>
    </w:p>
    <w:p>
      <w:pPr>
        <w:pStyle w:val="8"/>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p>
      <w:pPr>
        <w:pStyle w:val="8"/>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u w:val="single"/>
        </w:rPr>
        <w:t xml:space="preserve">                      </w:t>
      </w:r>
    </w:p>
    <w:p>
      <w:pPr>
        <w:pStyle w:val="8"/>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u w:val="single"/>
        </w:rPr>
      </w:pPr>
    </w:p>
    <w:p>
      <w:pPr>
        <w:pStyle w:val="8"/>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none"/>
          <w:lang w:eastAsia="zh-CN"/>
        </w:rPr>
        <w:t>被授权人（签字）：</w:t>
      </w:r>
      <w:r>
        <w:rPr>
          <w:rFonts w:hint="eastAsia" w:ascii="宋体" w:hAnsi="宋体" w:eastAsia="宋体" w:cs="宋体"/>
          <w:color w:val="auto"/>
          <w:sz w:val="24"/>
          <w:szCs w:val="24"/>
          <w:highlight w:val="none"/>
          <w:u w:val="single"/>
          <w:lang w:val="en-US" w:eastAsia="zh-CN"/>
        </w:rPr>
        <w:t xml:space="preserve">                      </w:t>
      </w:r>
    </w:p>
    <w:p>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p>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p>
      <w:pPr>
        <w:pageBreakBefore w:val="0"/>
        <w:kinsoku/>
        <w:wordWrap/>
        <w:overflowPunct/>
        <w:topLinePunct w:val="0"/>
        <w:bidi w:val="0"/>
        <w:spacing w:before="240" w:line="360" w:lineRule="auto"/>
        <w:ind w:left="-126" w:leftChars="-287" w:hanging="448" w:hangingChars="178"/>
        <w:jc w:val="right"/>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 xml:space="preserve">  日期：</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年</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月</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日</w:t>
      </w:r>
    </w:p>
    <w:p>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bookmarkStart w:id="106" w:name="_Toc1045"/>
    </w:p>
    <w:p>
      <w:pPr>
        <w:pStyle w:val="32"/>
        <w:pageBreakBefore w:val="0"/>
        <w:kinsoku/>
        <w:wordWrap/>
        <w:overflowPunct/>
        <w:topLinePunct w:val="0"/>
        <w:bidi w:val="0"/>
        <w:spacing w:line="360" w:lineRule="auto"/>
        <w:textAlignment w:val="auto"/>
        <w:outlineLvl w:val="1"/>
        <w:rPr>
          <w:rFonts w:hint="eastAsia" w:ascii="宋体" w:hAnsi="宋体" w:eastAsia="宋体" w:cs="宋体"/>
          <w:b/>
          <w:bCs/>
          <w:color w:val="auto"/>
          <w:sz w:val="24"/>
          <w:szCs w:val="24"/>
          <w:highlight w:val="none"/>
        </w:rPr>
        <w:sectPr>
          <w:pgSz w:w="11900" w:h="16840"/>
          <w:pgMar w:top="1191" w:right="1304" w:bottom="1020" w:left="1304" w:header="567" w:footer="567" w:gutter="0"/>
          <w:pgNumType w:fmt="decimal"/>
          <w:cols w:equalWidth="0" w:num="1">
            <w:col w:w="8860"/>
          </w:cols>
          <w:rtlGutter w:val="0"/>
          <w:docGrid w:linePitch="360" w:charSpace="0"/>
        </w:sectPr>
      </w:pPr>
      <w:bookmarkStart w:id="107" w:name="_Toc22430"/>
      <w:bookmarkStart w:id="108" w:name="_Toc29541"/>
      <w:bookmarkStart w:id="109" w:name="_Toc19766"/>
      <w:bookmarkStart w:id="110" w:name="_Toc14899"/>
      <w:bookmarkStart w:id="111" w:name="_Toc11259"/>
      <w:bookmarkStart w:id="112" w:name="_Toc7927"/>
      <w:bookmarkStart w:id="113" w:name="_Toc6472"/>
      <w:bookmarkStart w:id="114" w:name="_Toc16985"/>
      <w:bookmarkStart w:id="115" w:name="_Toc20455"/>
      <w:bookmarkStart w:id="116" w:name="_Toc7267"/>
      <w:bookmarkStart w:id="117" w:name="_Toc20128"/>
    </w:p>
    <w:p>
      <w:pPr>
        <w:pStyle w:val="3"/>
        <w:jc w:val="center"/>
        <w:rPr>
          <w:rFonts w:hint="eastAsia" w:ascii="宋体" w:hAnsi="宋体" w:eastAsia="宋体" w:cs="宋体"/>
          <w:b/>
          <w:bCs/>
          <w:color w:val="auto"/>
          <w:sz w:val="24"/>
          <w:szCs w:val="24"/>
          <w:highlight w:val="none"/>
          <w:lang w:eastAsia="zh-CN"/>
        </w:rPr>
      </w:pPr>
      <w:bookmarkStart w:id="118" w:name="_Toc29449"/>
      <w:bookmarkStart w:id="119" w:name="_Toc14193"/>
      <w:r>
        <w:rPr>
          <w:rFonts w:hint="eastAsia" w:ascii="宋体" w:hAnsi="宋体" w:eastAsia="宋体" w:cs="宋体"/>
          <w:b/>
          <w:bCs/>
          <w:color w:val="auto"/>
          <w:sz w:val="24"/>
          <w:szCs w:val="24"/>
          <w:highlight w:val="none"/>
          <w:lang w:eastAsia="zh-CN"/>
        </w:rPr>
        <w:t>附件四、投标保证金</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pPr>
        <w:pStyle w:val="31"/>
        <w:pageBreakBefore w:val="0"/>
        <w:kinsoku/>
        <w:wordWrap/>
        <w:overflowPunct/>
        <w:topLinePunct w:val="0"/>
        <w:bidi w:val="0"/>
        <w:spacing w:beforeLines="50" w:line="360" w:lineRule="auto"/>
        <w:ind w:firstLine="5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鉴于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（下称“投标人”）于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日参加（下称“采购人”）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项目。投标人在此承担向采购人支付总金额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元的</w:t>
      </w:r>
      <w:r>
        <w:rPr>
          <w:rFonts w:hint="eastAsia" w:ascii="宋体" w:hAnsi="宋体" w:cs="宋体"/>
          <w:color w:val="auto"/>
          <w:sz w:val="24"/>
          <w:szCs w:val="24"/>
          <w:highlight w:val="none"/>
          <w:lang w:eastAsia="zh-CN"/>
        </w:rPr>
        <w:t>投标保证金</w:t>
      </w:r>
      <w:r>
        <w:rPr>
          <w:rFonts w:hint="eastAsia" w:ascii="宋体" w:hAnsi="宋体" w:eastAsia="宋体" w:cs="宋体"/>
          <w:color w:val="auto"/>
          <w:sz w:val="24"/>
          <w:szCs w:val="24"/>
          <w:highlight w:val="none"/>
        </w:rPr>
        <w:t>。</w:t>
      </w:r>
    </w:p>
    <w:p>
      <w:pPr>
        <w:pStyle w:val="31"/>
        <w:pageBreakBefore w:val="0"/>
        <w:kinsoku/>
        <w:wordWrap/>
        <w:overflowPunct/>
        <w:topLinePunct w:val="0"/>
        <w:bidi w:val="0"/>
        <w:spacing w:beforeLines="50" w:line="360" w:lineRule="auto"/>
        <w:ind w:firstLine="5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投标保证金在报价有效期内保持有效。</w:t>
      </w:r>
    </w:p>
    <w:p>
      <w:pPr>
        <w:pageBreakBefore w:val="0"/>
        <w:kinsoku/>
        <w:wordWrap/>
        <w:overflowPunct/>
        <w:topLinePunct w:val="0"/>
        <w:bidi w:val="0"/>
        <w:spacing w:before="240" w:line="360" w:lineRule="auto"/>
        <w:ind w:left="546"/>
        <w:textAlignment w:val="auto"/>
        <w:rPr>
          <w:rFonts w:hint="eastAsia" w:ascii="宋体" w:hAnsi="宋体" w:eastAsia="宋体" w:cs="宋体"/>
          <w:color w:val="auto"/>
          <w:spacing w:val="6"/>
          <w:sz w:val="24"/>
          <w:szCs w:val="24"/>
          <w:highlight w:val="none"/>
        </w:rPr>
      </w:pPr>
    </w:p>
    <w:tbl>
      <w:tblPr>
        <w:tblStyle w:val="21"/>
        <w:tblW w:w="861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1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26" w:hRule="atLeast"/>
          <w:jc w:val="center"/>
        </w:trPr>
        <w:tc>
          <w:tcPr>
            <w:tcW w:w="8610" w:type="dxa"/>
            <w:vAlign w:val="center"/>
          </w:tcPr>
          <w:p>
            <w:pPr>
              <w:pageBreakBefore w:val="0"/>
              <w:widowControl w:val="0"/>
              <w:kinsoku/>
              <w:wordWrap/>
              <w:overflowPunct/>
              <w:topLinePunct w:val="0"/>
              <w:bidi w:val="0"/>
              <w:spacing w:before="240" w:line="360" w:lineRule="auto"/>
              <w:jc w:val="center"/>
              <w:textAlignment w:val="auto"/>
              <w:rPr>
                <w:rFonts w:hint="eastAsia" w:ascii="宋体" w:hAnsi="宋体" w:eastAsia="宋体" w:cs="宋体"/>
                <w:bCs/>
                <w:color w:val="auto"/>
                <w:spacing w:val="6"/>
                <w:sz w:val="24"/>
                <w:szCs w:val="24"/>
                <w:highlight w:val="none"/>
              </w:rPr>
            </w:pPr>
            <w:r>
              <w:rPr>
                <w:rFonts w:hint="eastAsia" w:ascii="宋体" w:hAnsi="宋体" w:eastAsia="宋体" w:cs="宋体"/>
                <w:bCs/>
                <w:color w:val="auto"/>
                <w:spacing w:val="6"/>
                <w:sz w:val="24"/>
                <w:szCs w:val="24"/>
                <w:highlight w:val="none"/>
              </w:rPr>
              <w:t>投标保证金证明</w:t>
            </w:r>
          </w:p>
          <w:p>
            <w:pPr>
              <w:pageBreakBefore w:val="0"/>
              <w:widowControl w:val="0"/>
              <w:kinsoku/>
              <w:wordWrap/>
              <w:overflowPunct/>
              <w:topLinePunct w:val="0"/>
              <w:bidi w:val="0"/>
              <w:spacing w:before="24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pacing w:val="6"/>
                <w:sz w:val="24"/>
                <w:szCs w:val="24"/>
                <w:highlight w:val="none"/>
              </w:rPr>
              <w:t>（粘贴处）</w:t>
            </w:r>
          </w:p>
        </w:tc>
      </w:tr>
    </w:tbl>
    <w:p>
      <w:pPr>
        <w:pageBreakBefore w:val="0"/>
        <w:kinsoku/>
        <w:wordWrap/>
        <w:overflowPunct/>
        <w:topLinePunct w:val="0"/>
        <w:bidi w:val="0"/>
        <w:spacing w:before="240" w:line="360" w:lineRule="auto"/>
        <w:ind w:firstLine="486" w:firstLineChars="200"/>
        <w:textAlignment w:val="auto"/>
        <w:rPr>
          <w:rFonts w:hint="eastAsia" w:ascii="宋体" w:hAnsi="宋体" w:eastAsia="宋体" w:cs="宋体"/>
          <w:color w:val="auto"/>
          <w:spacing w:val="6"/>
          <w:sz w:val="24"/>
          <w:szCs w:val="24"/>
          <w:highlight w:val="none"/>
        </w:rPr>
      </w:pPr>
    </w:p>
    <w:p>
      <w:pPr>
        <w:pStyle w:val="31"/>
        <w:pageBreakBefore w:val="0"/>
        <w:kinsoku/>
        <w:wordWrap/>
        <w:overflowPunct/>
        <w:topLinePunct w:val="0"/>
        <w:bidi w:val="0"/>
        <w:spacing w:before="240" w:line="360" w:lineRule="auto"/>
        <w:ind w:firstLine="5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31"/>
        <w:pageBreakBefore w:val="0"/>
        <w:kinsoku/>
        <w:wordWrap/>
        <w:overflowPunct/>
        <w:topLinePunct w:val="0"/>
        <w:bidi w:val="0"/>
        <w:spacing w:before="240" w:line="360" w:lineRule="auto"/>
        <w:ind w:firstLine="5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法定代表人或其授权代理人（签字）：</w:t>
      </w:r>
      <w:r>
        <w:rPr>
          <w:rFonts w:hint="eastAsia" w:ascii="宋体" w:hAnsi="宋体" w:eastAsia="宋体" w:cs="宋体"/>
          <w:color w:val="auto"/>
          <w:sz w:val="24"/>
          <w:szCs w:val="24"/>
          <w:highlight w:val="none"/>
          <w:u w:val="single"/>
        </w:rPr>
        <w:t xml:space="preserve">             </w:t>
      </w:r>
    </w:p>
    <w:p>
      <w:pPr>
        <w:pageBreakBefore w:val="0"/>
        <w:kinsoku/>
        <w:wordWrap/>
        <w:overflowPunct/>
        <w:topLinePunct w:val="0"/>
        <w:bidi w:val="0"/>
        <w:spacing w:before="240" w:line="360" w:lineRule="auto"/>
        <w:ind w:left="-116" w:leftChars="-287" w:hanging="432" w:hangingChars="178"/>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w:t>
      </w:r>
    </w:p>
    <w:p>
      <w:pPr>
        <w:pageBreakBefore w:val="0"/>
        <w:kinsoku/>
        <w:wordWrap/>
        <w:overflowPunct/>
        <w:topLinePunct w:val="0"/>
        <w:bidi w:val="0"/>
        <w:spacing w:before="240" w:line="360" w:lineRule="auto"/>
        <w:jc w:val="right"/>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日期：</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年</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月</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日</w:t>
      </w:r>
    </w:p>
    <w:p>
      <w:pPr>
        <w:pStyle w:val="11"/>
        <w:adjustRightInd w:val="0"/>
        <w:snapToGrid w:val="0"/>
        <w:spacing w:before="100" w:beforeAutospacing="1" w:after="100" w:afterAutospacing="1" w:line="360" w:lineRule="auto"/>
        <w:ind w:firstLine="0"/>
        <w:rPr>
          <w:rFonts w:hint="eastAsia" w:ascii="宋体" w:hAnsi="宋体" w:eastAsia="宋体" w:cs="宋体"/>
          <w:sz w:val="24"/>
          <w:szCs w:val="24"/>
          <w:highlight w:val="none"/>
        </w:rPr>
      </w:pPr>
    </w:p>
    <w:p>
      <w:pPr>
        <w:pStyle w:val="11"/>
        <w:snapToGrid w:val="0"/>
        <w:spacing w:line="360" w:lineRule="auto"/>
        <w:ind w:firstLine="0"/>
        <w:rPr>
          <w:rFonts w:hint="eastAsia" w:ascii="宋体" w:hAnsi="宋体" w:eastAsia="宋体" w:cs="宋体"/>
          <w:sz w:val="24"/>
          <w:szCs w:val="24"/>
          <w:highlight w:val="none"/>
        </w:rPr>
      </w:pPr>
    </w:p>
    <w:p>
      <w:pPr>
        <w:pStyle w:val="11"/>
        <w:spacing w:line="360" w:lineRule="auto"/>
        <w:ind w:firstLine="2912"/>
        <w:outlineLvl w:val="0"/>
        <w:rPr>
          <w:rFonts w:hint="eastAsia" w:ascii="宋体" w:hAnsi="宋体" w:eastAsia="宋体" w:cs="宋体"/>
          <w:b/>
          <w:bCs/>
          <w:color w:val="auto"/>
          <w:spacing w:val="0"/>
          <w:kern w:val="44"/>
          <w:sz w:val="24"/>
          <w:szCs w:val="24"/>
          <w:highlight w:val="none"/>
          <w:lang w:eastAsia="zh-CN"/>
        </w:rPr>
      </w:pPr>
      <w:bookmarkStart w:id="120" w:name="_Toc525723068"/>
    </w:p>
    <w:p>
      <w:pPr>
        <w:pStyle w:val="3"/>
        <w:jc w:val="center"/>
        <w:rPr>
          <w:rFonts w:hint="eastAsia" w:ascii="宋体" w:hAnsi="宋体" w:eastAsia="宋体" w:cs="宋体"/>
          <w:b/>
          <w:bCs/>
          <w:color w:val="auto"/>
          <w:sz w:val="24"/>
          <w:szCs w:val="24"/>
          <w:highlight w:val="none"/>
          <w:lang w:eastAsia="zh-CN"/>
        </w:rPr>
      </w:pPr>
      <w:bookmarkStart w:id="121" w:name="_Toc21981"/>
      <w:r>
        <w:rPr>
          <w:rFonts w:hint="eastAsia" w:ascii="宋体" w:hAnsi="宋体" w:eastAsia="宋体" w:cs="宋体"/>
          <w:b/>
          <w:bCs/>
          <w:color w:val="auto"/>
          <w:sz w:val="24"/>
          <w:szCs w:val="24"/>
          <w:highlight w:val="none"/>
          <w:lang w:eastAsia="zh-CN"/>
        </w:rPr>
        <w:t>附件五、开标一览表</w:t>
      </w:r>
      <w:bookmarkEnd w:id="120"/>
      <w:bookmarkEnd w:id="121"/>
    </w:p>
    <w:p>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项目编号： </w:t>
      </w:r>
    </w:p>
    <w:tbl>
      <w:tblPr>
        <w:tblStyle w:val="21"/>
        <w:tblW w:w="8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8403" w:type="dxa"/>
            <w:gridSpan w:val="2"/>
            <w:tcBorders>
              <w:top w:val="single" w:color="auto" w:sz="8" w:space="0"/>
              <w:left w:val="single" w:color="auto" w:sz="8" w:space="0"/>
              <w:right w:val="single" w:color="auto" w:sz="8" w:space="0"/>
            </w:tcBorders>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投标人名称：（公章）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2093" w:type="dxa"/>
            <w:tcBorders>
              <w:left w:val="single" w:color="auto" w:sz="8"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工时费总报价（元）</w:t>
            </w:r>
          </w:p>
        </w:tc>
        <w:tc>
          <w:tcPr>
            <w:tcW w:w="6310" w:type="dxa"/>
            <w:tcBorders>
              <w:left w:val="single" w:color="auto" w:sz="4" w:space="0"/>
              <w:right w:val="single" w:color="auto" w:sz="8" w:space="0"/>
            </w:tcBorders>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大写：</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2093" w:type="dxa"/>
            <w:tcBorders>
              <w:left w:val="single" w:color="auto" w:sz="8"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配件费总报价（元）</w:t>
            </w:r>
          </w:p>
        </w:tc>
        <w:tc>
          <w:tcPr>
            <w:tcW w:w="6310" w:type="dxa"/>
            <w:tcBorders>
              <w:left w:val="single" w:color="auto" w:sz="4" w:space="0"/>
              <w:right w:val="single" w:color="auto" w:sz="8" w:space="0"/>
            </w:tcBorders>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大写：</w:t>
            </w:r>
          </w:p>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8403" w:type="dxa"/>
            <w:gridSpan w:val="2"/>
            <w:tcBorders>
              <w:left w:val="single" w:color="auto" w:sz="8" w:space="0"/>
              <w:bottom w:val="single" w:color="auto" w:sz="8" w:space="0"/>
              <w:right w:val="single" w:color="auto" w:sz="8" w:space="0"/>
            </w:tcBorders>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对招标文件的响应程度：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8403" w:type="dxa"/>
            <w:gridSpan w:val="2"/>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授权代理人签字：</w:t>
            </w:r>
          </w:p>
        </w:tc>
      </w:tr>
    </w:tbl>
    <w:p>
      <w:pPr>
        <w:adjustRightInd w:val="0"/>
        <w:snapToGrid w:val="0"/>
        <w:spacing w:line="360" w:lineRule="auto"/>
        <w:ind w:firstLine="462" w:firstLineChars="200"/>
        <w:rPr>
          <w:rFonts w:hint="eastAsia" w:ascii="宋体" w:hAnsi="宋体" w:eastAsia="宋体" w:cs="宋体"/>
          <w:sz w:val="24"/>
          <w:szCs w:val="24"/>
          <w:highlight w:val="none"/>
        </w:rPr>
      </w:pPr>
    </w:p>
    <w:p>
      <w:pPr>
        <w:adjustRightInd w:val="0"/>
        <w:snapToGrid w:val="0"/>
        <w:spacing w:line="360" w:lineRule="auto"/>
        <w:ind w:firstLine="462"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注：1、本表须另外单独密封一式三份，供公开唱标使用。</w:t>
      </w:r>
    </w:p>
    <w:p>
      <w:pPr>
        <w:adjustRightInd w:val="0"/>
        <w:snapToGrid w:val="0"/>
        <w:spacing w:line="360" w:lineRule="auto"/>
        <w:ind w:firstLine="462"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2、本表内容尽量填写充实，但不要另加附页。</w:t>
      </w:r>
    </w:p>
    <w:p>
      <w:pPr>
        <w:adjustRightInd w:val="0"/>
        <w:snapToGrid w:val="0"/>
        <w:spacing w:line="360" w:lineRule="auto"/>
        <w:ind w:firstLine="462"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3、工时费总报价为大众3000车型的工时费报价之和。配件费总报价为大众3000车型的配件费报价之和。</w:t>
      </w:r>
    </w:p>
    <w:p>
      <w:pPr>
        <w:pStyle w:val="11"/>
        <w:spacing w:line="360" w:lineRule="auto"/>
        <w:ind w:firstLine="2900"/>
        <w:rPr>
          <w:rFonts w:hint="eastAsia" w:ascii="宋体" w:hAnsi="宋体" w:eastAsia="宋体" w:cs="宋体"/>
          <w:sz w:val="24"/>
          <w:szCs w:val="24"/>
          <w:highlight w:val="none"/>
        </w:rPr>
      </w:pPr>
    </w:p>
    <w:p>
      <w:pPr>
        <w:pStyle w:val="11"/>
        <w:spacing w:line="360" w:lineRule="auto"/>
        <w:ind w:firstLine="2900"/>
        <w:rPr>
          <w:rFonts w:hint="eastAsia" w:ascii="宋体" w:hAnsi="宋体" w:eastAsia="宋体" w:cs="宋体"/>
          <w:sz w:val="24"/>
          <w:szCs w:val="24"/>
          <w:highlight w:val="none"/>
        </w:rPr>
      </w:pPr>
    </w:p>
    <w:p>
      <w:pPr>
        <w:pStyle w:val="11"/>
        <w:spacing w:line="360" w:lineRule="auto"/>
        <w:ind w:firstLine="2900"/>
        <w:rPr>
          <w:rFonts w:hint="eastAsia" w:ascii="宋体" w:hAnsi="宋体" w:eastAsia="宋体" w:cs="宋体"/>
          <w:sz w:val="24"/>
          <w:szCs w:val="24"/>
          <w:highlight w:val="none"/>
        </w:rPr>
      </w:pPr>
    </w:p>
    <w:p>
      <w:pPr>
        <w:pStyle w:val="11"/>
        <w:spacing w:line="360" w:lineRule="auto"/>
        <w:ind w:firstLine="2900"/>
        <w:rPr>
          <w:rFonts w:hint="eastAsia" w:ascii="宋体" w:hAnsi="宋体" w:eastAsia="宋体" w:cs="宋体"/>
          <w:sz w:val="24"/>
          <w:szCs w:val="24"/>
          <w:highlight w:val="none"/>
        </w:rPr>
      </w:pPr>
    </w:p>
    <w:p>
      <w:pPr>
        <w:pStyle w:val="11"/>
        <w:spacing w:line="360" w:lineRule="auto"/>
        <w:ind w:firstLine="2900"/>
        <w:rPr>
          <w:rFonts w:hint="eastAsia" w:ascii="宋体" w:hAnsi="宋体" w:eastAsia="宋体" w:cs="宋体"/>
          <w:sz w:val="24"/>
          <w:szCs w:val="24"/>
          <w:highlight w:val="none"/>
        </w:rPr>
      </w:pPr>
    </w:p>
    <w:p>
      <w:pPr>
        <w:widowControl/>
        <w:spacing w:line="360" w:lineRule="auto"/>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pPr>
        <w:pStyle w:val="3"/>
        <w:spacing w:line="240" w:lineRule="auto"/>
        <w:jc w:val="center"/>
        <w:rPr>
          <w:rFonts w:hint="eastAsia" w:ascii="宋体" w:hAnsi="宋体" w:eastAsia="宋体" w:cs="宋体"/>
          <w:sz w:val="24"/>
          <w:szCs w:val="24"/>
          <w:highlight w:val="none"/>
        </w:rPr>
      </w:pPr>
      <w:bookmarkStart w:id="122" w:name="_Toc16720"/>
      <w:r>
        <w:rPr>
          <w:rFonts w:hint="eastAsia" w:ascii="宋体" w:hAnsi="宋体" w:eastAsia="宋体" w:cs="宋体"/>
          <w:b/>
          <w:bCs/>
          <w:color w:val="auto"/>
          <w:sz w:val="24"/>
          <w:szCs w:val="24"/>
          <w:highlight w:val="none"/>
          <w:lang w:eastAsia="zh-CN"/>
        </w:rPr>
        <w:t>附件六、报价明细表</w:t>
      </w:r>
      <w:bookmarkEnd w:id="122"/>
      <w:bookmarkStart w:id="123" w:name="_Toc265594654"/>
    </w:p>
    <w:p>
      <w:pPr>
        <w:pStyle w:val="28"/>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kern w:val="1"/>
          <w:sz w:val="24"/>
          <w:szCs w:val="24"/>
          <w:highlight w:val="none"/>
          <w:lang w:val="en-US" w:eastAsia="zh-CN"/>
        </w:rPr>
      </w:pPr>
      <w:r>
        <w:rPr>
          <w:rFonts w:hint="eastAsia" w:ascii="宋体" w:hAnsi="宋体" w:eastAsia="宋体" w:cs="宋体"/>
          <w:b/>
          <w:sz w:val="24"/>
          <w:szCs w:val="24"/>
          <w:highlight w:val="none"/>
        </w:rPr>
        <w:t>车型：</w:t>
      </w:r>
      <w:r>
        <w:rPr>
          <w:rFonts w:hint="eastAsia" w:ascii="宋体" w:hAnsi="宋体" w:cs="宋体"/>
          <w:kern w:val="1"/>
          <w:sz w:val="24"/>
          <w:szCs w:val="24"/>
          <w:highlight w:val="none"/>
          <w:lang w:val="en-US" w:eastAsia="zh-CN"/>
        </w:rPr>
        <w:t>大众3000</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b/>
          <w:bCs/>
          <w:sz w:val="24"/>
          <w:szCs w:val="24"/>
          <w:highlight w:val="none"/>
        </w:rPr>
        <w:t>一、工时费报价清单</w:t>
      </w:r>
    </w:p>
    <w:tbl>
      <w:tblPr>
        <w:tblStyle w:val="21"/>
        <w:tblW w:w="8860" w:type="dxa"/>
        <w:jc w:val="center"/>
        <w:tblInd w:w="0" w:type="dxa"/>
        <w:tblLayout w:type="fixed"/>
        <w:tblCellMar>
          <w:top w:w="0" w:type="dxa"/>
          <w:left w:w="108" w:type="dxa"/>
          <w:bottom w:w="0" w:type="dxa"/>
          <w:right w:w="108" w:type="dxa"/>
        </w:tblCellMar>
      </w:tblPr>
      <w:tblGrid>
        <w:gridCol w:w="812"/>
        <w:gridCol w:w="2053"/>
        <w:gridCol w:w="1285"/>
        <w:gridCol w:w="1225"/>
        <w:gridCol w:w="2643"/>
        <w:gridCol w:w="842"/>
      </w:tblGrid>
      <w:tr>
        <w:tblPrEx>
          <w:tblLayout w:type="fixed"/>
          <w:tblCellMar>
            <w:top w:w="0" w:type="dxa"/>
            <w:left w:w="108" w:type="dxa"/>
            <w:bottom w:w="0" w:type="dxa"/>
            <w:right w:w="108" w:type="dxa"/>
          </w:tblCellMar>
        </w:tblPrEx>
        <w:trPr>
          <w:trHeight w:val="315" w:hRule="atLeast"/>
          <w:jc w:val="center"/>
        </w:trPr>
        <w:tc>
          <w:tcPr>
            <w:tcW w:w="812"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053"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p>
        </w:tc>
        <w:tc>
          <w:tcPr>
            <w:tcW w:w="5153" w:type="dxa"/>
            <w:gridSpan w:val="3"/>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车型：</w:t>
            </w:r>
          </w:p>
        </w:tc>
        <w:tc>
          <w:tcPr>
            <w:tcW w:w="842"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trHeight w:val="624" w:hRule="atLeast"/>
          <w:jc w:val="center"/>
        </w:trPr>
        <w:tc>
          <w:tcPr>
            <w:tcW w:w="812" w:type="dxa"/>
            <w:vMerge w:val="continue"/>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053" w:type="dxa"/>
            <w:vMerge w:val="continue"/>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工时定额</w:t>
            </w:r>
          </w:p>
        </w:tc>
        <w:tc>
          <w:tcPr>
            <w:tcW w:w="12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工时单价</w:t>
            </w:r>
          </w:p>
        </w:tc>
        <w:tc>
          <w:tcPr>
            <w:tcW w:w="264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工时费（元）</w:t>
            </w:r>
          </w:p>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（工时定额*工时单价）</w:t>
            </w:r>
          </w:p>
        </w:tc>
        <w:tc>
          <w:tcPr>
            <w:tcW w:w="842"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Layout w:type="fixed"/>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2053"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更换前后刹车片</w:t>
            </w:r>
          </w:p>
        </w:tc>
        <w:tc>
          <w:tcPr>
            <w:tcW w:w="12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p>
        </w:tc>
        <w:tc>
          <w:tcPr>
            <w:tcW w:w="12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p>
        </w:tc>
        <w:tc>
          <w:tcPr>
            <w:tcW w:w="264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p>
        </w:tc>
        <w:tc>
          <w:tcPr>
            <w:tcW w:w="842"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p>
        </w:tc>
      </w:tr>
      <w:tr>
        <w:tblPrEx>
          <w:tblLayout w:type="fixed"/>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2</w:t>
            </w:r>
          </w:p>
        </w:tc>
        <w:tc>
          <w:tcPr>
            <w:tcW w:w="205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更换前大灯</w:t>
            </w:r>
          </w:p>
        </w:tc>
        <w:tc>
          <w:tcPr>
            <w:tcW w:w="12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2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43"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42"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3</w:t>
            </w:r>
          </w:p>
        </w:tc>
        <w:tc>
          <w:tcPr>
            <w:tcW w:w="205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更换后保险杠</w:t>
            </w:r>
          </w:p>
        </w:tc>
        <w:tc>
          <w:tcPr>
            <w:tcW w:w="12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2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43"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42"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205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更换前保险杠</w:t>
            </w:r>
          </w:p>
        </w:tc>
        <w:tc>
          <w:tcPr>
            <w:tcW w:w="12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2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43"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42"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205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更换轮胎</w:t>
            </w:r>
          </w:p>
        </w:tc>
        <w:tc>
          <w:tcPr>
            <w:tcW w:w="12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2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43"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42"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205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更换机油</w:t>
            </w:r>
          </w:p>
        </w:tc>
        <w:tc>
          <w:tcPr>
            <w:tcW w:w="12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2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43"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42"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205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更换刹车油</w:t>
            </w:r>
          </w:p>
        </w:tc>
        <w:tc>
          <w:tcPr>
            <w:tcW w:w="12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2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43"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42"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205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更换变速箱油</w:t>
            </w:r>
          </w:p>
        </w:tc>
        <w:tc>
          <w:tcPr>
            <w:tcW w:w="12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2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43"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42"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w:t>
            </w:r>
          </w:p>
        </w:tc>
        <w:tc>
          <w:tcPr>
            <w:tcW w:w="205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更换水箱</w:t>
            </w:r>
          </w:p>
        </w:tc>
        <w:tc>
          <w:tcPr>
            <w:tcW w:w="12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2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43"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42"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205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更换离合片</w:t>
            </w:r>
          </w:p>
        </w:tc>
        <w:tc>
          <w:tcPr>
            <w:tcW w:w="12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2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43"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42"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11</w:t>
            </w:r>
          </w:p>
        </w:tc>
        <w:tc>
          <w:tcPr>
            <w:tcW w:w="205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车辆保养（三芯）</w:t>
            </w:r>
          </w:p>
        </w:tc>
        <w:tc>
          <w:tcPr>
            <w:tcW w:w="12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2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43"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42"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12</w:t>
            </w:r>
          </w:p>
        </w:tc>
        <w:tc>
          <w:tcPr>
            <w:tcW w:w="205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更换电瓶</w:t>
            </w:r>
          </w:p>
        </w:tc>
        <w:tc>
          <w:tcPr>
            <w:tcW w:w="12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2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43"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42"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13</w:t>
            </w:r>
          </w:p>
        </w:tc>
        <w:tc>
          <w:tcPr>
            <w:tcW w:w="205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整车喷漆</w:t>
            </w:r>
          </w:p>
        </w:tc>
        <w:tc>
          <w:tcPr>
            <w:tcW w:w="12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2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43"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42"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trHeight w:val="322" w:hRule="atLeast"/>
          <w:jc w:val="center"/>
        </w:trPr>
        <w:tc>
          <w:tcPr>
            <w:tcW w:w="2865" w:type="dxa"/>
            <w:gridSpan w:val="2"/>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工时费报价</w:t>
            </w:r>
          </w:p>
        </w:tc>
        <w:tc>
          <w:tcPr>
            <w:tcW w:w="12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2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43"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42"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bl>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b/>
          <w:bCs/>
          <w:sz w:val="24"/>
          <w:szCs w:val="24"/>
          <w:highlight w:val="none"/>
        </w:rPr>
        <w:t>二、配件费报价清单</w:t>
      </w:r>
    </w:p>
    <w:tbl>
      <w:tblPr>
        <w:tblStyle w:val="21"/>
        <w:tblW w:w="9015" w:type="dxa"/>
        <w:jc w:val="center"/>
        <w:tblInd w:w="0" w:type="dxa"/>
        <w:tblLayout w:type="fixed"/>
        <w:tblCellMar>
          <w:top w:w="0" w:type="dxa"/>
          <w:left w:w="108" w:type="dxa"/>
          <w:bottom w:w="0" w:type="dxa"/>
          <w:right w:w="108" w:type="dxa"/>
        </w:tblCellMar>
      </w:tblPr>
      <w:tblGrid>
        <w:gridCol w:w="840"/>
        <w:gridCol w:w="1917"/>
        <w:gridCol w:w="723"/>
        <w:gridCol w:w="810"/>
        <w:gridCol w:w="885"/>
        <w:gridCol w:w="960"/>
        <w:gridCol w:w="1995"/>
        <w:gridCol w:w="885"/>
      </w:tblGrid>
      <w:tr>
        <w:tblPrEx>
          <w:tblLayout w:type="fixed"/>
          <w:tblCellMar>
            <w:top w:w="0" w:type="dxa"/>
            <w:left w:w="108" w:type="dxa"/>
            <w:bottom w:w="0" w:type="dxa"/>
            <w:right w:w="108" w:type="dxa"/>
          </w:tblCellMar>
        </w:tblPrEx>
        <w:trPr>
          <w:jc w:val="center"/>
        </w:trPr>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序号</w:t>
            </w:r>
          </w:p>
        </w:tc>
        <w:tc>
          <w:tcPr>
            <w:tcW w:w="1917"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配件名称</w:t>
            </w:r>
          </w:p>
        </w:tc>
        <w:tc>
          <w:tcPr>
            <w:tcW w:w="723"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数量</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单位</w:t>
            </w:r>
          </w:p>
        </w:tc>
        <w:tc>
          <w:tcPr>
            <w:tcW w:w="3840" w:type="dxa"/>
            <w:gridSpan w:val="3"/>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车型：</w:t>
            </w:r>
          </w:p>
        </w:tc>
        <w:tc>
          <w:tcPr>
            <w:tcW w:w="885"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备注</w:t>
            </w:r>
          </w:p>
        </w:tc>
      </w:tr>
      <w:tr>
        <w:tblPrEx>
          <w:tblLayout w:type="fixed"/>
          <w:tblCellMar>
            <w:top w:w="0" w:type="dxa"/>
            <w:left w:w="108" w:type="dxa"/>
            <w:bottom w:w="0" w:type="dxa"/>
            <w:right w:w="108" w:type="dxa"/>
          </w:tblCellMar>
        </w:tblPrEx>
        <w:trPr>
          <w:trHeight w:val="118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17"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723"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配件价格</w:t>
            </w:r>
          </w:p>
        </w:tc>
        <w:tc>
          <w:tcPr>
            <w:tcW w:w="96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加价率</w:t>
            </w:r>
          </w:p>
        </w:tc>
        <w:tc>
          <w:tcPr>
            <w:tcW w:w="199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配件费（元）</w:t>
            </w:r>
          </w:p>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配件价格*（1+加价率）</w:t>
            </w:r>
          </w:p>
        </w:tc>
        <w:tc>
          <w:tcPr>
            <w:tcW w:w="885" w:type="dxa"/>
            <w:vMerge w:val="continue"/>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917"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更换前后刹车片</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更换前大灯</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更换后保险杠</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更换前保险杠</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更换轮胎</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更换机油</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更换刹车油</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更换变速箱油</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更换水箱</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更换离合片</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项</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11</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车辆保养（三芯）</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次</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12</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更换电瓶</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13</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整车喷漆</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次</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4290" w:type="dxa"/>
            <w:gridSpan w:val="4"/>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配件费报价</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bl>
    <w:p>
      <w:pPr>
        <w:pageBreakBefore w:val="0"/>
        <w:widowControl w:val="0"/>
        <w:kinsoku/>
        <w:wordWrap/>
        <w:overflowPunct/>
        <w:topLinePunct w:val="0"/>
        <w:autoSpaceDE/>
        <w:autoSpaceDN/>
        <w:bidi w:val="0"/>
        <w:adjustRightInd/>
        <w:snapToGrid/>
        <w:spacing w:line="360" w:lineRule="auto"/>
        <w:ind w:firstLine="462" w:firstLineChars="200"/>
        <w:jc w:val="left"/>
        <w:textAlignment w:val="auto"/>
        <w:rPr>
          <w:rFonts w:hint="eastAsia" w:ascii="宋体" w:hAnsi="宋体" w:eastAsia="宋体" w:cs="宋体"/>
          <w:b/>
          <w:sz w:val="24"/>
          <w:szCs w:val="24"/>
          <w:highlight w:val="none"/>
        </w:rPr>
      </w:pPr>
      <w:r>
        <w:rPr>
          <w:rFonts w:hint="eastAsia" w:ascii="宋体" w:hAnsi="宋体" w:eastAsia="宋体" w:cs="宋体"/>
          <w:b/>
          <w:bCs/>
          <w:sz w:val="24"/>
          <w:szCs w:val="24"/>
          <w:highlight w:val="none"/>
        </w:rPr>
        <w:t>注：所有配件价格执行同一加价率。</w:t>
      </w:r>
    </w:p>
    <w:p>
      <w:pPr>
        <w:pStyle w:val="39"/>
        <w:spacing w:line="300" w:lineRule="exact"/>
        <w:jc w:val="both"/>
        <w:rPr>
          <w:rFonts w:hint="eastAsia" w:ascii="宋体" w:hAnsi="宋体" w:eastAsia="宋体" w:cs="宋体"/>
          <w:sz w:val="24"/>
          <w:szCs w:val="24"/>
          <w:highlight w:val="none"/>
          <w:lang w:val="en-US" w:eastAsia="zh-CN"/>
        </w:rPr>
      </w:pPr>
    </w:p>
    <w:p>
      <w:pPr>
        <w:pStyle w:val="28"/>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kern w:val="1"/>
          <w:sz w:val="24"/>
          <w:szCs w:val="24"/>
          <w:highlight w:val="none"/>
          <w:lang w:val="en-US" w:eastAsia="zh-CN"/>
        </w:rPr>
      </w:pPr>
      <w:r>
        <w:rPr>
          <w:rFonts w:hint="eastAsia" w:ascii="宋体" w:hAnsi="宋体" w:eastAsia="宋体" w:cs="宋体"/>
          <w:b/>
          <w:sz w:val="24"/>
          <w:szCs w:val="24"/>
          <w:highlight w:val="none"/>
        </w:rPr>
        <w:t>车型：</w:t>
      </w:r>
      <w:r>
        <w:rPr>
          <w:rFonts w:hint="eastAsia" w:ascii="宋体" w:hAnsi="宋体" w:cs="宋体"/>
          <w:kern w:val="1"/>
          <w:sz w:val="24"/>
          <w:szCs w:val="24"/>
          <w:highlight w:val="none"/>
          <w:lang w:val="en-US" w:eastAsia="zh-CN"/>
        </w:rPr>
        <w:t>丰田汉兰达</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b/>
          <w:bCs/>
          <w:sz w:val="24"/>
          <w:szCs w:val="24"/>
          <w:highlight w:val="none"/>
        </w:rPr>
        <w:t>一、工时费报价清单</w:t>
      </w:r>
    </w:p>
    <w:tbl>
      <w:tblPr>
        <w:tblStyle w:val="21"/>
        <w:tblW w:w="9000" w:type="dxa"/>
        <w:jc w:val="center"/>
        <w:tblInd w:w="0" w:type="dxa"/>
        <w:tblLayout w:type="fixed"/>
        <w:tblCellMar>
          <w:top w:w="0" w:type="dxa"/>
          <w:left w:w="108" w:type="dxa"/>
          <w:bottom w:w="0" w:type="dxa"/>
          <w:right w:w="108" w:type="dxa"/>
        </w:tblCellMar>
      </w:tblPr>
      <w:tblGrid>
        <w:gridCol w:w="825"/>
        <w:gridCol w:w="2085"/>
        <w:gridCol w:w="1305"/>
        <w:gridCol w:w="1245"/>
        <w:gridCol w:w="2685"/>
        <w:gridCol w:w="855"/>
      </w:tblGrid>
      <w:tr>
        <w:tblPrEx>
          <w:tblLayout w:type="fixed"/>
          <w:tblCellMar>
            <w:top w:w="0" w:type="dxa"/>
            <w:left w:w="108" w:type="dxa"/>
            <w:bottom w:w="0" w:type="dxa"/>
            <w:right w:w="108" w:type="dxa"/>
          </w:tblCellMar>
        </w:tblPrEx>
        <w:trPr>
          <w:jc w:val="center"/>
        </w:trPr>
        <w:tc>
          <w:tcPr>
            <w:tcW w:w="825"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085"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p>
        </w:tc>
        <w:tc>
          <w:tcPr>
            <w:tcW w:w="5235" w:type="dxa"/>
            <w:gridSpan w:val="3"/>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车型：</w:t>
            </w: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vMerge w:val="continue"/>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085" w:type="dxa"/>
            <w:vMerge w:val="continue"/>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工时定额</w:t>
            </w:r>
          </w:p>
        </w:tc>
        <w:tc>
          <w:tcPr>
            <w:tcW w:w="12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工时单价</w:t>
            </w:r>
          </w:p>
        </w:tc>
        <w:tc>
          <w:tcPr>
            <w:tcW w:w="26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工时费（元）</w:t>
            </w:r>
          </w:p>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（工时定额*工时单价）</w:t>
            </w: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20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更换前后刹车片</w:t>
            </w:r>
          </w:p>
        </w:tc>
        <w:tc>
          <w:tcPr>
            <w:tcW w:w="130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2</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更换前大灯</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3</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更换后保险杠</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更换前保险杠</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更换轮胎</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更换机油</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更换刹车油</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更换变速箱油</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更换水箱</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更换离合片</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11</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车辆保养（三芯）</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12</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更换电瓶</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13</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整车喷漆</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2910" w:type="dxa"/>
            <w:gridSpan w:val="2"/>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工时费报价</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bl>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b/>
          <w:bCs/>
          <w:sz w:val="24"/>
          <w:szCs w:val="24"/>
          <w:highlight w:val="none"/>
        </w:rPr>
        <w:t>二、配件费报价清单</w:t>
      </w:r>
    </w:p>
    <w:tbl>
      <w:tblPr>
        <w:tblStyle w:val="21"/>
        <w:tblW w:w="9015" w:type="dxa"/>
        <w:jc w:val="center"/>
        <w:tblInd w:w="0" w:type="dxa"/>
        <w:tblLayout w:type="fixed"/>
        <w:tblCellMar>
          <w:top w:w="0" w:type="dxa"/>
          <w:left w:w="108" w:type="dxa"/>
          <w:bottom w:w="0" w:type="dxa"/>
          <w:right w:w="108" w:type="dxa"/>
        </w:tblCellMar>
      </w:tblPr>
      <w:tblGrid>
        <w:gridCol w:w="840"/>
        <w:gridCol w:w="1917"/>
        <w:gridCol w:w="723"/>
        <w:gridCol w:w="810"/>
        <w:gridCol w:w="885"/>
        <w:gridCol w:w="960"/>
        <w:gridCol w:w="1995"/>
        <w:gridCol w:w="885"/>
      </w:tblGrid>
      <w:tr>
        <w:tblPrEx>
          <w:tblLayout w:type="fixed"/>
          <w:tblCellMar>
            <w:top w:w="0" w:type="dxa"/>
            <w:left w:w="108" w:type="dxa"/>
            <w:bottom w:w="0" w:type="dxa"/>
            <w:right w:w="108" w:type="dxa"/>
          </w:tblCellMar>
        </w:tblPrEx>
        <w:trPr>
          <w:jc w:val="center"/>
        </w:trPr>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序号</w:t>
            </w:r>
          </w:p>
        </w:tc>
        <w:tc>
          <w:tcPr>
            <w:tcW w:w="1917"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配件名称</w:t>
            </w:r>
          </w:p>
        </w:tc>
        <w:tc>
          <w:tcPr>
            <w:tcW w:w="723"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数量</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单位</w:t>
            </w:r>
          </w:p>
        </w:tc>
        <w:tc>
          <w:tcPr>
            <w:tcW w:w="3840" w:type="dxa"/>
            <w:gridSpan w:val="3"/>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车型：</w:t>
            </w:r>
          </w:p>
        </w:tc>
        <w:tc>
          <w:tcPr>
            <w:tcW w:w="885"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备注</w:t>
            </w:r>
          </w:p>
        </w:tc>
      </w:tr>
      <w:tr>
        <w:tblPrEx>
          <w:tblLayout w:type="fixed"/>
          <w:tblCellMar>
            <w:top w:w="0" w:type="dxa"/>
            <w:left w:w="108" w:type="dxa"/>
            <w:bottom w:w="0" w:type="dxa"/>
            <w:right w:w="108" w:type="dxa"/>
          </w:tblCellMar>
        </w:tblPrEx>
        <w:trPr>
          <w:trHeight w:val="118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17"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723"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配件价格</w:t>
            </w:r>
          </w:p>
        </w:tc>
        <w:tc>
          <w:tcPr>
            <w:tcW w:w="96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加价率</w:t>
            </w:r>
          </w:p>
        </w:tc>
        <w:tc>
          <w:tcPr>
            <w:tcW w:w="199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配件费（元）</w:t>
            </w:r>
          </w:p>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配件价格*（1+加价率）</w:t>
            </w:r>
          </w:p>
        </w:tc>
        <w:tc>
          <w:tcPr>
            <w:tcW w:w="885" w:type="dxa"/>
            <w:vMerge w:val="continue"/>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917"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更换前后刹车片</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更换前大灯</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更换后保险杠</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更换前保险杠</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更换轮胎</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更换机油</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更换刹车油</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更换变速箱油</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更换水箱</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更换离合片</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项</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11</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车辆保养（三芯）</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次</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12</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更换电瓶</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13</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整车喷漆</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次</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4290" w:type="dxa"/>
            <w:gridSpan w:val="4"/>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配件费报价</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bl>
    <w:p>
      <w:pPr>
        <w:pageBreakBefore w:val="0"/>
        <w:widowControl w:val="0"/>
        <w:kinsoku/>
        <w:wordWrap/>
        <w:overflowPunct/>
        <w:topLinePunct w:val="0"/>
        <w:autoSpaceDE/>
        <w:autoSpaceDN/>
        <w:bidi w:val="0"/>
        <w:adjustRightInd/>
        <w:snapToGrid/>
        <w:spacing w:line="360" w:lineRule="auto"/>
        <w:ind w:firstLine="462" w:firstLineChars="200"/>
        <w:jc w:val="left"/>
        <w:textAlignment w:val="auto"/>
        <w:rPr>
          <w:rFonts w:hint="eastAsia" w:ascii="宋体" w:hAnsi="宋体" w:eastAsia="宋体" w:cs="宋体"/>
          <w:b/>
          <w:sz w:val="24"/>
          <w:szCs w:val="24"/>
          <w:highlight w:val="none"/>
        </w:rPr>
      </w:pPr>
      <w:r>
        <w:rPr>
          <w:rFonts w:hint="eastAsia" w:ascii="宋体" w:hAnsi="宋体" w:eastAsia="宋体" w:cs="宋体"/>
          <w:b/>
          <w:bCs/>
          <w:sz w:val="24"/>
          <w:szCs w:val="24"/>
          <w:highlight w:val="none"/>
        </w:rPr>
        <w:t>注：所有配件价格执行同一加价率。</w:t>
      </w:r>
    </w:p>
    <w:p>
      <w:pPr>
        <w:pStyle w:val="28"/>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kern w:val="1"/>
          <w:sz w:val="24"/>
          <w:szCs w:val="24"/>
          <w:highlight w:val="none"/>
          <w:lang w:val="en-US" w:eastAsia="zh-CN"/>
        </w:rPr>
      </w:pPr>
      <w:r>
        <w:rPr>
          <w:rFonts w:hint="eastAsia" w:ascii="宋体" w:hAnsi="宋体" w:eastAsia="宋体" w:cs="宋体"/>
          <w:b/>
          <w:sz w:val="24"/>
          <w:szCs w:val="24"/>
          <w:highlight w:val="none"/>
        </w:rPr>
        <w:t>车型：</w:t>
      </w:r>
      <w:r>
        <w:rPr>
          <w:rFonts w:hint="eastAsia" w:ascii="宋体" w:hAnsi="宋体" w:cs="宋体"/>
          <w:kern w:val="1"/>
          <w:sz w:val="24"/>
          <w:szCs w:val="24"/>
          <w:highlight w:val="none"/>
          <w:lang w:val="en-US" w:eastAsia="zh-CN"/>
        </w:rPr>
        <w:t>现代御翔</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b/>
          <w:bCs/>
          <w:sz w:val="24"/>
          <w:szCs w:val="24"/>
          <w:highlight w:val="none"/>
        </w:rPr>
        <w:t>一、工时费报价清单</w:t>
      </w:r>
    </w:p>
    <w:tbl>
      <w:tblPr>
        <w:tblStyle w:val="21"/>
        <w:tblW w:w="9000" w:type="dxa"/>
        <w:jc w:val="center"/>
        <w:tblInd w:w="0" w:type="dxa"/>
        <w:tblLayout w:type="fixed"/>
        <w:tblCellMar>
          <w:top w:w="0" w:type="dxa"/>
          <w:left w:w="108" w:type="dxa"/>
          <w:bottom w:w="0" w:type="dxa"/>
          <w:right w:w="108" w:type="dxa"/>
        </w:tblCellMar>
      </w:tblPr>
      <w:tblGrid>
        <w:gridCol w:w="825"/>
        <w:gridCol w:w="2085"/>
        <w:gridCol w:w="1305"/>
        <w:gridCol w:w="1245"/>
        <w:gridCol w:w="2685"/>
        <w:gridCol w:w="855"/>
      </w:tblGrid>
      <w:tr>
        <w:tblPrEx>
          <w:tblLayout w:type="fixed"/>
          <w:tblCellMar>
            <w:top w:w="0" w:type="dxa"/>
            <w:left w:w="108" w:type="dxa"/>
            <w:bottom w:w="0" w:type="dxa"/>
            <w:right w:w="108" w:type="dxa"/>
          </w:tblCellMar>
        </w:tblPrEx>
        <w:trPr>
          <w:jc w:val="center"/>
        </w:trPr>
        <w:tc>
          <w:tcPr>
            <w:tcW w:w="825"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085"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p>
        </w:tc>
        <w:tc>
          <w:tcPr>
            <w:tcW w:w="5235" w:type="dxa"/>
            <w:gridSpan w:val="3"/>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车型：</w:t>
            </w: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vMerge w:val="continue"/>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085" w:type="dxa"/>
            <w:vMerge w:val="continue"/>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工时定额</w:t>
            </w:r>
          </w:p>
        </w:tc>
        <w:tc>
          <w:tcPr>
            <w:tcW w:w="12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工时单价</w:t>
            </w:r>
          </w:p>
        </w:tc>
        <w:tc>
          <w:tcPr>
            <w:tcW w:w="26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工时费（元）</w:t>
            </w:r>
          </w:p>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（工时定额*工时单价）</w:t>
            </w: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20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更换前后刹车片</w:t>
            </w:r>
          </w:p>
        </w:tc>
        <w:tc>
          <w:tcPr>
            <w:tcW w:w="130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2</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更换前大灯</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3</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更换后保险杠</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更换前保险杠</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更换轮胎</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更换机油</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更换刹车油</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更换变速箱油</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更换水箱</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更换离合片</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11</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车辆保养（三芯）</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12</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更换电瓶</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13</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整车喷漆</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2910" w:type="dxa"/>
            <w:gridSpan w:val="2"/>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工时费报价</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bl>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b/>
          <w:bCs/>
          <w:sz w:val="24"/>
          <w:szCs w:val="24"/>
          <w:highlight w:val="none"/>
        </w:rPr>
        <w:t>二、配件费报价清单</w:t>
      </w:r>
    </w:p>
    <w:tbl>
      <w:tblPr>
        <w:tblStyle w:val="21"/>
        <w:tblW w:w="9015" w:type="dxa"/>
        <w:jc w:val="center"/>
        <w:tblInd w:w="0" w:type="dxa"/>
        <w:tblLayout w:type="fixed"/>
        <w:tblCellMar>
          <w:top w:w="0" w:type="dxa"/>
          <w:left w:w="108" w:type="dxa"/>
          <w:bottom w:w="0" w:type="dxa"/>
          <w:right w:w="108" w:type="dxa"/>
        </w:tblCellMar>
      </w:tblPr>
      <w:tblGrid>
        <w:gridCol w:w="840"/>
        <w:gridCol w:w="1917"/>
        <w:gridCol w:w="723"/>
        <w:gridCol w:w="810"/>
        <w:gridCol w:w="885"/>
        <w:gridCol w:w="960"/>
        <w:gridCol w:w="1995"/>
        <w:gridCol w:w="885"/>
      </w:tblGrid>
      <w:tr>
        <w:tblPrEx>
          <w:tblLayout w:type="fixed"/>
          <w:tblCellMar>
            <w:top w:w="0" w:type="dxa"/>
            <w:left w:w="108" w:type="dxa"/>
            <w:bottom w:w="0" w:type="dxa"/>
            <w:right w:w="108" w:type="dxa"/>
          </w:tblCellMar>
        </w:tblPrEx>
        <w:trPr>
          <w:jc w:val="center"/>
        </w:trPr>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序号</w:t>
            </w:r>
          </w:p>
        </w:tc>
        <w:tc>
          <w:tcPr>
            <w:tcW w:w="1917"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配件名称</w:t>
            </w:r>
          </w:p>
        </w:tc>
        <w:tc>
          <w:tcPr>
            <w:tcW w:w="723"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数量</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单位</w:t>
            </w:r>
          </w:p>
        </w:tc>
        <w:tc>
          <w:tcPr>
            <w:tcW w:w="3840" w:type="dxa"/>
            <w:gridSpan w:val="3"/>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车型：</w:t>
            </w:r>
          </w:p>
        </w:tc>
        <w:tc>
          <w:tcPr>
            <w:tcW w:w="885"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备注</w:t>
            </w:r>
          </w:p>
        </w:tc>
      </w:tr>
      <w:tr>
        <w:tblPrEx>
          <w:tblLayout w:type="fixed"/>
          <w:tblCellMar>
            <w:top w:w="0" w:type="dxa"/>
            <w:left w:w="108" w:type="dxa"/>
            <w:bottom w:w="0" w:type="dxa"/>
            <w:right w:w="108" w:type="dxa"/>
          </w:tblCellMar>
        </w:tblPrEx>
        <w:trPr>
          <w:trHeight w:val="118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17"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723"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配件价格</w:t>
            </w:r>
          </w:p>
        </w:tc>
        <w:tc>
          <w:tcPr>
            <w:tcW w:w="96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加价率</w:t>
            </w:r>
          </w:p>
        </w:tc>
        <w:tc>
          <w:tcPr>
            <w:tcW w:w="199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配件费（元）</w:t>
            </w:r>
          </w:p>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配件价格*（1+加价率）</w:t>
            </w:r>
          </w:p>
        </w:tc>
        <w:tc>
          <w:tcPr>
            <w:tcW w:w="885" w:type="dxa"/>
            <w:vMerge w:val="continue"/>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917"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更换前后刹车片</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更换前大灯</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更换后保险杠</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更换前保险杠</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更换轮胎</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更换机油</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更换刹车油</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更换变速箱油</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更换水箱</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更换离合片</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项</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11</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车辆保养（三芯）</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次</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12</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更换电瓶</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13</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整车喷漆</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次</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4290" w:type="dxa"/>
            <w:gridSpan w:val="4"/>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配件费报价</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bl>
    <w:p>
      <w:pPr>
        <w:pageBreakBefore w:val="0"/>
        <w:widowControl w:val="0"/>
        <w:kinsoku/>
        <w:wordWrap/>
        <w:overflowPunct/>
        <w:topLinePunct w:val="0"/>
        <w:autoSpaceDE/>
        <w:autoSpaceDN/>
        <w:bidi w:val="0"/>
        <w:adjustRightInd/>
        <w:snapToGrid/>
        <w:spacing w:line="360" w:lineRule="auto"/>
        <w:ind w:firstLine="462" w:firstLineChars="200"/>
        <w:jc w:val="left"/>
        <w:textAlignment w:val="auto"/>
        <w:rPr>
          <w:rFonts w:hint="eastAsia" w:ascii="宋体" w:hAnsi="宋体" w:eastAsia="宋体" w:cs="宋体"/>
          <w:b/>
          <w:sz w:val="24"/>
          <w:szCs w:val="24"/>
          <w:highlight w:val="none"/>
        </w:rPr>
      </w:pPr>
      <w:r>
        <w:rPr>
          <w:rFonts w:hint="eastAsia" w:ascii="宋体" w:hAnsi="宋体" w:eastAsia="宋体" w:cs="宋体"/>
          <w:b/>
          <w:bCs/>
          <w:sz w:val="24"/>
          <w:szCs w:val="24"/>
          <w:highlight w:val="none"/>
        </w:rPr>
        <w:t>注：所有配件价格执行同一加价率。</w:t>
      </w:r>
    </w:p>
    <w:p>
      <w:pPr>
        <w:pStyle w:val="28"/>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kern w:val="1"/>
          <w:sz w:val="24"/>
          <w:szCs w:val="24"/>
          <w:highlight w:val="none"/>
          <w:lang w:val="en-US" w:eastAsia="zh-CN"/>
        </w:rPr>
      </w:pPr>
      <w:r>
        <w:rPr>
          <w:rFonts w:hint="eastAsia" w:ascii="宋体" w:hAnsi="宋体" w:eastAsia="宋体" w:cs="宋体"/>
          <w:b/>
          <w:sz w:val="24"/>
          <w:szCs w:val="24"/>
          <w:highlight w:val="none"/>
        </w:rPr>
        <w:t>车型：</w:t>
      </w:r>
      <w:r>
        <w:rPr>
          <w:rFonts w:hint="eastAsia" w:ascii="宋体" w:hAnsi="宋体" w:cs="宋体"/>
          <w:kern w:val="1"/>
          <w:sz w:val="24"/>
          <w:szCs w:val="24"/>
          <w:highlight w:val="none"/>
          <w:lang w:val="en-US" w:eastAsia="zh-CN"/>
        </w:rPr>
        <w:t>长安之星</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b/>
          <w:bCs/>
          <w:sz w:val="24"/>
          <w:szCs w:val="24"/>
          <w:highlight w:val="none"/>
        </w:rPr>
        <w:t>一、工时费报价清单</w:t>
      </w:r>
    </w:p>
    <w:tbl>
      <w:tblPr>
        <w:tblStyle w:val="21"/>
        <w:tblW w:w="9000" w:type="dxa"/>
        <w:jc w:val="center"/>
        <w:tblInd w:w="0" w:type="dxa"/>
        <w:tblLayout w:type="fixed"/>
        <w:tblCellMar>
          <w:top w:w="0" w:type="dxa"/>
          <w:left w:w="108" w:type="dxa"/>
          <w:bottom w:w="0" w:type="dxa"/>
          <w:right w:w="108" w:type="dxa"/>
        </w:tblCellMar>
      </w:tblPr>
      <w:tblGrid>
        <w:gridCol w:w="825"/>
        <w:gridCol w:w="2085"/>
        <w:gridCol w:w="1305"/>
        <w:gridCol w:w="1245"/>
        <w:gridCol w:w="2685"/>
        <w:gridCol w:w="855"/>
      </w:tblGrid>
      <w:tr>
        <w:tblPrEx>
          <w:tblLayout w:type="fixed"/>
          <w:tblCellMar>
            <w:top w:w="0" w:type="dxa"/>
            <w:left w:w="108" w:type="dxa"/>
            <w:bottom w:w="0" w:type="dxa"/>
            <w:right w:w="108" w:type="dxa"/>
          </w:tblCellMar>
        </w:tblPrEx>
        <w:trPr>
          <w:jc w:val="center"/>
        </w:trPr>
        <w:tc>
          <w:tcPr>
            <w:tcW w:w="825"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085"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p>
        </w:tc>
        <w:tc>
          <w:tcPr>
            <w:tcW w:w="5235" w:type="dxa"/>
            <w:gridSpan w:val="3"/>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车型：</w:t>
            </w: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vMerge w:val="continue"/>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085" w:type="dxa"/>
            <w:vMerge w:val="continue"/>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工时定额</w:t>
            </w:r>
          </w:p>
        </w:tc>
        <w:tc>
          <w:tcPr>
            <w:tcW w:w="12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工时单价</w:t>
            </w:r>
          </w:p>
        </w:tc>
        <w:tc>
          <w:tcPr>
            <w:tcW w:w="26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工时费（元）</w:t>
            </w:r>
          </w:p>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（工时定额*工时单价）</w:t>
            </w: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20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更换前后刹车片</w:t>
            </w:r>
          </w:p>
        </w:tc>
        <w:tc>
          <w:tcPr>
            <w:tcW w:w="130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2</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更换前大灯</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3</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更换后保险杠</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更换前保险杠</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更换轮胎</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更换机油</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更换刹车油</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更换变速箱油</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更换水箱</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更换离合片</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11</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车辆保养（三芯）</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12</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更换电瓶</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13</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整车喷漆</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2910" w:type="dxa"/>
            <w:gridSpan w:val="2"/>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工时费报价</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bl>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b/>
          <w:bCs/>
          <w:sz w:val="24"/>
          <w:szCs w:val="24"/>
          <w:highlight w:val="none"/>
        </w:rPr>
        <w:t>二、配件费报价清单</w:t>
      </w:r>
    </w:p>
    <w:tbl>
      <w:tblPr>
        <w:tblStyle w:val="21"/>
        <w:tblW w:w="9015" w:type="dxa"/>
        <w:jc w:val="center"/>
        <w:tblInd w:w="0" w:type="dxa"/>
        <w:tblLayout w:type="fixed"/>
        <w:tblCellMar>
          <w:top w:w="0" w:type="dxa"/>
          <w:left w:w="108" w:type="dxa"/>
          <w:bottom w:w="0" w:type="dxa"/>
          <w:right w:w="108" w:type="dxa"/>
        </w:tblCellMar>
      </w:tblPr>
      <w:tblGrid>
        <w:gridCol w:w="840"/>
        <w:gridCol w:w="1917"/>
        <w:gridCol w:w="723"/>
        <w:gridCol w:w="810"/>
        <w:gridCol w:w="885"/>
        <w:gridCol w:w="960"/>
        <w:gridCol w:w="1995"/>
        <w:gridCol w:w="885"/>
      </w:tblGrid>
      <w:tr>
        <w:tblPrEx>
          <w:tblLayout w:type="fixed"/>
          <w:tblCellMar>
            <w:top w:w="0" w:type="dxa"/>
            <w:left w:w="108" w:type="dxa"/>
            <w:bottom w:w="0" w:type="dxa"/>
            <w:right w:w="108" w:type="dxa"/>
          </w:tblCellMar>
        </w:tblPrEx>
        <w:trPr>
          <w:jc w:val="center"/>
        </w:trPr>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序号</w:t>
            </w:r>
          </w:p>
        </w:tc>
        <w:tc>
          <w:tcPr>
            <w:tcW w:w="1917"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配件名称</w:t>
            </w:r>
          </w:p>
        </w:tc>
        <w:tc>
          <w:tcPr>
            <w:tcW w:w="723"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数量</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单位</w:t>
            </w:r>
          </w:p>
        </w:tc>
        <w:tc>
          <w:tcPr>
            <w:tcW w:w="3840" w:type="dxa"/>
            <w:gridSpan w:val="3"/>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车型：</w:t>
            </w:r>
          </w:p>
        </w:tc>
        <w:tc>
          <w:tcPr>
            <w:tcW w:w="885"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备注</w:t>
            </w:r>
          </w:p>
        </w:tc>
      </w:tr>
      <w:tr>
        <w:tblPrEx>
          <w:tblLayout w:type="fixed"/>
          <w:tblCellMar>
            <w:top w:w="0" w:type="dxa"/>
            <w:left w:w="108" w:type="dxa"/>
            <w:bottom w:w="0" w:type="dxa"/>
            <w:right w:w="108" w:type="dxa"/>
          </w:tblCellMar>
        </w:tblPrEx>
        <w:trPr>
          <w:trHeight w:val="118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17"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723"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配件价格</w:t>
            </w:r>
          </w:p>
        </w:tc>
        <w:tc>
          <w:tcPr>
            <w:tcW w:w="96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加价率</w:t>
            </w:r>
          </w:p>
        </w:tc>
        <w:tc>
          <w:tcPr>
            <w:tcW w:w="199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配件费（元）</w:t>
            </w:r>
          </w:p>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配件价格*（1+加价率）</w:t>
            </w:r>
          </w:p>
        </w:tc>
        <w:tc>
          <w:tcPr>
            <w:tcW w:w="885" w:type="dxa"/>
            <w:vMerge w:val="continue"/>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917"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更换前后刹车片</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更换前大灯</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更换后保险杠</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更换前保险杠</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更换轮胎</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更换机油</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更换刹车油</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更换变速箱油</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更换水箱</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更换离合片</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项</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11</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车辆保养（三芯）</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次</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12</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更换电瓶</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13</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整车喷漆</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次</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4290" w:type="dxa"/>
            <w:gridSpan w:val="4"/>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配件费报价</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bl>
    <w:p>
      <w:pPr>
        <w:pageBreakBefore w:val="0"/>
        <w:widowControl w:val="0"/>
        <w:kinsoku/>
        <w:wordWrap/>
        <w:overflowPunct/>
        <w:topLinePunct w:val="0"/>
        <w:autoSpaceDE/>
        <w:autoSpaceDN/>
        <w:bidi w:val="0"/>
        <w:adjustRightInd/>
        <w:snapToGrid/>
        <w:spacing w:line="360" w:lineRule="auto"/>
        <w:ind w:firstLine="462" w:firstLineChars="200"/>
        <w:jc w:val="left"/>
        <w:textAlignment w:val="auto"/>
        <w:rPr>
          <w:rFonts w:hint="eastAsia" w:ascii="宋体" w:hAnsi="宋体" w:eastAsia="宋体" w:cs="宋体"/>
          <w:b/>
          <w:sz w:val="24"/>
          <w:szCs w:val="24"/>
          <w:highlight w:val="none"/>
        </w:rPr>
      </w:pPr>
      <w:r>
        <w:rPr>
          <w:rFonts w:hint="eastAsia" w:ascii="宋体" w:hAnsi="宋体" w:eastAsia="宋体" w:cs="宋体"/>
          <w:b/>
          <w:bCs/>
          <w:sz w:val="24"/>
          <w:szCs w:val="24"/>
          <w:highlight w:val="none"/>
        </w:rPr>
        <w:t>注：所有配件价格执行同一加价率。</w:t>
      </w:r>
    </w:p>
    <w:p>
      <w:pPr>
        <w:pStyle w:val="28"/>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kern w:val="1"/>
          <w:sz w:val="24"/>
          <w:szCs w:val="24"/>
          <w:highlight w:val="none"/>
          <w:lang w:val="en-US" w:eastAsia="zh-CN"/>
        </w:rPr>
      </w:pPr>
      <w:r>
        <w:rPr>
          <w:rFonts w:hint="eastAsia" w:ascii="宋体" w:hAnsi="宋体" w:eastAsia="宋体" w:cs="宋体"/>
          <w:b/>
          <w:sz w:val="24"/>
          <w:szCs w:val="24"/>
          <w:highlight w:val="none"/>
        </w:rPr>
        <w:t>车型：</w:t>
      </w:r>
      <w:r>
        <w:rPr>
          <w:rFonts w:hint="eastAsia" w:ascii="宋体" w:hAnsi="宋体" w:cs="宋体"/>
          <w:kern w:val="1"/>
          <w:sz w:val="24"/>
          <w:szCs w:val="24"/>
          <w:highlight w:val="none"/>
          <w:lang w:val="en-US" w:eastAsia="zh-CN"/>
        </w:rPr>
        <w:t>中兴皮卡</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b/>
          <w:bCs/>
          <w:sz w:val="24"/>
          <w:szCs w:val="24"/>
          <w:highlight w:val="none"/>
        </w:rPr>
        <w:t>一、工时费报价清单</w:t>
      </w:r>
    </w:p>
    <w:tbl>
      <w:tblPr>
        <w:tblStyle w:val="21"/>
        <w:tblW w:w="9000" w:type="dxa"/>
        <w:jc w:val="center"/>
        <w:tblInd w:w="0" w:type="dxa"/>
        <w:tblLayout w:type="fixed"/>
        <w:tblCellMar>
          <w:top w:w="0" w:type="dxa"/>
          <w:left w:w="108" w:type="dxa"/>
          <w:bottom w:w="0" w:type="dxa"/>
          <w:right w:w="108" w:type="dxa"/>
        </w:tblCellMar>
      </w:tblPr>
      <w:tblGrid>
        <w:gridCol w:w="825"/>
        <w:gridCol w:w="2085"/>
        <w:gridCol w:w="1305"/>
        <w:gridCol w:w="1245"/>
        <w:gridCol w:w="2685"/>
        <w:gridCol w:w="855"/>
      </w:tblGrid>
      <w:tr>
        <w:tblPrEx>
          <w:tblLayout w:type="fixed"/>
          <w:tblCellMar>
            <w:top w:w="0" w:type="dxa"/>
            <w:left w:w="108" w:type="dxa"/>
            <w:bottom w:w="0" w:type="dxa"/>
            <w:right w:w="108" w:type="dxa"/>
          </w:tblCellMar>
        </w:tblPrEx>
        <w:trPr>
          <w:jc w:val="center"/>
        </w:trPr>
        <w:tc>
          <w:tcPr>
            <w:tcW w:w="825"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085"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p>
        </w:tc>
        <w:tc>
          <w:tcPr>
            <w:tcW w:w="5235" w:type="dxa"/>
            <w:gridSpan w:val="3"/>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车型：</w:t>
            </w: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vMerge w:val="continue"/>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085" w:type="dxa"/>
            <w:vMerge w:val="continue"/>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工时定额</w:t>
            </w:r>
          </w:p>
        </w:tc>
        <w:tc>
          <w:tcPr>
            <w:tcW w:w="12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工时单价</w:t>
            </w:r>
          </w:p>
        </w:tc>
        <w:tc>
          <w:tcPr>
            <w:tcW w:w="26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工时费（元）</w:t>
            </w:r>
          </w:p>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（工时定额*工时单价）</w:t>
            </w: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20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更换前后刹车片</w:t>
            </w:r>
          </w:p>
        </w:tc>
        <w:tc>
          <w:tcPr>
            <w:tcW w:w="130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2</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更换前大灯</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3</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更换后保险杠</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更换前保险杠</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更换轮胎</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更换机油</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更换刹车油</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更换变速箱油</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更换水箱</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更换离合片</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11</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车辆保养（三芯）</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12</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更换电瓶</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13</w:t>
            </w:r>
          </w:p>
        </w:tc>
        <w:tc>
          <w:tcPr>
            <w:tcW w:w="20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整车喷漆</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2910" w:type="dxa"/>
            <w:gridSpan w:val="2"/>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工时费报价</w:t>
            </w:r>
          </w:p>
        </w:tc>
        <w:tc>
          <w:tcPr>
            <w:tcW w:w="130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24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26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bl>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b/>
          <w:bCs/>
          <w:sz w:val="24"/>
          <w:szCs w:val="24"/>
          <w:highlight w:val="none"/>
        </w:rPr>
        <w:t>二、配件费报价清单</w:t>
      </w:r>
    </w:p>
    <w:tbl>
      <w:tblPr>
        <w:tblStyle w:val="21"/>
        <w:tblW w:w="9015" w:type="dxa"/>
        <w:jc w:val="center"/>
        <w:tblInd w:w="0" w:type="dxa"/>
        <w:tblLayout w:type="fixed"/>
        <w:tblCellMar>
          <w:top w:w="0" w:type="dxa"/>
          <w:left w:w="108" w:type="dxa"/>
          <w:bottom w:w="0" w:type="dxa"/>
          <w:right w:w="108" w:type="dxa"/>
        </w:tblCellMar>
      </w:tblPr>
      <w:tblGrid>
        <w:gridCol w:w="840"/>
        <w:gridCol w:w="1917"/>
        <w:gridCol w:w="723"/>
        <w:gridCol w:w="810"/>
        <w:gridCol w:w="885"/>
        <w:gridCol w:w="960"/>
        <w:gridCol w:w="1995"/>
        <w:gridCol w:w="885"/>
      </w:tblGrid>
      <w:tr>
        <w:tblPrEx>
          <w:tblLayout w:type="fixed"/>
          <w:tblCellMar>
            <w:top w:w="0" w:type="dxa"/>
            <w:left w:w="108" w:type="dxa"/>
            <w:bottom w:w="0" w:type="dxa"/>
            <w:right w:w="108" w:type="dxa"/>
          </w:tblCellMar>
        </w:tblPrEx>
        <w:trPr>
          <w:jc w:val="center"/>
        </w:trPr>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序号</w:t>
            </w:r>
          </w:p>
        </w:tc>
        <w:tc>
          <w:tcPr>
            <w:tcW w:w="1917"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配件名称</w:t>
            </w:r>
          </w:p>
        </w:tc>
        <w:tc>
          <w:tcPr>
            <w:tcW w:w="723"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数量</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单位</w:t>
            </w:r>
          </w:p>
        </w:tc>
        <w:tc>
          <w:tcPr>
            <w:tcW w:w="3840" w:type="dxa"/>
            <w:gridSpan w:val="3"/>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车型：</w:t>
            </w:r>
          </w:p>
        </w:tc>
        <w:tc>
          <w:tcPr>
            <w:tcW w:w="885"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备注</w:t>
            </w:r>
          </w:p>
        </w:tc>
      </w:tr>
      <w:tr>
        <w:tblPrEx>
          <w:tblLayout w:type="fixed"/>
          <w:tblCellMar>
            <w:top w:w="0" w:type="dxa"/>
            <w:left w:w="108" w:type="dxa"/>
            <w:bottom w:w="0" w:type="dxa"/>
            <w:right w:w="108" w:type="dxa"/>
          </w:tblCellMar>
        </w:tblPrEx>
        <w:trPr>
          <w:trHeight w:val="118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17"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723"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配件价格</w:t>
            </w:r>
          </w:p>
        </w:tc>
        <w:tc>
          <w:tcPr>
            <w:tcW w:w="96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加价率</w:t>
            </w:r>
          </w:p>
        </w:tc>
        <w:tc>
          <w:tcPr>
            <w:tcW w:w="199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配件费（元）</w:t>
            </w:r>
          </w:p>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配件价格*（1+加价率）</w:t>
            </w:r>
          </w:p>
        </w:tc>
        <w:tc>
          <w:tcPr>
            <w:tcW w:w="885" w:type="dxa"/>
            <w:vMerge w:val="continue"/>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917"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更换前后刹车片</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更换前大灯</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更换后保险杠</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更换前保险杠</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更换轮胎</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更换机油</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更换刹车油</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更换变速箱油</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更换水箱</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更换离合片</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项</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11</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车辆保养（三芯）</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次</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12</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更换电瓶</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个</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13</w:t>
            </w:r>
          </w:p>
        </w:tc>
        <w:tc>
          <w:tcPr>
            <w:tcW w:w="191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整车喷漆</w:t>
            </w:r>
          </w:p>
        </w:tc>
        <w:tc>
          <w:tcPr>
            <w:tcW w:w="72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次</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r>
        <w:tblPrEx>
          <w:tblLayout w:type="fixed"/>
          <w:tblCellMar>
            <w:top w:w="0" w:type="dxa"/>
            <w:left w:w="108" w:type="dxa"/>
            <w:bottom w:w="0" w:type="dxa"/>
            <w:right w:w="108" w:type="dxa"/>
          </w:tblCellMar>
        </w:tblPrEx>
        <w:trPr>
          <w:jc w:val="center"/>
        </w:trPr>
        <w:tc>
          <w:tcPr>
            <w:tcW w:w="4290" w:type="dxa"/>
            <w:gridSpan w:val="4"/>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配件费报价</w:t>
            </w: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p>
        </w:tc>
      </w:tr>
    </w:tbl>
    <w:p>
      <w:pPr>
        <w:pageBreakBefore w:val="0"/>
        <w:widowControl w:val="0"/>
        <w:kinsoku/>
        <w:wordWrap/>
        <w:overflowPunct/>
        <w:topLinePunct w:val="0"/>
        <w:autoSpaceDE/>
        <w:autoSpaceDN/>
        <w:bidi w:val="0"/>
        <w:adjustRightInd/>
        <w:snapToGrid/>
        <w:spacing w:line="360" w:lineRule="auto"/>
        <w:ind w:firstLine="462" w:firstLineChars="200"/>
        <w:jc w:val="left"/>
        <w:textAlignment w:val="auto"/>
        <w:rPr>
          <w:rFonts w:hint="eastAsia" w:ascii="宋体" w:hAnsi="宋体" w:eastAsia="宋体" w:cs="宋体"/>
          <w:b/>
          <w:sz w:val="24"/>
          <w:szCs w:val="24"/>
          <w:highlight w:val="none"/>
        </w:rPr>
      </w:pPr>
      <w:r>
        <w:rPr>
          <w:rFonts w:hint="eastAsia" w:ascii="宋体" w:hAnsi="宋体" w:eastAsia="宋体" w:cs="宋体"/>
          <w:b/>
          <w:bCs/>
          <w:sz w:val="24"/>
          <w:szCs w:val="24"/>
          <w:highlight w:val="none"/>
        </w:rPr>
        <w:t>注：所有配件价格执行同一加价率。</w:t>
      </w:r>
    </w:p>
    <w:p>
      <w:pPr>
        <w:pStyle w:val="19"/>
        <w:spacing w:line="360" w:lineRule="auto"/>
        <w:ind w:firstLine="200"/>
        <w:rPr>
          <w:rFonts w:hint="eastAsia" w:ascii="宋体" w:hAnsi="宋体" w:eastAsia="宋体" w:cs="宋体"/>
          <w:sz w:val="24"/>
          <w:szCs w:val="24"/>
          <w:highlight w:val="none"/>
        </w:rPr>
      </w:pPr>
    </w:p>
    <w:p>
      <w:pPr>
        <w:pageBreakBefore w:val="0"/>
        <w:widowControl w:val="0"/>
        <w:kinsoku/>
        <w:wordWrap/>
        <w:overflowPunct/>
        <w:topLinePunct w:val="0"/>
        <w:autoSpaceDE/>
        <w:autoSpaceDN/>
        <w:bidi w:val="0"/>
        <w:adjustRightInd/>
        <w:snapToGrid/>
        <w:spacing w:line="360" w:lineRule="auto"/>
        <w:jc w:val="left"/>
        <w:textAlignment w:val="auto"/>
        <w:rPr>
          <w:rFonts w:hint="eastAsia" w:hAnsi="宋体" w:cs="宋体"/>
          <w:kern w:val="1"/>
          <w:sz w:val="24"/>
          <w:szCs w:val="24"/>
          <w:highlight w:val="none"/>
          <w:lang w:val="en-US" w:eastAsia="zh-CN"/>
        </w:rPr>
      </w:pPr>
      <w:r>
        <w:rPr>
          <w:rFonts w:hint="eastAsia" w:hAnsi="宋体" w:cs="宋体"/>
          <w:kern w:val="1"/>
          <w:sz w:val="24"/>
          <w:szCs w:val="24"/>
          <w:highlight w:val="none"/>
          <w:lang w:val="en-US" w:eastAsia="zh-CN"/>
        </w:rPr>
        <w:t>注：本次参与“工时费总报价（15分）、配件费总报价（10分）”报价为“</w:t>
      </w:r>
      <w:r>
        <w:rPr>
          <w:rFonts w:hint="eastAsia" w:ascii="宋体" w:hAnsi="宋体" w:cs="宋体"/>
          <w:b/>
          <w:bCs/>
          <w:kern w:val="1"/>
          <w:sz w:val="24"/>
          <w:szCs w:val="24"/>
          <w:highlight w:val="none"/>
          <w:lang w:val="en-US" w:eastAsia="zh-CN"/>
        </w:rPr>
        <w:t>大众3000</w:t>
      </w:r>
      <w:r>
        <w:rPr>
          <w:rFonts w:hint="eastAsia" w:hAnsi="宋体" w:cs="宋体"/>
          <w:kern w:val="1"/>
          <w:sz w:val="24"/>
          <w:szCs w:val="24"/>
          <w:highlight w:val="none"/>
          <w:lang w:val="en-US" w:eastAsia="zh-CN"/>
        </w:rPr>
        <w:t>”车型“工时费报价单价之和及配件费报价之和”，其他车型报价不参与“工时费总报价（15分）、配件费总报价（10分）”报价评分。</w:t>
      </w:r>
    </w:p>
    <w:p>
      <w:pPr>
        <w:pStyle w:val="39"/>
        <w:spacing w:line="300" w:lineRule="exact"/>
        <w:jc w:val="both"/>
        <w:rPr>
          <w:rFonts w:hint="eastAsia" w:ascii="宋体" w:hAnsi="宋体" w:eastAsia="宋体" w:cs="宋体"/>
          <w:sz w:val="24"/>
          <w:szCs w:val="24"/>
          <w:highlight w:val="none"/>
          <w:lang w:val="en-US" w:eastAsia="zh-CN"/>
        </w:rPr>
      </w:pPr>
    </w:p>
    <w:p>
      <w:pPr>
        <w:pStyle w:val="19"/>
        <w:spacing w:line="360" w:lineRule="auto"/>
        <w:ind w:firstLine="200"/>
        <w:rPr>
          <w:rFonts w:hint="eastAsia" w:ascii="宋体" w:hAnsi="宋体" w:eastAsia="宋体" w:cs="宋体"/>
          <w:sz w:val="24"/>
          <w:szCs w:val="24"/>
          <w:highlight w:val="none"/>
        </w:rPr>
      </w:pPr>
    </w:p>
    <w:p>
      <w:pPr>
        <w:pStyle w:val="19"/>
        <w:spacing w:line="360" w:lineRule="auto"/>
        <w:ind w:firstLine="200"/>
        <w:rPr>
          <w:rFonts w:hint="eastAsia" w:ascii="宋体" w:hAnsi="宋体" w:eastAsia="宋体" w:cs="宋体"/>
          <w:sz w:val="24"/>
          <w:szCs w:val="24"/>
          <w:highlight w:val="none"/>
        </w:rPr>
      </w:pPr>
    </w:p>
    <w:p>
      <w:pPr>
        <w:pStyle w:val="19"/>
        <w:spacing w:line="360" w:lineRule="auto"/>
        <w:ind w:firstLine="200"/>
        <w:rPr>
          <w:rFonts w:hint="eastAsia" w:ascii="宋体" w:hAnsi="宋体" w:eastAsia="宋体" w:cs="宋体"/>
          <w:sz w:val="24"/>
          <w:szCs w:val="24"/>
          <w:highlight w:val="none"/>
        </w:rPr>
      </w:pPr>
    </w:p>
    <w:p>
      <w:pPr>
        <w:rPr>
          <w:rFonts w:hint="eastAsia" w:ascii="宋体" w:hAnsi="宋体" w:eastAsia="宋体" w:cs="宋体"/>
          <w:sz w:val="24"/>
          <w:szCs w:val="24"/>
          <w:highlight w:val="none"/>
        </w:rPr>
        <w:sectPr>
          <w:footerReference r:id="rId10" w:type="first"/>
          <w:headerReference r:id="rId7" w:type="default"/>
          <w:footerReference r:id="rId8" w:type="default"/>
          <w:footerReference r:id="rId9" w:type="even"/>
          <w:pgSz w:w="11906" w:h="16838"/>
          <w:pgMar w:top="1440" w:right="1797" w:bottom="1440" w:left="1797" w:header="851" w:footer="992" w:gutter="0"/>
          <w:cols w:space="425" w:num="1"/>
          <w:titlePg/>
          <w:docGrid w:type="linesAndChars" w:linePitch="271" w:charSpace="-2048"/>
        </w:sectPr>
      </w:pPr>
    </w:p>
    <w:bookmarkEnd w:id="123"/>
    <w:p>
      <w:pPr>
        <w:pStyle w:val="3"/>
        <w:jc w:val="center"/>
        <w:rPr>
          <w:rFonts w:hint="eastAsia" w:ascii="宋体" w:hAnsi="宋体" w:eastAsia="宋体" w:cs="宋体"/>
          <w:b/>
          <w:bCs/>
          <w:color w:val="auto"/>
          <w:sz w:val="24"/>
          <w:szCs w:val="24"/>
          <w:highlight w:val="none"/>
          <w:lang w:eastAsia="zh-CN"/>
        </w:rPr>
      </w:pPr>
      <w:bookmarkStart w:id="124" w:name="_Toc525723069"/>
      <w:bookmarkStart w:id="125" w:name="_Toc29505"/>
      <w:r>
        <w:rPr>
          <w:rFonts w:hint="eastAsia" w:ascii="宋体" w:hAnsi="宋体" w:eastAsia="宋体" w:cs="宋体"/>
          <w:b/>
          <w:bCs/>
          <w:color w:val="auto"/>
          <w:sz w:val="24"/>
          <w:szCs w:val="24"/>
          <w:highlight w:val="none"/>
          <w:lang w:eastAsia="zh-CN"/>
        </w:rPr>
        <w:t>附件</w:t>
      </w:r>
      <w:bookmarkStart w:id="126" w:name="_Toc265594655"/>
      <w:r>
        <w:rPr>
          <w:rFonts w:hint="eastAsia" w:ascii="宋体" w:hAnsi="宋体" w:eastAsia="宋体" w:cs="宋体"/>
          <w:b/>
          <w:bCs/>
          <w:color w:val="auto"/>
          <w:sz w:val="24"/>
          <w:szCs w:val="24"/>
          <w:highlight w:val="none"/>
          <w:lang w:eastAsia="zh-CN"/>
        </w:rPr>
        <w:t>七、投标偏离表</w:t>
      </w:r>
      <w:bookmarkEnd w:id="124"/>
      <w:bookmarkEnd w:id="125"/>
      <w:r>
        <w:rPr>
          <w:rFonts w:hint="eastAsia" w:ascii="宋体" w:hAnsi="宋体" w:cs="宋体"/>
          <w:b/>
          <w:bCs/>
          <w:color w:val="auto"/>
          <w:sz w:val="24"/>
          <w:szCs w:val="24"/>
          <w:highlight w:val="none"/>
          <w:lang w:eastAsia="zh-CN"/>
        </w:rPr>
        <w:t>（商务、技术）</w:t>
      </w:r>
    </w:p>
    <w:bookmarkEnd w:id="126"/>
    <w:p>
      <w:pPr>
        <w:adjustRightInd w:val="0"/>
        <w:snapToGrid w:val="0"/>
        <w:spacing w:before="100" w:beforeAutospacing="1" w:after="100" w:afterAutospacing="1" w:line="360" w:lineRule="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项目编号：</w:t>
      </w:r>
      <w:r>
        <w:rPr>
          <w:rFonts w:hint="eastAsia" w:ascii="宋体" w:hAnsi="宋体" w:eastAsia="宋体" w:cs="宋体"/>
          <w:bCs/>
          <w:sz w:val="24"/>
          <w:szCs w:val="24"/>
          <w:highlight w:val="none"/>
          <w:u w:val="single"/>
        </w:rPr>
        <w:t xml:space="preserve">      </w:t>
      </w:r>
    </w:p>
    <w:p>
      <w:pPr>
        <w:adjustRightInd w:val="0"/>
        <w:snapToGrid w:val="0"/>
        <w:spacing w:before="100" w:beforeAutospacing="1" w:after="100" w:afterAutospacing="1" w:line="360" w:lineRule="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投标人名称（盖章）：</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投标人授权代表签字：</w:t>
      </w:r>
      <w:r>
        <w:rPr>
          <w:rFonts w:hint="eastAsia" w:ascii="宋体" w:hAnsi="宋体" w:eastAsia="宋体" w:cs="宋体"/>
          <w:bCs/>
          <w:sz w:val="24"/>
          <w:szCs w:val="24"/>
          <w:highlight w:val="none"/>
          <w:u w:val="single"/>
        </w:rPr>
        <w:t xml:space="preserve">         </w:t>
      </w:r>
    </w:p>
    <w:tbl>
      <w:tblPr>
        <w:tblStyle w:val="21"/>
        <w:tblW w:w="82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1714"/>
        <w:gridCol w:w="2208"/>
        <w:gridCol w:w="1134"/>
        <w:gridCol w:w="1281"/>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jc w:val="center"/>
        </w:trPr>
        <w:tc>
          <w:tcPr>
            <w:tcW w:w="1096"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714"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招标文件要求</w:t>
            </w:r>
          </w:p>
        </w:tc>
        <w:tc>
          <w:tcPr>
            <w:tcW w:w="2208"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招标文件条款号</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投标文件响应</w:t>
            </w:r>
          </w:p>
        </w:tc>
        <w:tc>
          <w:tcPr>
            <w:tcW w:w="1281"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偏差内容</w:t>
            </w:r>
          </w:p>
        </w:tc>
        <w:tc>
          <w:tcPr>
            <w:tcW w:w="800"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096"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highlight w:val="none"/>
              </w:rPr>
            </w:pPr>
          </w:p>
        </w:tc>
        <w:tc>
          <w:tcPr>
            <w:tcW w:w="1714"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highlight w:val="none"/>
              </w:rPr>
            </w:pPr>
          </w:p>
        </w:tc>
        <w:tc>
          <w:tcPr>
            <w:tcW w:w="800"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096"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highlight w:val="none"/>
              </w:rPr>
            </w:pPr>
          </w:p>
        </w:tc>
        <w:tc>
          <w:tcPr>
            <w:tcW w:w="1714"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highlight w:val="none"/>
              </w:rPr>
            </w:pPr>
          </w:p>
        </w:tc>
        <w:tc>
          <w:tcPr>
            <w:tcW w:w="800"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1096"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highlight w:val="none"/>
              </w:rPr>
            </w:pPr>
          </w:p>
        </w:tc>
        <w:tc>
          <w:tcPr>
            <w:tcW w:w="1714"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highlight w:val="none"/>
              </w:rPr>
            </w:pPr>
          </w:p>
        </w:tc>
        <w:tc>
          <w:tcPr>
            <w:tcW w:w="800"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1096"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highlight w:val="none"/>
              </w:rPr>
            </w:pPr>
          </w:p>
        </w:tc>
        <w:tc>
          <w:tcPr>
            <w:tcW w:w="1714"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highlight w:val="none"/>
              </w:rPr>
            </w:pPr>
          </w:p>
        </w:tc>
        <w:tc>
          <w:tcPr>
            <w:tcW w:w="800"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1096"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highlight w:val="none"/>
              </w:rPr>
            </w:pPr>
          </w:p>
        </w:tc>
        <w:tc>
          <w:tcPr>
            <w:tcW w:w="1714"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highlight w:val="none"/>
              </w:rPr>
            </w:pPr>
          </w:p>
        </w:tc>
        <w:tc>
          <w:tcPr>
            <w:tcW w:w="800"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1096"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highlight w:val="none"/>
              </w:rPr>
            </w:pPr>
          </w:p>
        </w:tc>
        <w:tc>
          <w:tcPr>
            <w:tcW w:w="1714"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highlight w:val="none"/>
              </w:rPr>
            </w:pPr>
          </w:p>
        </w:tc>
        <w:tc>
          <w:tcPr>
            <w:tcW w:w="800"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1096"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highlight w:val="none"/>
              </w:rPr>
            </w:pPr>
          </w:p>
        </w:tc>
        <w:tc>
          <w:tcPr>
            <w:tcW w:w="1714"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highlight w:val="none"/>
              </w:rPr>
            </w:pPr>
          </w:p>
        </w:tc>
        <w:tc>
          <w:tcPr>
            <w:tcW w:w="800"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1096"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highlight w:val="none"/>
              </w:rPr>
            </w:pPr>
          </w:p>
        </w:tc>
        <w:tc>
          <w:tcPr>
            <w:tcW w:w="1714"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highlight w:val="none"/>
              </w:rPr>
            </w:pPr>
          </w:p>
        </w:tc>
        <w:tc>
          <w:tcPr>
            <w:tcW w:w="800" w:type="dxa"/>
            <w:tcBorders>
              <w:top w:val="single" w:color="auto" w:sz="4" w:space="0"/>
              <w:left w:val="single" w:color="auto" w:sz="4" w:space="0"/>
              <w:bottom w:val="single" w:color="auto" w:sz="4" w:space="0"/>
              <w:right w:val="single" w:color="auto" w:sz="4" w:space="0"/>
            </w:tcBorders>
            <w:vAlign w:val="center"/>
          </w:tcPr>
          <w:p>
            <w:pPr>
              <w:tabs>
                <w:tab w:val="left" w:pos="1337"/>
              </w:tabs>
              <w:adjustRightInd w:val="0"/>
              <w:snapToGrid w:val="0"/>
              <w:spacing w:before="100" w:beforeAutospacing="1" w:after="100" w:afterAutospacing="1" w:line="360" w:lineRule="auto"/>
              <w:jc w:val="center"/>
              <w:rPr>
                <w:rFonts w:hint="eastAsia" w:ascii="宋体" w:hAnsi="宋体" w:eastAsia="宋体" w:cs="宋体"/>
                <w:sz w:val="24"/>
                <w:szCs w:val="24"/>
                <w:highlight w:val="none"/>
              </w:rPr>
            </w:pPr>
          </w:p>
        </w:tc>
      </w:tr>
    </w:tbl>
    <w:p>
      <w:pPr>
        <w:adjustRightInd w:val="0"/>
        <w:snapToGrid w:val="0"/>
        <w:spacing w:before="100" w:beforeAutospacing="1" w:after="100" w:afterAutospacing="1" w:line="360" w:lineRule="auto"/>
        <w:jc w:val="right"/>
        <w:rPr>
          <w:rFonts w:hint="eastAsia" w:ascii="宋体" w:hAnsi="宋体" w:eastAsia="宋体" w:cs="宋体"/>
          <w:bCs/>
          <w:sz w:val="24"/>
          <w:szCs w:val="24"/>
          <w:highlight w:val="none"/>
        </w:rPr>
      </w:pPr>
      <w:r>
        <w:rPr>
          <w:rFonts w:hint="eastAsia" w:ascii="宋体" w:hAnsi="宋体" w:eastAsia="宋体" w:cs="宋体"/>
          <w:bCs/>
          <w:sz w:val="24"/>
          <w:szCs w:val="24"/>
          <w:highlight w:val="none"/>
        </w:rPr>
        <w:t>年   月   日</w:t>
      </w:r>
    </w:p>
    <w:p>
      <w:pPr>
        <w:adjustRightInd w:val="0"/>
        <w:snapToGrid w:val="0"/>
        <w:spacing w:before="100" w:beforeAutospacing="1" w:after="100" w:afterAutospacing="1"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如投标人提交的响应文件与招标文件的要求存在偏离，需逐项填写《投标偏离表》；如无偏离，可不填此表。</w:t>
      </w:r>
    </w:p>
    <w:p>
      <w:pPr>
        <w:adjustRightInd w:val="0"/>
        <w:snapToGrid w:val="0"/>
        <w:spacing w:before="100" w:beforeAutospacing="1" w:after="100" w:afterAutospacing="1" w:line="360" w:lineRule="auto"/>
        <w:rPr>
          <w:rFonts w:hint="eastAsia" w:ascii="宋体" w:hAnsi="宋体" w:eastAsia="宋体" w:cs="宋体"/>
          <w:b/>
          <w:sz w:val="24"/>
          <w:szCs w:val="24"/>
          <w:highlight w:val="none"/>
        </w:rPr>
      </w:pPr>
    </w:p>
    <w:p>
      <w:pPr>
        <w:pStyle w:val="8"/>
        <w:spacing w:line="360" w:lineRule="auto"/>
        <w:ind w:right="270" w:rightChars="135"/>
        <w:rPr>
          <w:rFonts w:hint="eastAsia" w:ascii="宋体" w:hAnsi="宋体" w:eastAsia="宋体" w:cs="宋体"/>
          <w:b/>
          <w:sz w:val="24"/>
          <w:szCs w:val="24"/>
          <w:highlight w:val="none"/>
        </w:rPr>
      </w:pPr>
    </w:p>
    <w:p>
      <w:pPr>
        <w:pStyle w:val="3"/>
        <w:jc w:val="center"/>
        <w:rPr>
          <w:rFonts w:hint="eastAsia" w:ascii="宋体" w:hAnsi="宋体" w:eastAsia="宋体" w:cs="宋体"/>
          <w:sz w:val="24"/>
          <w:szCs w:val="24"/>
          <w:highlight w:val="none"/>
        </w:rPr>
      </w:pPr>
      <w:bookmarkStart w:id="127" w:name="_Toc525723070"/>
      <w:bookmarkStart w:id="128" w:name="_Toc26431"/>
      <w:r>
        <w:rPr>
          <w:rFonts w:hint="eastAsia" w:ascii="宋体" w:hAnsi="宋体" w:eastAsia="宋体" w:cs="宋体"/>
          <w:sz w:val="24"/>
          <w:szCs w:val="24"/>
          <w:highlight w:val="none"/>
        </w:rPr>
        <w:t>附件</w:t>
      </w:r>
      <w:r>
        <w:rPr>
          <w:rFonts w:hint="eastAsia" w:ascii="宋体" w:hAnsi="宋体" w:eastAsia="宋体" w:cs="宋体"/>
          <w:sz w:val="24"/>
          <w:szCs w:val="24"/>
          <w:highlight w:val="none"/>
          <w:lang w:eastAsia="zh-CN"/>
        </w:rPr>
        <w:t>八</w:t>
      </w:r>
      <w:r>
        <w:rPr>
          <w:rFonts w:hint="eastAsia" w:ascii="宋体" w:hAnsi="宋体" w:eastAsia="宋体" w:cs="宋体"/>
          <w:sz w:val="24"/>
          <w:szCs w:val="24"/>
          <w:highlight w:val="none"/>
        </w:rPr>
        <w:t>、拟投入本项目的人员表（格式）</w:t>
      </w:r>
      <w:bookmarkEnd w:id="127"/>
      <w:bookmarkEnd w:id="128"/>
    </w:p>
    <w:p>
      <w:pPr>
        <w:pStyle w:val="8"/>
        <w:spacing w:line="360" w:lineRule="auto"/>
        <w:ind w:right="270" w:rightChars="135"/>
        <w:rPr>
          <w:rFonts w:hint="eastAsia" w:ascii="宋体" w:hAnsi="宋体" w:eastAsia="宋体" w:cs="宋体"/>
          <w:b/>
          <w:sz w:val="24"/>
          <w:szCs w:val="24"/>
          <w:highlight w:val="none"/>
        </w:rPr>
      </w:pPr>
      <w:r>
        <w:rPr>
          <w:rFonts w:hint="eastAsia" w:ascii="宋体" w:hAnsi="宋体" w:eastAsia="宋体" w:cs="宋体"/>
          <w:b/>
          <w:sz w:val="24"/>
          <w:szCs w:val="24"/>
          <w:highlight w:val="none"/>
        </w:rPr>
        <w:t>单位名称（章）：                                  填报时间： 年 月 日</w:t>
      </w:r>
    </w:p>
    <w:tbl>
      <w:tblPr>
        <w:tblStyle w:val="21"/>
        <w:tblW w:w="95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833"/>
        <w:gridCol w:w="832"/>
        <w:gridCol w:w="833"/>
        <w:gridCol w:w="833"/>
        <w:gridCol w:w="735"/>
        <w:gridCol w:w="1365"/>
        <w:gridCol w:w="1365"/>
        <w:gridCol w:w="1365"/>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8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 名</w:t>
            </w:r>
          </w:p>
        </w:tc>
        <w:tc>
          <w:tcPr>
            <w:tcW w:w="8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身份证号</w:t>
            </w:r>
          </w:p>
        </w:tc>
        <w:tc>
          <w:tcPr>
            <w:tcW w:w="8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学 历</w:t>
            </w:r>
          </w:p>
        </w:tc>
        <w:tc>
          <w:tcPr>
            <w:tcW w:w="8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专 业</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 称</w:t>
            </w: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执业资格/资格证书</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证书号及注册单位</w:t>
            </w: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从事工作年限</w:t>
            </w:r>
          </w:p>
        </w:tc>
        <w:tc>
          <w:tcPr>
            <w:tcW w:w="71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65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83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73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71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65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83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73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71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65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83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73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71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65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83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73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71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65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83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73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71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65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83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73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71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65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83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73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71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65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83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73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71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65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83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73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71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65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83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73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71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65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83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73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71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65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83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73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c>
          <w:tcPr>
            <w:tcW w:w="71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szCs w:val="24"/>
                <w:highlight w:val="none"/>
              </w:rPr>
            </w:pPr>
          </w:p>
        </w:tc>
      </w:tr>
    </w:tbl>
    <w:p>
      <w:pPr>
        <w:pStyle w:val="8"/>
        <w:spacing w:line="360" w:lineRule="auto"/>
        <w:ind w:right="270" w:rightChars="135"/>
        <w:rPr>
          <w:rFonts w:hint="eastAsia" w:ascii="宋体" w:hAnsi="宋体" w:eastAsia="宋体" w:cs="宋体"/>
          <w:b/>
          <w:sz w:val="24"/>
          <w:szCs w:val="24"/>
          <w:highlight w:val="none"/>
        </w:rPr>
      </w:pPr>
    </w:p>
    <w:p>
      <w:pPr>
        <w:pStyle w:val="8"/>
        <w:spacing w:line="360" w:lineRule="auto"/>
        <w:ind w:right="270" w:rightChars="135"/>
        <w:rPr>
          <w:rFonts w:hint="eastAsia" w:ascii="宋体" w:hAnsi="宋体" w:eastAsia="宋体" w:cs="宋体"/>
          <w:b/>
          <w:sz w:val="24"/>
          <w:szCs w:val="24"/>
          <w:highlight w:val="none"/>
        </w:rPr>
      </w:pPr>
      <w:r>
        <w:rPr>
          <w:rFonts w:hint="eastAsia" w:ascii="宋体" w:hAnsi="宋体" w:eastAsia="宋体" w:cs="宋体"/>
          <w:b/>
          <w:sz w:val="24"/>
          <w:szCs w:val="24"/>
          <w:highlight w:val="none"/>
        </w:rPr>
        <w:t>后附：劳动合同及行业主管部门核发的从业证书复印件（加盖公章），原件携带备查。</w:t>
      </w:r>
    </w:p>
    <w:p>
      <w:pPr>
        <w:pStyle w:val="8"/>
        <w:spacing w:line="360" w:lineRule="auto"/>
        <w:ind w:right="270" w:rightChars="135"/>
        <w:jc w:val="center"/>
        <w:outlineLvl w:val="0"/>
        <w:rPr>
          <w:rFonts w:hint="eastAsia" w:ascii="宋体" w:hAnsi="宋体" w:eastAsia="宋体" w:cs="宋体"/>
          <w:b/>
          <w:sz w:val="24"/>
          <w:szCs w:val="24"/>
          <w:highlight w:val="none"/>
        </w:rPr>
      </w:pPr>
    </w:p>
    <w:p>
      <w:pPr>
        <w:pStyle w:val="8"/>
        <w:spacing w:line="360" w:lineRule="auto"/>
        <w:ind w:right="270" w:rightChars="135"/>
        <w:jc w:val="center"/>
        <w:outlineLvl w:val="0"/>
        <w:rPr>
          <w:rFonts w:hint="eastAsia" w:ascii="宋体" w:hAnsi="宋体" w:eastAsia="宋体" w:cs="宋体"/>
          <w:b/>
          <w:sz w:val="24"/>
          <w:szCs w:val="24"/>
          <w:highlight w:val="none"/>
        </w:rPr>
      </w:pPr>
    </w:p>
    <w:p>
      <w:pPr>
        <w:pStyle w:val="8"/>
        <w:spacing w:line="360" w:lineRule="auto"/>
        <w:ind w:right="270" w:rightChars="135"/>
        <w:jc w:val="center"/>
        <w:outlineLvl w:val="0"/>
        <w:rPr>
          <w:rFonts w:hint="eastAsia" w:ascii="宋体" w:hAnsi="宋体" w:eastAsia="宋体" w:cs="宋体"/>
          <w:b/>
          <w:sz w:val="24"/>
          <w:szCs w:val="24"/>
          <w:highlight w:val="none"/>
        </w:rPr>
      </w:pPr>
    </w:p>
    <w:p>
      <w:pPr>
        <w:pStyle w:val="8"/>
        <w:spacing w:line="360" w:lineRule="auto"/>
        <w:ind w:right="270" w:rightChars="135"/>
        <w:jc w:val="both"/>
        <w:outlineLvl w:val="0"/>
        <w:rPr>
          <w:rFonts w:hint="eastAsia" w:ascii="宋体" w:hAnsi="宋体" w:eastAsia="宋体" w:cs="宋体"/>
          <w:b/>
          <w:sz w:val="24"/>
          <w:szCs w:val="24"/>
          <w:highlight w:val="none"/>
        </w:rPr>
      </w:pPr>
      <w:bookmarkStart w:id="129" w:name="_Toc489453766"/>
    </w:p>
    <w:bookmarkEnd w:id="129"/>
    <w:p>
      <w:pPr>
        <w:spacing w:line="360" w:lineRule="auto"/>
        <w:rPr>
          <w:rFonts w:hint="eastAsia" w:ascii="宋体" w:hAnsi="宋体" w:eastAsia="宋体" w:cs="宋体"/>
          <w:sz w:val="24"/>
          <w:szCs w:val="24"/>
          <w:highlight w:val="none"/>
        </w:rPr>
      </w:pPr>
    </w:p>
    <w:p>
      <w:pPr>
        <w:pStyle w:val="3"/>
        <w:jc w:val="center"/>
        <w:rPr>
          <w:rFonts w:hint="eastAsia" w:ascii="宋体" w:hAnsi="宋体" w:eastAsia="宋体" w:cs="宋体"/>
          <w:sz w:val="24"/>
          <w:szCs w:val="24"/>
          <w:highlight w:val="none"/>
        </w:rPr>
      </w:pPr>
      <w:bookmarkStart w:id="130" w:name="_Toc31167"/>
      <w:r>
        <w:rPr>
          <w:rFonts w:hint="eastAsia" w:ascii="宋体" w:hAnsi="宋体" w:eastAsia="宋体" w:cs="宋体"/>
          <w:sz w:val="24"/>
          <w:szCs w:val="24"/>
          <w:highlight w:val="none"/>
        </w:rPr>
        <w:t>附件</w:t>
      </w:r>
      <w:r>
        <w:rPr>
          <w:rFonts w:hint="eastAsia" w:ascii="宋体" w:hAnsi="宋体" w:eastAsia="宋体" w:cs="宋体"/>
          <w:sz w:val="24"/>
          <w:szCs w:val="24"/>
          <w:highlight w:val="none"/>
          <w:lang w:eastAsia="zh-CN"/>
        </w:rPr>
        <w:t>九</w:t>
      </w:r>
      <w:r>
        <w:rPr>
          <w:rFonts w:hint="eastAsia" w:ascii="宋体" w:hAnsi="宋体" w:eastAsia="宋体" w:cs="宋体"/>
          <w:sz w:val="24"/>
          <w:szCs w:val="24"/>
          <w:highlight w:val="none"/>
        </w:rPr>
        <w:t>、拟配备设备及物资一览表</w:t>
      </w:r>
      <w:bookmarkEnd w:id="130"/>
    </w:p>
    <w:tbl>
      <w:tblPr>
        <w:tblStyle w:val="21"/>
        <w:tblpPr w:leftFromText="180" w:rightFromText="180" w:vertAnchor="text" w:horzAnchor="page" w:tblpX="1659" w:tblpY="57"/>
        <w:tblOverlap w:val="never"/>
        <w:tblW w:w="9284" w:type="dxa"/>
        <w:tblInd w:w="0" w:type="dxa"/>
        <w:tblLayout w:type="fixed"/>
        <w:tblCellMar>
          <w:top w:w="0" w:type="dxa"/>
          <w:left w:w="108" w:type="dxa"/>
          <w:bottom w:w="0" w:type="dxa"/>
          <w:right w:w="108" w:type="dxa"/>
        </w:tblCellMar>
      </w:tblPr>
      <w:tblGrid>
        <w:gridCol w:w="1037"/>
        <w:gridCol w:w="2113"/>
        <w:gridCol w:w="1298"/>
        <w:gridCol w:w="1559"/>
        <w:gridCol w:w="1984"/>
        <w:gridCol w:w="1293"/>
      </w:tblGrid>
      <w:tr>
        <w:tblPrEx>
          <w:tblLayout w:type="fixed"/>
          <w:tblCellMar>
            <w:top w:w="0" w:type="dxa"/>
            <w:left w:w="108" w:type="dxa"/>
            <w:bottom w:w="0" w:type="dxa"/>
            <w:right w:w="108" w:type="dxa"/>
          </w:tblCellMar>
        </w:tblPrEx>
        <w:trPr>
          <w:trHeight w:val="567" w:hRule="atLeast"/>
        </w:trPr>
        <w:tc>
          <w:tcPr>
            <w:tcW w:w="10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序号</w:t>
            </w:r>
          </w:p>
        </w:tc>
        <w:tc>
          <w:tcPr>
            <w:tcW w:w="211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设施、设备名称</w:t>
            </w:r>
          </w:p>
        </w:tc>
        <w:tc>
          <w:tcPr>
            <w:tcW w:w="129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数量</w:t>
            </w: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型号</w:t>
            </w:r>
          </w:p>
        </w:tc>
        <w:tc>
          <w:tcPr>
            <w:tcW w:w="19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产地</w:t>
            </w:r>
          </w:p>
        </w:tc>
        <w:tc>
          <w:tcPr>
            <w:tcW w:w="12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备注</w:t>
            </w:r>
          </w:p>
        </w:tc>
      </w:tr>
      <w:tr>
        <w:tblPrEx>
          <w:tblLayout w:type="fixed"/>
          <w:tblCellMar>
            <w:top w:w="0" w:type="dxa"/>
            <w:left w:w="108" w:type="dxa"/>
            <w:bottom w:w="0" w:type="dxa"/>
            <w:right w:w="108" w:type="dxa"/>
          </w:tblCellMar>
        </w:tblPrEx>
        <w:trPr>
          <w:trHeight w:val="567" w:hRule="atLeast"/>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center"/>
              <w:rPr>
                <w:rFonts w:hint="eastAsia" w:ascii="宋体" w:hAnsi="宋体" w:eastAsia="宋体" w:cs="宋体"/>
                <w:kern w:val="0"/>
                <w:sz w:val="24"/>
                <w:szCs w:val="24"/>
                <w:highlight w:val="none"/>
                <w:lang w:val="zh-CN"/>
              </w:rPr>
            </w:pPr>
          </w:p>
        </w:tc>
        <w:tc>
          <w:tcPr>
            <w:tcW w:w="211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center"/>
              <w:rPr>
                <w:rFonts w:hint="eastAsia" w:ascii="宋体" w:hAnsi="宋体" w:eastAsia="宋体" w:cs="宋体"/>
                <w:kern w:val="0"/>
                <w:sz w:val="24"/>
                <w:szCs w:val="24"/>
                <w:highlight w:val="none"/>
                <w:lang w:val="zh-CN"/>
              </w:rPr>
            </w:pPr>
          </w:p>
        </w:tc>
        <w:tc>
          <w:tcPr>
            <w:tcW w:w="129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center"/>
              <w:rPr>
                <w:rFonts w:hint="eastAsia" w:ascii="宋体" w:hAnsi="宋体" w:eastAsia="宋体" w:cs="宋体"/>
                <w:kern w:val="0"/>
                <w:sz w:val="24"/>
                <w:szCs w:val="24"/>
                <w:highlight w:val="none"/>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center"/>
              <w:rPr>
                <w:rFonts w:hint="eastAsia" w:ascii="宋体" w:hAnsi="宋体" w:eastAsia="宋体" w:cs="宋体"/>
                <w:kern w:val="0"/>
                <w:sz w:val="24"/>
                <w:szCs w:val="24"/>
                <w:highlight w:val="none"/>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center"/>
              <w:rPr>
                <w:rFonts w:hint="eastAsia" w:ascii="宋体" w:hAnsi="宋体" w:eastAsia="宋体" w:cs="宋体"/>
                <w:kern w:val="0"/>
                <w:sz w:val="24"/>
                <w:szCs w:val="24"/>
                <w:highlight w:val="none"/>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center"/>
              <w:rPr>
                <w:rFonts w:hint="eastAsia" w:ascii="宋体" w:hAnsi="宋体" w:eastAsia="宋体" w:cs="宋体"/>
                <w:kern w:val="0"/>
                <w:sz w:val="24"/>
                <w:szCs w:val="24"/>
                <w:highlight w:val="none"/>
                <w:lang w:val="zh-CN"/>
              </w:rPr>
            </w:pPr>
          </w:p>
        </w:tc>
      </w:tr>
      <w:tr>
        <w:tblPrEx>
          <w:tblLayout w:type="fixed"/>
          <w:tblCellMar>
            <w:top w:w="0" w:type="dxa"/>
            <w:left w:w="108" w:type="dxa"/>
            <w:bottom w:w="0" w:type="dxa"/>
            <w:right w:w="108" w:type="dxa"/>
          </w:tblCellMar>
        </w:tblPrEx>
        <w:trPr>
          <w:trHeight w:val="567" w:hRule="atLeast"/>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highlight w:val="none"/>
                <w:lang w:val="zh-CN"/>
              </w:rPr>
            </w:pPr>
          </w:p>
        </w:tc>
        <w:tc>
          <w:tcPr>
            <w:tcW w:w="211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highlight w:val="none"/>
                <w:lang w:val="zh-CN"/>
              </w:rPr>
            </w:pPr>
          </w:p>
        </w:tc>
        <w:tc>
          <w:tcPr>
            <w:tcW w:w="129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highlight w:val="none"/>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highlight w:val="none"/>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highlight w:val="none"/>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highlight w:val="none"/>
                <w:lang w:val="zh-CN"/>
              </w:rPr>
            </w:pPr>
          </w:p>
        </w:tc>
      </w:tr>
      <w:tr>
        <w:tblPrEx>
          <w:tblLayout w:type="fixed"/>
          <w:tblCellMar>
            <w:top w:w="0" w:type="dxa"/>
            <w:left w:w="108" w:type="dxa"/>
            <w:bottom w:w="0" w:type="dxa"/>
            <w:right w:w="108" w:type="dxa"/>
          </w:tblCellMar>
        </w:tblPrEx>
        <w:trPr>
          <w:trHeight w:val="567" w:hRule="atLeast"/>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highlight w:val="none"/>
                <w:lang w:val="zh-CN"/>
              </w:rPr>
            </w:pPr>
          </w:p>
        </w:tc>
        <w:tc>
          <w:tcPr>
            <w:tcW w:w="211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highlight w:val="none"/>
                <w:lang w:val="zh-CN"/>
              </w:rPr>
            </w:pPr>
          </w:p>
        </w:tc>
        <w:tc>
          <w:tcPr>
            <w:tcW w:w="129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highlight w:val="none"/>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highlight w:val="none"/>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highlight w:val="none"/>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highlight w:val="none"/>
                <w:lang w:val="zh-CN"/>
              </w:rPr>
            </w:pPr>
          </w:p>
        </w:tc>
      </w:tr>
      <w:tr>
        <w:tblPrEx>
          <w:tblLayout w:type="fixed"/>
          <w:tblCellMar>
            <w:top w:w="0" w:type="dxa"/>
            <w:left w:w="108" w:type="dxa"/>
            <w:bottom w:w="0" w:type="dxa"/>
            <w:right w:w="108" w:type="dxa"/>
          </w:tblCellMar>
        </w:tblPrEx>
        <w:trPr>
          <w:trHeight w:val="567" w:hRule="atLeast"/>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highlight w:val="none"/>
                <w:lang w:val="zh-CN"/>
              </w:rPr>
            </w:pPr>
          </w:p>
        </w:tc>
        <w:tc>
          <w:tcPr>
            <w:tcW w:w="211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highlight w:val="none"/>
                <w:lang w:val="zh-CN"/>
              </w:rPr>
            </w:pPr>
          </w:p>
        </w:tc>
        <w:tc>
          <w:tcPr>
            <w:tcW w:w="129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highlight w:val="none"/>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highlight w:val="none"/>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highlight w:val="none"/>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highlight w:val="none"/>
                <w:lang w:val="zh-CN"/>
              </w:rPr>
            </w:pPr>
          </w:p>
        </w:tc>
      </w:tr>
      <w:tr>
        <w:tblPrEx>
          <w:tblLayout w:type="fixed"/>
          <w:tblCellMar>
            <w:top w:w="0" w:type="dxa"/>
            <w:left w:w="108" w:type="dxa"/>
            <w:bottom w:w="0" w:type="dxa"/>
            <w:right w:w="108" w:type="dxa"/>
          </w:tblCellMar>
        </w:tblPrEx>
        <w:trPr>
          <w:trHeight w:val="567" w:hRule="atLeast"/>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highlight w:val="none"/>
                <w:lang w:val="zh-CN"/>
              </w:rPr>
            </w:pPr>
          </w:p>
        </w:tc>
        <w:tc>
          <w:tcPr>
            <w:tcW w:w="211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highlight w:val="none"/>
                <w:lang w:val="zh-CN"/>
              </w:rPr>
            </w:pPr>
          </w:p>
        </w:tc>
        <w:tc>
          <w:tcPr>
            <w:tcW w:w="129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highlight w:val="none"/>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highlight w:val="none"/>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highlight w:val="none"/>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highlight w:val="none"/>
                <w:lang w:val="zh-CN"/>
              </w:rPr>
            </w:pPr>
          </w:p>
        </w:tc>
      </w:tr>
      <w:tr>
        <w:tblPrEx>
          <w:tblLayout w:type="fixed"/>
          <w:tblCellMar>
            <w:top w:w="0" w:type="dxa"/>
            <w:left w:w="108" w:type="dxa"/>
            <w:bottom w:w="0" w:type="dxa"/>
            <w:right w:w="108" w:type="dxa"/>
          </w:tblCellMar>
        </w:tblPrEx>
        <w:trPr>
          <w:trHeight w:val="567" w:hRule="atLeast"/>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highlight w:val="none"/>
                <w:lang w:val="zh-CN"/>
              </w:rPr>
            </w:pPr>
          </w:p>
        </w:tc>
        <w:tc>
          <w:tcPr>
            <w:tcW w:w="211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highlight w:val="none"/>
                <w:lang w:val="zh-CN"/>
              </w:rPr>
            </w:pPr>
          </w:p>
        </w:tc>
        <w:tc>
          <w:tcPr>
            <w:tcW w:w="129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highlight w:val="none"/>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highlight w:val="none"/>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highlight w:val="none"/>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highlight w:val="none"/>
                <w:lang w:val="zh-CN"/>
              </w:rPr>
            </w:pPr>
          </w:p>
        </w:tc>
      </w:tr>
      <w:tr>
        <w:tblPrEx>
          <w:tblLayout w:type="fixed"/>
          <w:tblCellMar>
            <w:top w:w="0" w:type="dxa"/>
            <w:left w:w="108" w:type="dxa"/>
            <w:bottom w:w="0" w:type="dxa"/>
            <w:right w:w="108" w:type="dxa"/>
          </w:tblCellMar>
        </w:tblPrEx>
        <w:trPr>
          <w:trHeight w:val="567" w:hRule="atLeast"/>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highlight w:val="none"/>
                <w:lang w:val="zh-CN"/>
              </w:rPr>
            </w:pPr>
          </w:p>
        </w:tc>
        <w:tc>
          <w:tcPr>
            <w:tcW w:w="211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highlight w:val="none"/>
                <w:lang w:val="zh-CN"/>
              </w:rPr>
            </w:pPr>
          </w:p>
        </w:tc>
        <w:tc>
          <w:tcPr>
            <w:tcW w:w="129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highlight w:val="none"/>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highlight w:val="none"/>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highlight w:val="none"/>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highlight w:val="none"/>
                <w:lang w:val="zh-CN"/>
              </w:rPr>
            </w:pPr>
          </w:p>
        </w:tc>
      </w:tr>
      <w:tr>
        <w:tblPrEx>
          <w:tblLayout w:type="fixed"/>
          <w:tblCellMar>
            <w:top w:w="0" w:type="dxa"/>
            <w:left w:w="108" w:type="dxa"/>
            <w:bottom w:w="0" w:type="dxa"/>
            <w:right w:w="108" w:type="dxa"/>
          </w:tblCellMar>
        </w:tblPrEx>
        <w:trPr>
          <w:trHeight w:val="567" w:hRule="atLeast"/>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highlight w:val="none"/>
                <w:lang w:val="zh-CN"/>
              </w:rPr>
            </w:pPr>
          </w:p>
        </w:tc>
        <w:tc>
          <w:tcPr>
            <w:tcW w:w="211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highlight w:val="none"/>
                <w:lang w:val="zh-CN"/>
              </w:rPr>
            </w:pPr>
          </w:p>
        </w:tc>
        <w:tc>
          <w:tcPr>
            <w:tcW w:w="129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highlight w:val="none"/>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highlight w:val="none"/>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highlight w:val="none"/>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highlight w:val="none"/>
                <w:lang w:val="zh-CN"/>
              </w:rPr>
            </w:pPr>
          </w:p>
        </w:tc>
      </w:tr>
      <w:tr>
        <w:tblPrEx>
          <w:tblLayout w:type="fixed"/>
          <w:tblCellMar>
            <w:top w:w="0" w:type="dxa"/>
            <w:left w:w="108" w:type="dxa"/>
            <w:bottom w:w="0" w:type="dxa"/>
            <w:right w:w="108" w:type="dxa"/>
          </w:tblCellMar>
        </w:tblPrEx>
        <w:trPr>
          <w:trHeight w:val="567" w:hRule="atLeast"/>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highlight w:val="none"/>
                <w:lang w:val="zh-CN"/>
              </w:rPr>
            </w:pPr>
          </w:p>
        </w:tc>
        <w:tc>
          <w:tcPr>
            <w:tcW w:w="211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highlight w:val="none"/>
                <w:lang w:val="zh-CN"/>
              </w:rPr>
            </w:pPr>
          </w:p>
        </w:tc>
        <w:tc>
          <w:tcPr>
            <w:tcW w:w="129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highlight w:val="none"/>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highlight w:val="none"/>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highlight w:val="none"/>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hint="eastAsia" w:ascii="宋体" w:hAnsi="宋体" w:eastAsia="宋体" w:cs="宋体"/>
                <w:kern w:val="0"/>
                <w:sz w:val="24"/>
                <w:szCs w:val="24"/>
                <w:highlight w:val="none"/>
                <w:lang w:val="zh-CN"/>
              </w:rPr>
            </w:pPr>
          </w:p>
        </w:tc>
      </w:tr>
    </w:tbl>
    <w:p>
      <w:pPr>
        <w:autoSpaceDE w:val="0"/>
        <w:autoSpaceDN w:val="0"/>
        <w:spacing w:line="360" w:lineRule="auto"/>
        <w:rPr>
          <w:rFonts w:hint="eastAsia" w:ascii="宋体" w:hAnsi="宋体" w:eastAsia="宋体" w:cs="宋体"/>
          <w:kern w:val="0"/>
          <w:sz w:val="24"/>
          <w:szCs w:val="24"/>
          <w:highlight w:val="none"/>
          <w:lang w:val="zh-CN"/>
        </w:rPr>
      </w:pPr>
    </w:p>
    <w:p>
      <w:pPr>
        <w:autoSpaceDE w:val="0"/>
        <w:autoSpaceDN w:val="0"/>
        <w:spacing w:line="360" w:lineRule="auto"/>
        <w:rPr>
          <w:rFonts w:hint="eastAsia" w:ascii="宋体" w:hAnsi="宋体" w:eastAsia="宋体" w:cs="宋体"/>
          <w:kern w:val="0"/>
          <w:sz w:val="24"/>
          <w:szCs w:val="24"/>
          <w:highlight w:val="none"/>
          <w:lang w:val="zh-CN"/>
        </w:rPr>
      </w:pPr>
    </w:p>
    <w:p>
      <w:pPr>
        <w:autoSpaceDE w:val="0"/>
        <w:autoSpaceDN w:val="0"/>
        <w:spacing w:line="360" w:lineRule="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投标人名称（公章）：</w:t>
      </w:r>
    </w:p>
    <w:p>
      <w:pPr>
        <w:autoSpaceDE w:val="0"/>
        <w:autoSpaceDN w:val="0"/>
        <w:spacing w:line="360" w:lineRule="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法定代表人或其授权代表（签字）： </w:t>
      </w:r>
    </w:p>
    <w:p>
      <w:pPr>
        <w:autoSpaceDE w:val="0"/>
        <w:autoSpaceDN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日期：</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lang w:val="zh-CN"/>
        </w:rPr>
        <w:t>年</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lang w:val="zh-CN"/>
        </w:rPr>
        <w:t xml:space="preserve"> 月</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lang w:val="zh-CN"/>
        </w:rPr>
        <w:t>日</w:t>
      </w:r>
      <w:r>
        <w:rPr>
          <w:rFonts w:hint="eastAsia" w:ascii="宋体" w:hAnsi="宋体" w:eastAsia="宋体" w:cs="宋体"/>
          <w:kern w:val="0"/>
          <w:sz w:val="24"/>
          <w:szCs w:val="24"/>
          <w:highlight w:val="none"/>
        </w:rPr>
        <w:t xml:space="preserve"> </w:t>
      </w:r>
    </w:p>
    <w:p>
      <w:pPr>
        <w:pStyle w:val="8"/>
        <w:spacing w:line="360" w:lineRule="auto"/>
        <w:ind w:right="270" w:rightChars="135"/>
        <w:rPr>
          <w:rFonts w:hint="eastAsia" w:ascii="宋体" w:hAnsi="宋体" w:eastAsia="宋体" w:cs="宋体"/>
          <w:b/>
          <w:sz w:val="24"/>
          <w:szCs w:val="24"/>
          <w:highlight w:val="none"/>
        </w:rPr>
      </w:pPr>
    </w:p>
    <w:p>
      <w:pPr>
        <w:pStyle w:val="8"/>
        <w:spacing w:line="360" w:lineRule="auto"/>
        <w:ind w:right="270" w:rightChars="135"/>
        <w:rPr>
          <w:rFonts w:hint="eastAsia" w:ascii="宋体" w:hAnsi="宋体" w:eastAsia="宋体" w:cs="宋体"/>
          <w:b/>
          <w:sz w:val="24"/>
          <w:szCs w:val="24"/>
          <w:highlight w:val="none"/>
        </w:rPr>
      </w:pPr>
    </w:p>
    <w:p>
      <w:pPr>
        <w:pStyle w:val="8"/>
        <w:spacing w:line="360" w:lineRule="auto"/>
        <w:ind w:right="270" w:rightChars="135"/>
        <w:rPr>
          <w:rFonts w:hint="eastAsia" w:ascii="宋体" w:hAnsi="宋体" w:eastAsia="宋体" w:cs="宋体"/>
          <w:b/>
          <w:sz w:val="24"/>
          <w:szCs w:val="24"/>
          <w:highlight w:val="none"/>
        </w:rPr>
      </w:pPr>
    </w:p>
    <w:p>
      <w:pPr>
        <w:pStyle w:val="8"/>
        <w:spacing w:line="360" w:lineRule="auto"/>
        <w:ind w:right="270" w:rightChars="135"/>
        <w:rPr>
          <w:rFonts w:hint="eastAsia" w:ascii="宋体" w:hAnsi="宋体" w:eastAsia="宋体" w:cs="宋体"/>
          <w:b/>
          <w:sz w:val="24"/>
          <w:szCs w:val="24"/>
          <w:highlight w:val="none"/>
        </w:rPr>
      </w:pPr>
    </w:p>
    <w:p>
      <w:pPr>
        <w:pStyle w:val="8"/>
        <w:spacing w:line="360" w:lineRule="auto"/>
        <w:ind w:right="270" w:rightChars="135"/>
        <w:rPr>
          <w:rFonts w:hint="eastAsia" w:ascii="宋体" w:hAnsi="宋体" w:eastAsia="宋体" w:cs="宋体"/>
          <w:b/>
          <w:sz w:val="24"/>
          <w:szCs w:val="24"/>
          <w:highlight w:val="none"/>
        </w:rPr>
      </w:pPr>
    </w:p>
    <w:p>
      <w:pPr>
        <w:pStyle w:val="8"/>
        <w:spacing w:line="360" w:lineRule="auto"/>
        <w:ind w:right="270" w:rightChars="135"/>
        <w:rPr>
          <w:rFonts w:hint="eastAsia" w:ascii="宋体" w:hAnsi="宋体" w:eastAsia="宋体" w:cs="宋体"/>
          <w:b/>
          <w:sz w:val="24"/>
          <w:szCs w:val="24"/>
          <w:highlight w:val="none"/>
        </w:rPr>
      </w:pPr>
    </w:p>
    <w:p>
      <w:pPr>
        <w:pStyle w:val="8"/>
        <w:spacing w:line="360" w:lineRule="auto"/>
        <w:ind w:right="270" w:rightChars="135"/>
        <w:jc w:val="center"/>
        <w:outlineLvl w:val="0"/>
        <w:rPr>
          <w:rFonts w:hint="eastAsia" w:ascii="宋体" w:hAnsi="宋体" w:eastAsia="宋体" w:cs="宋体"/>
          <w:b/>
          <w:sz w:val="24"/>
          <w:szCs w:val="24"/>
          <w:highlight w:val="none"/>
        </w:rPr>
      </w:pPr>
      <w:bookmarkStart w:id="131" w:name="_Toc265594657"/>
      <w:bookmarkStart w:id="132" w:name="_Toc525723072"/>
    </w:p>
    <w:p>
      <w:pPr>
        <w:pStyle w:val="8"/>
        <w:spacing w:line="360" w:lineRule="auto"/>
        <w:ind w:right="270" w:rightChars="135"/>
        <w:jc w:val="center"/>
        <w:outlineLvl w:val="0"/>
        <w:rPr>
          <w:rFonts w:hint="eastAsia" w:ascii="宋体" w:hAnsi="宋体" w:eastAsia="宋体" w:cs="宋体"/>
          <w:b/>
          <w:sz w:val="24"/>
          <w:szCs w:val="24"/>
          <w:highlight w:val="none"/>
        </w:rPr>
      </w:pPr>
    </w:p>
    <w:p>
      <w:pPr>
        <w:pStyle w:val="3"/>
        <w:jc w:val="center"/>
        <w:rPr>
          <w:rFonts w:hint="eastAsia" w:ascii="宋体" w:hAnsi="宋体" w:eastAsia="宋体" w:cs="宋体"/>
          <w:b/>
          <w:sz w:val="24"/>
          <w:szCs w:val="24"/>
          <w:highlight w:val="none"/>
        </w:rPr>
      </w:pPr>
      <w:bookmarkStart w:id="133" w:name="_Toc4868"/>
      <w:r>
        <w:rPr>
          <w:rFonts w:hint="eastAsia" w:ascii="宋体" w:hAnsi="宋体" w:eastAsia="宋体" w:cs="宋体"/>
          <w:sz w:val="24"/>
          <w:szCs w:val="24"/>
          <w:highlight w:val="none"/>
        </w:rPr>
        <w:t>附件</w:t>
      </w:r>
      <w:bookmarkEnd w:id="131"/>
      <w:r>
        <w:rPr>
          <w:rFonts w:hint="eastAsia" w:ascii="宋体" w:hAnsi="宋体" w:eastAsia="宋体" w:cs="宋体"/>
          <w:sz w:val="24"/>
          <w:szCs w:val="24"/>
          <w:highlight w:val="none"/>
          <w:lang w:eastAsia="zh-CN"/>
        </w:rPr>
        <w:t>十</w:t>
      </w:r>
      <w:r>
        <w:rPr>
          <w:rFonts w:hint="eastAsia" w:ascii="宋体" w:hAnsi="宋体" w:eastAsia="宋体" w:cs="宋体"/>
          <w:sz w:val="24"/>
          <w:szCs w:val="24"/>
          <w:highlight w:val="none"/>
        </w:rPr>
        <w:t>、201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年1月1日至今完成同类业绩一览表</w:t>
      </w:r>
      <w:bookmarkEnd w:id="132"/>
      <w:bookmarkEnd w:id="133"/>
    </w:p>
    <w:tbl>
      <w:tblPr>
        <w:tblStyle w:val="21"/>
        <w:tblW w:w="8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1416"/>
        <w:gridCol w:w="1811"/>
        <w:gridCol w:w="198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jc w:val="center"/>
        </w:trPr>
        <w:tc>
          <w:tcPr>
            <w:tcW w:w="1309" w:type="dxa"/>
            <w:tcBorders>
              <w:top w:val="single" w:color="auto" w:sz="4" w:space="0"/>
              <w:left w:val="single" w:color="auto" w:sz="4" w:space="0"/>
              <w:bottom w:val="single" w:color="auto" w:sz="4" w:space="0"/>
              <w:right w:val="single" w:color="auto" w:sz="4" w:space="0"/>
            </w:tcBorders>
            <w:vAlign w:val="center"/>
          </w:tcPr>
          <w:p>
            <w:pPr>
              <w:pStyle w:val="9"/>
              <w:tabs>
                <w:tab w:val="left" w:pos="1260"/>
              </w:tabs>
              <w:spacing w:beforeLines="50" w:line="360" w:lineRule="auto"/>
              <w:ind w:left="0" w:firstLine="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项目单位</w:t>
            </w:r>
          </w:p>
        </w:tc>
        <w:tc>
          <w:tcPr>
            <w:tcW w:w="1416" w:type="dxa"/>
            <w:tcBorders>
              <w:top w:val="single" w:color="auto" w:sz="4" w:space="0"/>
              <w:left w:val="single" w:color="auto" w:sz="4" w:space="0"/>
              <w:bottom w:val="single" w:color="auto" w:sz="4" w:space="0"/>
              <w:right w:val="single" w:color="auto" w:sz="4" w:space="0"/>
            </w:tcBorders>
            <w:vAlign w:val="center"/>
          </w:tcPr>
          <w:p>
            <w:pPr>
              <w:pStyle w:val="9"/>
              <w:tabs>
                <w:tab w:val="left" w:pos="1260"/>
              </w:tabs>
              <w:spacing w:beforeLines="50" w:line="360" w:lineRule="auto"/>
              <w:ind w:left="0" w:firstLine="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项目名称</w:t>
            </w:r>
          </w:p>
        </w:tc>
        <w:tc>
          <w:tcPr>
            <w:tcW w:w="1811" w:type="dxa"/>
            <w:tcBorders>
              <w:top w:val="single" w:color="auto" w:sz="4" w:space="0"/>
              <w:left w:val="single" w:color="auto" w:sz="4" w:space="0"/>
              <w:bottom w:val="single" w:color="auto" w:sz="4" w:space="0"/>
              <w:right w:val="single" w:color="auto" w:sz="4" w:space="0"/>
            </w:tcBorders>
            <w:vAlign w:val="center"/>
          </w:tcPr>
          <w:p>
            <w:pPr>
              <w:pStyle w:val="9"/>
              <w:tabs>
                <w:tab w:val="left" w:pos="1260"/>
              </w:tabs>
              <w:spacing w:beforeLines="50" w:line="360" w:lineRule="auto"/>
              <w:ind w:left="0" w:firstLine="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合同签订时间</w:t>
            </w:r>
          </w:p>
        </w:tc>
        <w:tc>
          <w:tcPr>
            <w:tcW w:w="1985" w:type="dxa"/>
            <w:tcBorders>
              <w:top w:val="single" w:color="auto" w:sz="4" w:space="0"/>
              <w:left w:val="single" w:color="auto" w:sz="4" w:space="0"/>
              <w:bottom w:val="single" w:color="auto" w:sz="4" w:space="0"/>
              <w:right w:val="single" w:color="auto" w:sz="4" w:space="0"/>
            </w:tcBorders>
            <w:vAlign w:val="center"/>
          </w:tcPr>
          <w:p>
            <w:pPr>
              <w:pStyle w:val="9"/>
              <w:tabs>
                <w:tab w:val="left" w:pos="1260"/>
              </w:tabs>
              <w:spacing w:beforeLines="50" w:line="360" w:lineRule="auto"/>
              <w:ind w:left="0" w:firstLine="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服务周期</w:t>
            </w:r>
          </w:p>
        </w:tc>
        <w:tc>
          <w:tcPr>
            <w:tcW w:w="1984" w:type="dxa"/>
            <w:tcBorders>
              <w:top w:val="single" w:color="auto" w:sz="4" w:space="0"/>
              <w:left w:val="single" w:color="auto" w:sz="4" w:space="0"/>
              <w:bottom w:val="single" w:color="auto" w:sz="4" w:space="0"/>
              <w:right w:val="single" w:color="auto" w:sz="4" w:space="0"/>
            </w:tcBorders>
            <w:vAlign w:val="center"/>
          </w:tcPr>
          <w:p>
            <w:pPr>
              <w:pStyle w:val="9"/>
              <w:tabs>
                <w:tab w:val="left" w:pos="1260"/>
              </w:tabs>
              <w:spacing w:beforeLines="50" w:line="360" w:lineRule="auto"/>
              <w:ind w:left="0" w:firstLine="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服务质量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1309" w:type="dxa"/>
            <w:tcBorders>
              <w:top w:val="single" w:color="auto" w:sz="4" w:space="0"/>
              <w:left w:val="single" w:color="auto" w:sz="4" w:space="0"/>
              <w:bottom w:val="single" w:color="auto" w:sz="4" w:space="0"/>
              <w:right w:val="single" w:color="auto" w:sz="4" w:space="0"/>
            </w:tcBorders>
            <w:vAlign w:val="center"/>
          </w:tcPr>
          <w:p>
            <w:pPr>
              <w:pStyle w:val="9"/>
              <w:tabs>
                <w:tab w:val="left" w:pos="1260"/>
              </w:tabs>
              <w:spacing w:beforeLines="50" w:line="360" w:lineRule="auto"/>
              <w:ind w:left="0" w:firstLine="0"/>
              <w:rPr>
                <w:rFonts w:hint="eastAsia" w:ascii="宋体" w:hAnsi="宋体" w:eastAsia="宋体" w:cs="宋体"/>
                <w:bCs/>
                <w:sz w:val="24"/>
                <w:szCs w:val="24"/>
                <w:highlight w:val="none"/>
              </w:rPr>
            </w:pPr>
          </w:p>
        </w:tc>
        <w:tc>
          <w:tcPr>
            <w:tcW w:w="1416" w:type="dxa"/>
            <w:tcBorders>
              <w:top w:val="single" w:color="auto" w:sz="4" w:space="0"/>
              <w:left w:val="single" w:color="auto" w:sz="4" w:space="0"/>
              <w:bottom w:val="single" w:color="auto" w:sz="4" w:space="0"/>
              <w:right w:val="single" w:color="auto" w:sz="4" w:space="0"/>
            </w:tcBorders>
            <w:vAlign w:val="center"/>
          </w:tcPr>
          <w:p>
            <w:pPr>
              <w:pStyle w:val="9"/>
              <w:tabs>
                <w:tab w:val="left" w:pos="1260"/>
              </w:tabs>
              <w:spacing w:beforeLines="50" w:line="360" w:lineRule="auto"/>
              <w:ind w:left="0" w:firstLine="0"/>
              <w:rPr>
                <w:rFonts w:hint="eastAsia" w:ascii="宋体" w:hAnsi="宋体" w:eastAsia="宋体" w:cs="宋体"/>
                <w:bCs/>
                <w:sz w:val="24"/>
                <w:szCs w:val="24"/>
                <w:highlight w:val="none"/>
              </w:rPr>
            </w:pPr>
          </w:p>
        </w:tc>
        <w:tc>
          <w:tcPr>
            <w:tcW w:w="1811" w:type="dxa"/>
            <w:tcBorders>
              <w:top w:val="single" w:color="auto" w:sz="4" w:space="0"/>
              <w:left w:val="single" w:color="auto" w:sz="4" w:space="0"/>
              <w:bottom w:val="single" w:color="auto" w:sz="4" w:space="0"/>
              <w:right w:val="single" w:color="auto" w:sz="4" w:space="0"/>
            </w:tcBorders>
            <w:vAlign w:val="center"/>
          </w:tcPr>
          <w:p>
            <w:pPr>
              <w:pStyle w:val="9"/>
              <w:tabs>
                <w:tab w:val="left" w:pos="1260"/>
              </w:tabs>
              <w:spacing w:beforeLines="50" w:line="360" w:lineRule="auto"/>
              <w:ind w:left="0" w:firstLine="0"/>
              <w:rPr>
                <w:rFonts w:hint="eastAsia" w:ascii="宋体" w:hAnsi="宋体" w:eastAsia="宋体" w:cs="宋体"/>
                <w:bCs/>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pStyle w:val="9"/>
              <w:tabs>
                <w:tab w:val="left" w:pos="1260"/>
              </w:tabs>
              <w:spacing w:beforeLines="50" w:line="360" w:lineRule="auto"/>
              <w:ind w:left="0" w:firstLine="0"/>
              <w:rPr>
                <w:rFonts w:hint="eastAsia" w:ascii="宋体" w:hAnsi="宋体" w:eastAsia="宋体" w:cs="宋体"/>
                <w:bCs/>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9"/>
              <w:tabs>
                <w:tab w:val="left" w:pos="1260"/>
              </w:tabs>
              <w:spacing w:beforeLines="50" w:line="360" w:lineRule="auto"/>
              <w:ind w:left="0" w:firstLine="0"/>
              <w:rPr>
                <w:rFonts w:hint="eastAsia" w:ascii="宋体" w:hAnsi="宋体" w:eastAsia="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1309" w:type="dxa"/>
            <w:tcBorders>
              <w:top w:val="single" w:color="auto" w:sz="4" w:space="0"/>
              <w:left w:val="single" w:color="auto" w:sz="4" w:space="0"/>
              <w:bottom w:val="single" w:color="auto" w:sz="4" w:space="0"/>
              <w:right w:val="single" w:color="auto" w:sz="4" w:space="0"/>
            </w:tcBorders>
            <w:vAlign w:val="center"/>
          </w:tcPr>
          <w:p>
            <w:pPr>
              <w:pStyle w:val="9"/>
              <w:tabs>
                <w:tab w:val="left" w:pos="1260"/>
              </w:tabs>
              <w:spacing w:beforeLines="50" w:line="360" w:lineRule="auto"/>
              <w:ind w:left="0" w:firstLine="0"/>
              <w:rPr>
                <w:rFonts w:hint="eastAsia" w:ascii="宋体" w:hAnsi="宋体" w:eastAsia="宋体" w:cs="宋体"/>
                <w:bCs/>
                <w:sz w:val="24"/>
                <w:szCs w:val="24"/>
                <w:highlight w:val="none"/>
              </w:rPr>
            </w:pPr>
          </w:p>
        </w:tc>
        <w:tc>
          <w:tcPr>
            <w:tcW w:w="1416" w:type="dxa"/>
            <w:tcBorders>
              <w:top w:val="single" w:color="auto" w:sz="4" w:space="0"/>
              <w:left w:val="single" w:color="auto" w:sz="4" w:space="0"/>
              <w:bottom w:val="single" w:color="auto" w:sz="4" w:space="0"/>
              <w:right w:val="single" w:color="auto" w:sz="4" w:space="0"/>
            </w:tcBorders>
            <w:vAlign w:val="center"/>
          </w:tcPr>
          <w:p>
            <w:pPr>
              <w:pStyle w:val="9"/>
              <w:tabs>
                <w:tab w:val="left" w:pos="1260"/>
              </w:tabs>
              <w:spacing w:beforeLines="50" w:line="360" w:lineRule="auto"/>
              <w:ind w:left="0" w:firstLine="0"/>
              <w:rPr>
                <w:rFonts w:hint="eastAsia" w:ascii="宋体" w:hAnsi="宋体" w:eastAsia="宋体" w:cs="宋体"/>
                <w:bCs/>
                <w:sz w:val="24"/>
                <w:szCs w:val="24"/>
                <w:highlight w:val="none"/>
              </w:rPr>
            </w:pPr>
          </w:p>
        </w:tc>
        <w:tc>
          <w:tcPr>
            <w:tcW w:w="1811" w:type="dxa"/>
            <w:tcBorders>
              <w:top w:val="single" w:color="auto" w:sz="4" w:space="0"/>
              <w:left w:val="single" w:color="auto" w:sz="4" w:space="0"/>
              <w:bottom w:val="single" w:color="auto" w:sz="4" w:space="0"/>
              <w:right w:val="single" w:color="auto" w:sz="4" w:space="0"/>
            </w:tcBorders>
            <w:vAlign w:val="center"/>
          </w:tcPr>
          <w:p>
            <w:pPr>
              <w:pStyle w:val="9"/>
              <w:tabs>
                <w:tab w:val="left" w:pos="1260"/>
              </w:tabs>
              <w:spacing w:beforeLines="50" w:line="360" w:lineRule="auto"/>
              <w:ind w:left="0" w:firstLine="0"/>
              <w:rPr>
                <w:rFonts w:hint="eastAsia" w:ascii="宋体" w:hAnsi="宋体" w:eastAsia="宋体" w:cs="宋体"/>
                <w:bCs/>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pStyle w:val="9"/>
              <w:tabs>
                <w:tab w:val="left" w:pos="1260"/>
              </w:tabs>
              <w:spacing w:beforeLines="50" w:line="360" w:lineRule="auto"/>
              <w:ind w:left="0" w:firstLine="0"/>
              <w:rPr>
                <w:rFonts w:hint="eastAsia" w:ascii="宋体" w:hAnsi="宋体" w:eastAsia="宋体" w:cs="宋体"/>
                <w:bCs/>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9"/>
              <w:tabs>
                <w:tab w:val="left" w:pos="1260"/>
              </w:tabs>
              <w:spacing w:beforeLines="50" w:line="360" w:lineRule="auto"/>
              <w:ind w:left="0" w:firstLine="0"/>
              <w:rPr>
                <w:rFonts w:hint="eastAsia" w:ascii="宋体" w:hAnsi="宋体" w:eastAsia="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1309" w:type="dxa"/>
            <w:tcBorders>
              <w:top w:val="single" w:color="auto" w:sz="4" w:space="0"/>
              <w:left w:val="single" w:color="auto" w:sz="4" w:space="0"/>
              <w:bottom w:val="single" w:color="auto" w:sz="4" w:space="0"/>
              <w:right w:val="single" w:color="auto" w:sz="4" w:space="0"/>
            </w:tcBorders>
            <w:vAlign w:val="center"/>
          </w:tcPr>
          <w:p>
            <w:pPr>
              <w:pStyle w:val="9"/>
              <w:tabs>
                <w:tab w:val="left" w:pos="1260"/>
              </w:tabs>
              <w:spacing w:beforeLines="50" w:line="360" w:lineRule="auto"/>
              <w:ind w:left="0" w:firstLine="0"/>
              <w:rPr>
                <w:rFonts w:hint="eastAsia" w:ascii="宋体" w:hAnsi="宋体" w:eastAsia="宋体" w:cs="宋体"/>
                <w:bCs/>
                <w:sz w:val="24"/>
                <w:szCs w:val="24"/>
                <w:highlight w:val="none"/>
              </w:rPr>
            </w:pPr>
          </w:p>
        </w:tc>
        <w:tc>
          <w:tcPr>
            <w:tcW w:w="1416" w:type="dxa"/>
            <w:tcBorders>
              <w:top w:val="single" w:color="auto" w:sz="4" w:space="0"/>
              <w:left w:val="single" w:color="auto" w:sz="4" w:space="0"/>
              <w:bottom w:val="single" w:color="auto" w:sz="4" w:space="0"/>
              <w:right w:val="single" w:color="auto" w:sz="4" w:space="0"/>
            </w:tcBorders>
            <w:vAlign w:val="center"/>
          </w:tcPr>
          <w:p>
            <w:pPr>
              <w:pStyle w:val="9"/>
              <w:tabs>
                <w:tab w:val="left" w:pos="1260"/>
              </w:tabs>
              <w:spacing w:beforeLines="50" w:line="360" w:lineRule="auto"/>
              <w:ind w:left="0" w:firstLine="0"/>
              <w:rPr>
                <w:rFonts w:hint="eastAsia" w:ascii="宋体" w:hAnsi="宋体" w:eastAsia="宋体" w:cs="宋体"/>
                <w:bCs/>
                <w:sz w:val="24"/>
                <w:szCs w:val="24"/>
                <w:highlight w:val="none"/>
              </w:rPr>
            </w:pPr>
          </w:p>
        </w:tc>
        <w:tc>
          <w:tcPr>
            <w:tcW w:w="1811" w:type="dxa"/>
            <w:tcBorders>
              <w:top w:val="single" w:color="auto" w:sz="4" w:space="0"/>
              <w:left w:val="single" w:color="auto" w:sz="4" w:space="0"/>
              <w:bottom w:val="single" w:color="auto" w:sz="4" w:space="0"/>
              <w:right w:val="single" w:color="auto" w:sz="4" w:space="0"/>
            </w:tcBorders>
            <w:vAlign w:val="center"/>
          </w:tcPr>
          <w:p>
            <w:pPr>
              <w:pStyle w:val="9"/>
              <w:tabs>
                <w:tab w:val="left" w:pos="1260"/>
              </w:tabs>
              <w:spacing w:beforeLines="50" w:line="360" w:lineRule="auto"/>
              <w:ind w:left="0" w:firstLine="0"/>
              <w:rPr>
                <w:rFonts w:hint="eastAsia" w:ascii="宋体" w:hAnsi="宋体" w:eastAsia="宋体" w:cs="宋体"/>
                <w:bCs/>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pStyle w:val="9"/>
              <w:tabs>
                <w:tab w:val="left" w:pos="1260"/>
              </w:tabs>
              <w:spacing w:beforeLines="50" w:line="360" w:lineRule="auto"/>
              <w:ind w:left="0" w:firstLine="0"/>
              <w:rPr>
                <w:rFonts w:hint="eastAsia" w:ascii="宋体" w:hAnsi="宋体" w:eastAsia="宋体" w:cs="宋体"/>
                <w:bCs/>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9"/>
              <w:tabs>
                <w:tab w:val="left" w:pos="1260"/>
              </w:tabs>
              <w:spacing w:beforeLines="50" w:line="360" w:lineRule="auto"/>
              <w:ind w:left="0" w:firstLine="0"/>
              <w:rPr>
                <w:rFonts w:hint="eastAsia" w:ascii="宋体" w:hAnsi="宋体" w:eastAsia="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1309" w:type="dxa"/>
            <w:tcBorders>
              <w:top w:val="single" w:color="auto" w:sz="4" w:space="0"/>
              <w:left w:val="single" w:color="auto" w:sz="4" w:space="0"/>
              <w:bottom w:val="single" w:color="auto" w:sz="4" w:space="0"/>
              <w:right w:val="single" w:color="auto" w:sz="4" w:space="0"/>
            </w:tcBorders>
            <w:vAlign w:val="center"/>
          </w:tcPr>
          <w:p>
            <w:pPr>
              <w:pStyle w:val="9"/>
              <w:tabs>
                <w:tab w:val="left" w:pos="1260"/>
              </w:tabs>
              <w:spacing w:beforeLines="50" w:line="360" w:lineRule="auto"/>
              <w:ind w:left="0" w:firstLine="0"/>
              <w:rPr>
                <w:rFonts w:hint="eastAsia" w:ascii="宋体" w:hAnsi="宋体" w:eastAsia="宋体" w:cs="宋体"/>
                <w:bCs/>
                <w:sz w:val="24"/>
                <w:szCs w:val="24"/>
                <w:highlight w:val="none"/>
              </w:rPr>
            </w:pPr>
          </w:p>
        </w:tc>
        <w:tc>
          <w:tcPr>
            <w:tcW w:w="1416" w:type="dxa"/>
            <w:tcBorders>
              <w:top w:val="single" w:color="auto" w:sz="4" w:space="0"/>
              <w:left w:val="single" w:color="auto" w:sz="4" w:space="0"/>
              <w:bottom w:val="single" w:color="auto" w:sz="4" w:space="0"/>
              <w:right w:val="single" w:color="auto" w:sz="4" w:space="0"/>
            </w:tcBorders>
            <w:vAlign w:val="center"/>
          </w:tcPr>
          <w:p>
            <w:pPr>
              <w:pStyle w:val="9"/>
              <w:tabs>
                <w:tab w:val="left" w:pos="1260"/>
              </w:tabs>
              <w:spacing w:beforeLines="50" w:line="360" w:lineRule="auto"/>
              <w:ind w:left="0" w:firstLine="0"/>
              <w:rPr>
                <w:rFonts w:hint="eastAsia" w:ascii="宋体" w:hAnsi="宋体" w:eastAsia="宋体" w:cs="宋体"/>
                <w:bCs/>
                <w:sz w:val="24"/>
                <w:szCs w:val="24"/>
                <w:highlight w:val="none"/>
              </w:rPr>
            </w:pPr>
          </w:p>
        </w:tc>
        <w:tc>
          <w:tcPr>
            <w:tcW w:w="1811" w:type="dxa"/>
            <w:tcBorders>
              <w:top w:val="single" w:color="auto" w:sz="4" w:space="0"/>
              <w:left w:val="single" w:color="auto" w:sz="4" w:space="0"/>
              <w:bottom w:val="single" w:color="auto" w:sz="4" w:space="0"/>
              <w:right w:val="single" w:color="auto" w:sz="4" w:space="0"/>
            </w:tcBorders>
            <w:vAlign w:val="center"/>
          </w:tcPr>
          <w:p>
            <w:pPr>
              <w:pStyle w:val="9"/>
              <w:tabs>
                <w:tab w:val="left" w:pos="1260"/>
              </w:tabs>
              <w:spacing w:beforeLines="50" w:line="360" w:lineRule="auto"/>
              <w:ind w:left="0" w:firstLine="0"/>
              <w:rPr>
                <w:rFonts w:hint="eastAsia" w:ascii="宋体" w:hAnsi="宋体" w:eastAsia="宋体" w:cs="宋体"/>
                <w:bCs/>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pStyle w:val="9"/>
              <w:tabs>
                <w:tab w:val="left" w:pos="1260"/>
              </w:tabs>
              <w:spacing w:beforeLines="50" w:line="360" w:lineRule="auto"/>
              <w:ind w:left="0" w:firstLine="0"/>
              <w:rPr>
                <w:rFonts w:hint="eastAsia" w:ascii="宋体" w:hAnsi="宋体" w:eastAsia="宋体" w:cs="宋体"/>
                <w:bCs/>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9"/>
              <w:tabs>
                <w:tab w:val="left" w:pos="1260"/>
              </w:tabs>
              <w:spacing w:beforeLines="50" w:line="360" w:lineRule="auto"/>
              <w:ind w:left="0" w:firstLine="0"/>
              <w:rPr>
                <w:rFonts w:hint="eastAsia" w:ascii="宋体" w:hAnsi="宋体" w:eastAsia="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1309" w:type="dxa"/>
            <w:tcBorders>
              <w:top w:val="single" w:color="auto" w:sz="4" w:space="0"/>
              <w:left w:val="single" w:color="auto" w:sz="4" w:space="0"/>
              <w:bottom w:val="single" w:color="auto" w:sz="4" w:space="0"/>
              <w:right w:val="single" w:color="auto" w:sz="4" w:space="0"/>
            </w:tcBorders>
            <w:vAlign w:val="center"/>
          </w:tcPr>
          <w:p>
            <w:pPr>
              <w:pStyle w:val="9"/>
              <w:tabs>
                <w:tab w:val="left" w:pos="1260"/>
              </w:tabs>
              <w:spacing w:beforeLines="50" w:line="360" w:lineRule="auto"/>
              <w:ind w:left="0" w:firstLine="0"/>
              <w:rPr>
                <w:rFonts w:hint="eastAsia" w:ascii="宋体" w:hAnsi="宋体" w:eastAsia="宋体" w:cs="宋体"/>
                <w:bCs/>
                <w:sz w:val="24"/>
                <w:szCs w:val="24"/>
                <w:highlight w:val="none"/>
              </w:rPr>
            </w:pPr>
          </w:p>
        </w:tc>
        <w:tc>
          <w:tcPr>
            <w:tcW w:w="1416" w:type="dxa"/>
            <w:tcBorders>
              <w:top w:val="single" w:color="auto" w:sz="4" w:space="0"/>
              <w:left w:val="single" w:color="auto" w:sz="4" w:space="0"/>
              <w:bottom w:val="single" w:color="auto" w:sz="4" w:space="0"/>
              <w:right w:val="single" w:color="auto" w:sz="4" w:space="0"/>
            </w:tcBorders>
            <w:vAlign w:val="center"/>
          </w:tcPr>
          <w:p>
            <w:pPr>
              <w:pStyle w:val="9"/>
              <w:tabs>
                <w:tab w:val="left" w:pos="1260"/>
              </w:tabs>
              <w:spacing w:beforeLines="50" w:line="360" w:lineRule="auto"/>
              <w:ind w:left="0" w:firstLine="0"/>
              <w:rPr>
                <w:rFonts w:hint="eastAsia" w:ascii="宋体" w:hAnsi="宋体" w:eastAsia="宋体" w:cs="宋体"/>
                <w:bCs/>
                <w:sz w:val="24"/>
                <w:szCs w:val="24"/>
                <w:highlight w:val="none"/>
              </w:rPr>
            </w:pPr>
          </w:p>
        </w:tc>
        <w:tc>
          <w:tcPr>
            <w:tcW w:w="1811" w:type="dxa"/>
            <w:tcBorders>
              <w:top w:val="single" w:color="auto" w:sz="4" w:space="0"/>
              <w:left w:val="single" w:color="auto" w:sz="4" w:space="0"/>
              <w:bottom w:val="single" w:color="auto" w:sz="4" w:space="0"/>
              <w:right w:val="single" w:color="auto" w:sz="4" w:space="0"/>
            </w:tcBorders>
            <w:vAlign w:val="center"/>
          </w:tcPr>
          <w:p>
            <w:pPr>
              <w:pStyle w:val="9"/>
              <w:tabs>
                <w:tab w:val="left" w:pos="1260"/>
              </w:tabs>
              <w:spacing w:beforeLines="50" w:line="360" w:lineRule="auto"/>
              <w:ind w:left="0" w:firstLine="0"/>
              <w:rPr>
                <w:rFonts w:hint="eastAsia" w:ascii="宋体" w:hAnsi="宋体" w:eastAsia="宋体" w:cs="宋体"/>
                <w:bCs/>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pStyle w:val="9"/>
              <w:tabs>
                <w:tab w:val="left" w:pos="1260"/>
              </w:tabs>
              <w:spacing w:beforeLines="50" w:line="360" w:lineRule="auto"/>
              <w:ind w:left="0" w:firstLine="0"/>
              <w:rPr>
                <w:rFonts w:hint="eastAsia" w:ascii="宋体" w:hAnsi="宋体" w:eastAsia="宋体" w:cs="宋体"/>
                <w:bCs/>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9"/>
              <w:tabs>
                <w:tab w:val="left" w:pos="1260"/>
              </w:tabs>
              <w:spacing w:beforeLines="50" w:line="360" w:lineRule="auto"/>
              <w:ind w:left="0" w:firstLine="0"/>
              <w:rPr>
                <w:rFonts w:hint="eastAsia" w:ascii="宋体" w:hAnsi="宋体" w:eastAsia="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13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p>
        </w:tc>
        <w:tc>
          <w:tcPr>
            <w:tcW w:w="18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p>
        </w:tc>
      </w:tr>
    </w:tbl>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注：本表可按同样格式扩展。须后附合同复印件（加盖公章）</w:t>
      </w:r>
    </w:p>
    <w:p>
      <w:pPr>
        <w:spacing w:line="360" w:lineRule="auto"/>
        <w:rPr>
          <w:rFonts w:hint="eastAsia" w:ascii="宋体" w:hAnsi="宋体" w:eastAsia="宋体" w:cs="宋体"/>
          <w:sz w:val="24"/>
          <w:szCs w:val="24"/>
          <w:highlight w:val="none"/>
        </w:rPr>
      </w:pPr>
    </w:p>
    <w:p>
      <w:pPr>
        <w:pStyle w:val="8"/>
        <w:spacing w:line="360" w:lineRule="auto"/>
        <w:ind w:right="270" w:rightChars="135"/>
        <w:rPr>
          <w:rFonts w:hint="eastAsia" w:ascii="宋体" w:hAnsi="宋体" w:eastAsia="宋体" w:cs="宋体"/>
          <w:b/>
          <w:sz w:val="24"/>
          <w:szCs w:val="24"/>
          <w:highlight w:val="none"/>
        </w:rPr>
      </w:pPr>
    </w:p>
    <w:p>
      <w:pPr>
        <w:pStyle w:val="8"/>
        <w:spacing w:line="360" w:lineRule="auto"/>
        <w:ind w:right="270" w:rightChars="135"/>
        <w:rPr>
          <w:rFonts w:hint="eastAsia" w:ascii="宋体" w:hAnsi="宋体" w:eastAsia="宋体" w:cs="宋体"/>
          <w:b/>
          <w:sz w:val="24"/>
          <w:szCs w:val="24"/>
          <w:highlight w:val="none"/>
        </w:rPr>
      </w:pPr>
    </w:p>
    <w:p>
      <w:pPr>
        <w:pStyle w:val="8"/>
        <w:spacing w:line="360" w:lineRule="auto"/>
        <w:ind w:right="270" w:rightChars="135"/>
        <w:rPr>
          <w:rFonts w:hint="eastAsia" w:ascii="宋体" w:hAnsi="宋体" w:eastAsia="宋体" w:cs="宋体"/>
          <w:b/>
          <w:sz w:val="24"/>
          <w:szCs w:val="24"/>
          <w:highlight w:val="none"/>
        </w:rPr>
      </w:pPr>
    </w:p>
    <w:p>
      <w:pPr>
        <w:pStyle w:val="8"/>
        <w:spacing w:line="360" w:lineRule="auto"/>
        <w:ind w:right="270" w:rightChars="135"/>
        <w:rPr>
          <w:rFonts w:hint="eastAsia" w:ascii="宋体" w:hAnsi="宋体" w:eastAsia="宋体" w:cs="宋体"/>
          <w:b/>
          <w:sz w:val="24"/>
          <w:szCs w:val="24"/>
          <w:highlight w:val="none"/>
        </w:rPr>
      </w:pPr>
    </w:p>
    <w:p>
      <w:pPr>
        <w:pStyle w:val="8"/>
        <w:spacing w:line="360" w:lineRule="auto"/>
        <w:ind w:right="270" w:rightChars="135"/>
        <w:rPr>
          <w:rFonts w:hint="eastAsia" w:ascii="宋体" w:hAnsi="宋体" w:eastAsia="宋体" w:cs="宋体"/>
          <w:b/>
          <w:sz w:val="24"/>
          <w:szCs w:val="24"/>
          <w:highlight w:val="none"/>
        </w:rPr>
      </w:pPr>
    </w:p>
    <w:p>
      <w:pPr>
        <w:pStyle w:val="8"/>
        <w:spacing w:line="360" w:lineRule="auto"/>
        <w:ind w:right="270" w:rightChars="135"/>
        <w:rPr>
          <w:rFonts w:hint="eastAsia" w:ascii="宋体" w:hAnsi="宋体" w:eastAsia="宋体" w:cs="宋体"/>
          <w:b/>
          <w:sz w:val="24"/>
          <w:szCs w:val="24"/>
          <w:highlight w:val="none"/>
        </w:rPr>
      </w:pPr>
    </w:p>
    <w:p>
      <w:pPr>
        <w:pStyle w:val="8"/>
        <w:spacing w:line="360" w:lineRule="auto"/>
        <w:ind w:right="270" w:rightChars="135"/>
        <w:rPr>
          <w:rFonts w:hint="eastAsia" w:ascii="宋体" w:hAnsi="宋体" w:eastAsia="宋体" w:cs="宋体"/>
          <w:b/>
          <w:sz w:val="24"/>
          <w:szCs w:val="24"/>
          <w:highlight w:val="none"/>
        </w:rPr>
      </w:pPr>
    </w:p>
    <w:p>
      <w:pPr>
        <w:pStyle w:val="8"/>
        <w:spacing w:line="360" w:lineRule="auto"/>
        <w:ind w:right="270" w:rightChars="135"/>
        <w:rPr>
          <w:rFonts w:hint="eastAsia" w:ascii="宋体" w:hAnsi="宋体" w:eastAsia="宋体" w:cs="宋体"/>
          <w:b/>
          <w:sz w:val="24"/>
          <w:szCs w:val="24"/>
          <w:highlight w:val="none"/>
        </w:rPr>
      </w:pPr>
    </w:p>
    <w:p>
      <w:pPr>
        <w:pStyle w:val="8"/>
        <w:spacing w:line="360" w:lineRule="auto"/>
        <w:ind w:right="270" w:rightChars="135"/>
        <w:rPr>
          <w:rFonts w:hint="eastAsia" w:ascii="宋体" w:hAnsi="宋体" w:eastAsia="宋体" w:cs="宋体"/>
          <w:b/>
          <w:sz w:val="24"/>
          <w:szCs w:val="24"/>
          <w:highlight w:val="none"/>
        </w:rPr>
      </w:pPr>
    </w:p>
    <w:p>
      <w:pPr>
        <w:pStyle w:val="8"/>
        <w:spacing w:line="360" w:lineRule="auto"/>
        <w:ind w:right="270" w:rightChars="135"/>
        <w:rPr>
          <w:rFonts w:hint="eastAsia" w:ascii="宋体" w:hAnsi="宋体" w:eastAsia="宋体" w:cs="宋体"/>
          <w:b/>
          <w:sz w:val="24"/>
          <w:szCs w:val="24"/>
          <w:highlight w:val="none"/>
        </w:rPr>
      </w:pPr>
    </w:p>
    <w:p>
      <w:pPr>
        <w:pStyle w:val="8"/>
        <w:spacing w:line="360" w:lineRule="auto"/>
        <w:ind w:right="270" w:rightChars="135"/>
        <w:jc w:val="center"/>
        <w:rPr>
          <w:rFonts w:hint="eastAsia" w:ascii="宋体" w:hAnsi="宋体" w:eastAsia="宋体" w:cs="宋体"/>
          <w:b/>
          <w:sz w:val="24"/>
          <w:szCs w:val="24"/>
          <w:highlight w:val="none"/>
          <w:lang w:eastAsia="zh-CN"/>
        </w:rPr>
      </w:pPr>
    </w:p>
    <w:p>
      <w:pPr>
        <w:keepNext w:val="0"/>
        <w:keepLines w:val="0"/>
        <w:pageBreakBefore w:val="0"/>
        <w:widowControl w:val="0"/>
        <w:kinsoku/>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4"/>
          <w:szCs w:val="24"/>
          <w:highlight w:val="none"/>
          <w:lang w:val="en-GB" w:eastAsia="zh-CN"/>
        </w:rPr>
      </w:pPr>
      <w:bookmarkStart w:id="134" w:name="_Toc23126"/>
    </w:p>
    <w:p>
      <w:pPr>
        <w:keepNext w:val="0"/>
        <w:keepLines w:val="0"/>
        <w:pageBreakBefore w:val="0"/>
        <w:widowControl w:val="0"/>
        <w:kinsoku/>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4"/>
          <w:szCs w:val="24"/>
          <w:highlight w:val="none"/>
          <w:lang w:val="en-GB" w:eastAsia="zh-CN"/>
        </w:rPr>
      </w:pPr>
    </w:p>
    <w:p>
      <w:pPr>
        <w:keepNext w:val="0"/>
        <w:keepLines w:val="0"/>
        <w:pageBreakBefore w:val="0"/>
        <w:widowControl w:val="0"/>
        <w:kinsoku/>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4"/>
          <w:szCs w:val="24"/>
          <w:highlight w:val="none"/>
          <w:lang w:val="en-GB" w:eastAsia="zh-CN"/>
        </w:rPr>
      </w:pPr>
    </w:p>
    <w:p>
      <w:pPr>
        <w:pStyle w:val="3"/>
        <w:bidi w:val="0"/>
        <w:jc w:val="center"/>
        <w:rPr>
          <w:rFonts w:hint="eastAsia"/>
          <w:sz w:val="24"/>
          <w:szCs w:val="24"/>
          <w:highlight w:val="none"/>
          <w:lang w:val="en-GB" w:eastAsia="zh-CN"/>
        </w:rPr>
      </w:pPr>
      <w:bookmarkStart w:id="135" w:name="_Toc16473"/>
      <w:r>
        <w:rPr>
          <w:rFonts w:hint="eastAsia"/>
          <w:sz w:val="24"/>
          <w:szCs w:val="24"/>
          <w:highlight w:val="none"/>
          <w:lang w:val="en-GB" w:eastAsia="zh-CN"/>
        </w:rPr>
        <w:t>附件十一、近三年内，在经营活动中没有重大违法记录的声明</w:t>
      </w:r>
      <w:bookmarkEnd w:id="134"/>
      <w:bookmarkEnd w:id="135"/>
    </w:p>
    <w:p>
      <w:pPr>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bCs/>
          <w:color w:val="auto"/>
          <w:sz w:val="24"/>
          <w:szCs w:val="24"/>
          <w:highlight w:val="none"/>
        </w:rPr>
      </w:pPr>
    </w:p>
    <w:p>
      <w:pPr>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山东蓝盾招标代理有限公司   </w:t>
      </w:r>
    </w:p>
    <w:p>
      <w:pPr>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pacing w:line="360" w:lineRule="auto"/>
        <w:ind w:firstLine="49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我单位近三年内在经营活动中没有重大违法记录，特此声明。</w:t>
      </w:r>
    </w:p>
    <w:p>
      <w:pPr>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pacing w:line="360" w:lineRule="auto"/>
        <w:ind w:firstLine="49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若招标采购单位在本项目采购过程中，发现我单位近三年内在经营活动中有重大违法记录，我单位将无条件退出本项目的投标，并承担因此引起的一切后果。</w:t>
      </w:r>
    </w:p>
    <w:p>
      <w:pPr>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pacing w:line="360" w:lineRule="auto"/>
        <w:ind w:firstLine="495"/>
        <w:textAlignment w:val="auto"/>
        <w:rPr>
          <w:rFonts w:hint="eastAsia" w:ascii="宋体" w:hAnsi="宋体" w:eastAsia="宋体" w:cs="宋体"/>
          <w:color w:val="auto"/>
          <w:sz w:val="24"/>
          <w:szCs w:val="24"/>
          <w:highlight w:val="none"/>
        </w:rPr>
      </w:pPr>
    </w:p>
    <w:p>
      <w:pPr>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pacing w:line="360" w:lineRule="auto"/>
        <w:ind w:firstLine="495"/>
        <w:textAlignment w:val="auto"/>
        <w:rPr>
          <w:rFonts w:hint="eastAsia" w:ascii="宋体" w:hAnsi="宋体" w:eastAsia="宋体" w:cs="宋体"/>
          <w:color w:val="auto"/>
          <w:sz w:val="24"/>
          <w:szCs w:val="24"/>
          <w:highlight w:val="none"/>
        </w:rPr>
      </w:pPr>
    </w:p>
    <w:p>
      <w:pPr>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pacing w:line="360" w:lineRule="auto"/>
        <w:ind w:firstLine="495"/>
        <w:textAlignment w:val="auto"/>
        <w:rPr>
          <w:rFonts w:hint="eastAsia" w:ascii="宋体" w:hAnsi="宋体" w:eastAsia="宋体" w:cs="宋体"/>
          <w:color w:val="auto"/>
          <w:sz w:val="24"/>
          <w:szCs w:val="24"/>
          <w:highlight w:val="none"/>
        </w:rPr>
      </w:pPr>
    </w:p>
    <w:p>
      <w:pPr>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pacing w:line="360" w:lineRule="auto"/>
        <w:ind w:firstLine="495"/>
        <w:textAlignment w:val="auto"/>
        <w:rPr>
          <w:rFonts w:hint="eastAsia" w:ascii="宋体" w:hAnsi="宋体" w:eastAsia="宋体" w:cs="宋体"/>
          <w:color w:val="auto"/>
          <w:sz w:val="24"/>
          <w:szCs w:val="24"/>
          <w:highlight w:val="none"/>
        </w:rPr>
      </w:pPr>
    </w:p>
    <w:p>
      <w:pPr>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pacing w:line="360" w:lineRule="auto"/>
        <w:ind w:firstLine="495"/>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投标供应商名称（公章）：</w:t>
      </w:r>
      <w:r>
        <w:rPr>
          <w:rFonts w:hint="eastAsia" w:ascii="宋体" w:hAnsi="宋体" w:eastAsia="宋体" w:cs="宋体"/>
          <w:color w:val="auto"/>
          <w:sz w:val="24"/>
          <w:szCs w:val="24"/>
          <w:highlight w:val="none"/>
          <w:u w:val="single"/>
        </w:rPr>
        <w:t xml:space="preserve">                      </w:t>
      </w:r>
    </w:p>
    <w:p>
      <w:pPr>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pacing w:line="360" w:lineRule="auto"/>
        <w:ind w:firstLine="495"/>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法人代表或其授权人（签字）：</w:t>
      </w:r>
      <w:r>
        <w:rPr>
          <w:rFonts w:hint="eastAsia" w:ascii="宋体" w:hAnsi="宋体" w:eastAsia="宋体" w:cs="宋体"/>
          <w:color w:val="auto"/>
          <w:sz w:val="24"/>
          <w:szCs w:val="24"/>
          <w:highlight w:val="none"/>
          <w:u w:val="single"/>
        </w:rPr>
        <w:t xml:space="preserve">              </w:t>
      </w:r>
    </w:p>
    <w:p>
      <w:pPr>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pacing w:line="360" w:lineRule="auto"/>
        <w:ind w:firstLine="495"/>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pPr>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pacing w:line="360" w:lineRule="auto"/>
        <w:ind w:firstLine="495"/>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解释：《中华人民共和国政府采购法实施条例》条例第十九条　政府采购法第二十二条第一款第五项所称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pPr>
        <w:pageBreakBefore w:val="0"/>
        <w:kinsoku/>
        <w:wordWrap/>
        <w:overflowPunct/>
        <w:topLinePunct w:val="0"/>
        <w:bidi w:val="0"/>
        <w:spacing w:line="360" w:lineRule="auto"/>
        <w:textAlignment w:val="auto"/>
        <w:rPr>
          <w:rFonts w:hint="eastAsia" w:ascii="宋体" w:hAnsi="宋体" w:eastAsia="宋体" w:cs="宋体"/>
          <w:color w:val="auto"/>
          <w:highlight w:val="none"/>
          <w:lang w:val="en-GB"/>
        </w:rPr>
      </w:pPr>
    </w:p>
    <w:p>
      <w:pPr>
        <w:pageBreakBefore w:val="0"/>
        <w:kinsoku/>
        <w:wordWrap/>
        <w:overflowPunct/>
        <w:topLinePunct w:val="0"/>
        <w:bidi w:val="0"/>
        <w:spacing w:line="360" w:lineRule="auto"/>
        <w:textAlignment w:val="auto"/>
        <w:rPr>
          <w:rFonts w:hint="eastAsia" w:ascii="宋体" w:hAnsi="宋体" w:eastAsia="宋体" w:cs="宋体"/>
          <w:color w:val="auto"/>
          <w:highlight w:val="none"/>
        </w:rPr>
      </w:pPr>
    </w:p>
    <w:p>
      <w:pPr>
        <w:pageBreakBefore w:val="0"/>
        <w:kinsoku/>
        <w:wordWrap/>
        <w:overflowPunct/>
        <w:topLinePunct w:val="0"/>
        <w:bidi w:val="0"/>
        <w:spacing w:line="360" w:lineRule="auto"/>
        <w:textAlignment w:val="auto"/>
        <w:rPr>
          <w:rFonts w:hint="eastAsia" w:ascii="宋体" w:hAnsi="宋体" w:eastAsia="宋体" w:cs="宋体"/>
          <w:color w:val="auto"/>
          <w:highlight w:val="none"/>
        </w:rPr>
      </w:pPr>
    </w:p>
    <w:p>
      <w:pPr>
        <w:pageBreakBefore w:val="0"/>
        <w:kinsoku/>
        <w:wordWrap/>
        <w:overflowPunct/>
        <w:topLinePunct w:val="0"/>
        <w:bidi w:val="0"/>
        <w:spacing w:line="360" w:lineRule="auto"/>
        <w:textAlignment w:val="auto"/>
        <w:rPr>
          <w:rFonts w:hint="eastAsia" w:ascii="宋体" w:hAnsi="宋体" w:eastAsia="宋体" w:cs="宋体"/>
          <w:color w:val="auto"/>
          <w:highlight w:val="none"/>
        </w:rPr>
      </w:pPr>
    </w:p>
    <w:p>
      <w:pPr>
        <w:pageBreakBefore w:val="0"/>
        <w:kinsoku/>
        <w:wordWrap/>
        <w:overflowPunct/>
        <w:topLinePunct w:val="0"/>
        <w:bidi w:val="0"/>
        <w:spacing w:line="360" w:lineRule="auto"/>
        <w:textAlignment w:val="auto"/>
        <w:rPr>
          <w:rFonts w:hint="eastAsia" w:ascii="宋体" w:hAnsi="宋体" w:eastAsia="宋体" w:cs="宋体"/>
          <w:color w:val="auto"/>
          <w:highlight w:val="none"/>
        </w:rPr>
      </w:pPr>
    </w:p>
    <w:p>
      <w:pPr>
        <w:pageBreakBefore w:val="0"/>
        <w:kinsoku/>
        <w:wordWrap/>
        <w:overflowPunct/>
        <w:topLinePunct w:val="0"/>
        <w:bidi w:val="0"/>
        <w:spacing w:line="360" w:lineRule="auto"/>
        <w:textAlignment w:val="auto"/>
        <w:rPr>
          <w:rFonts w:hint="eastAsia" w:ascii="宋体" w:hAnsi="宋体" w:eastAsia="宋体" w:cs="宋体"/>
          <w:color w:val="auto"/>
          <w:highlight w:val="none"/>
        </w:rPr>
      </w:pPr>
    </w:p>
    <w:p>
      <w:pPr>
        <w:pageBreakBefore w:val="0"/>
        <w:kinsoku/>
        <w:wordWrap/>
        <w:overflowPunct/>
        <w:topLinePunct w:val="0"/>
        <w:bidi w:val="0"/>
        <w:spacing w:line="360" w:lineRule="auto"/>
        <w:textAlignment w:val="auto"/>
        <w:rPr>
          <w:rFonts w:hint="eastAsia" w:ascii="宋体" w:hAnsi="宋体" w:eastAsia="宋体" w:cs="宋体"/>
          <w:color w:val="auto"/>
          <w:highlight w:val="none"/>
        </w:rPr>
      </w:pPr>
    </w:p>
    <w:p>
      <w:pPr>
        <w:pageBreakBefore w:val="0"/>
        <w:kinsoku/>
        <w:wordWrap/>
        <w:overflowPunct/>
        <w:topLinePunct w:val="0"/>
        <w:bidi w:val="0"/>
        <w:spacing w:line="360" w:lineRule="auto"/>
        <w:textAlignment w:val="auto"/>
        <w:rPr>
          <w:rFonts w:hint="eastAsia" w:ascii="宋体" w:hAnsi="宋体" w:eastAsia="宋体" w:cs="宋体"/>
          <w:color w:val="auto"/>
          <w:highlight w:val="none"/>
        </w:rPr>
      </w:pPr>
    </w:p>
    <w:p>
      <w:pPr>
        <w:pageBreakBefore w:val="0"/>
        <w:kinsoku/>
        <w:wordWrap/>
        <w:overflowPunct/>
        <w:topLinePunct w:val="0"/>
        <w:bidi w:val="0"/>
        <w:spacing w:line="360" w:lineRule="auto"/>
        <w:textAlignment w:val="auto"/>
        <w:rPr>
          <w:rFonts w:hint="eastAsia" w:ascii="宋体" w:hAnsi="宋体" w:eastAsia="宋体" w:cs="宋体"/>
          <w:color w:val="auto"/>
          <w:highlight w:val="none"/>
        </w:rPr>
      </w:pPr>
    </w:p>
    <w:p>
      <w:pPr>
        <w:pageBreakBefore w:val="0"/>
        <w:kinsoku/>
        <w:wordWrap/>
        <w:overflowPunct/>
        <w:topLinePunct w:val="0"/>
        <w:bidi w:val="0"/>
        <w:spacing w:line="360" w:lineRule="auto"/>
        <w:textAlignment w:val="auto"/>
        <w:rPr>
          <w:rFonts w:hint="eastAsia" w:ascii="宋体" w:hAnsi="宋体" w:eastAsia="宋体" w:cs="宋体"/>
          <w:color w:val="auto"/>
          <w:highlight w:val="none"/>
        </w:rPr>
      </w:pPr>
    </w:p>
    <w:p>
      <w:pPr>
        <w:pStyle w:val="20"/>
        <w:rPr>
          <w:rFonts w:hint="eastAsia" w:ascii="宋体" w:hAnsi="宋体" w:eastAsia="宋体" w:cs="宋体"/>
          <w:color w:val="auto"/>
          <w:highlight w:val="none"/>
        </w:rPr>
      </w:pPr>
    </w:p>
    <w:p>
      <w:pPr>
        <w:pStyle w:val="20"/>
        <w:rPr>
          <w:rFonts w:hint="eastAsia" w:ascii="宋体" w:hAnsi="宋体" w:eastAsia="宋体" w:cs="宋体"/>
          <w:color w:val="auto"/>
          <w:highlight w:val="none"/>
        </w:rPr>
      </w:pPr>
    </w:p>
    <w:p>
      <w:pPr>
        <w:pageBreakBefore w:val="0"/>
        <w:kinsoku/>
        <w:wordWrap/>
        <w:overflowPunct/>
        <w:topLinePunct w:val="0"/>
        <w:bidi w:val="0"/>
        <w:spacing w:line="360" w:lineRule="auto"/>
        <w:textAlignment w:val="auto"/>
        <w:rPr>
          <w:rFonts w:hint="eastAsia" w:ascii="宋体" w:hAnsi="宋体" w:eastAsia="宋体" w:cs="宋体"/>
          <w:color w:val="auto"/>
          <w:highlight w:val="none"/>
        </w:rPr>
      </w:pPr>
    </w:p>
    <w:p>
      <w:pPr>
        <w:keepNext w:val="0"/>
        <w:keepLines w:val="0"/>
        <w:pageBreakBefore w:val="0"/>
        <w:widowControl w:val="0"/>
        <w:kinsoku/>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4"/>
          <w:szCs w:val="24"/>
          <w:highlight w:val="none"/>
          <w:lang w:val="en-GB" w:eastAsia="zh-CN"/>
        </w:rPr>
      </w:pPr>
      <w:bookmarkStart w:id="136" w:name="_Toc5973"/>
    </w:p>
    <w:p>
      <w:pPr>
        <w:pStyle w:val="3"/>
        <w:bidi w:val="0"/>
        <w:jc w:val="center"/>
        <w:rPr>
          <w:rFonts w:hint="eastAsia"/>
          <w:sz w:val="24"/>
          <w:szCs w:val="11"/>
          <w:highlight w:val="none"/>
          <w:lang w:val="en-GB" w:eastAsia="zh-CN"/>
        </w:rPr>
      </w:pPr>
      <w:bookmarkStart w:id="137" w:name="_Toc19102"/>
      <w:r>
        <w:rPr>
          <w:rFonts w:hint="eastAsia"/>
          <w:sz w:val="24"/>
          <w:szCs w:val="11"/>
          <w:highlight w:val="none"/>
          <w:lang w:val="en-GB" w:eastAsia="zh-CN"/>
        </w:rPr>
        <w:t>附件十二、中小微企业声明函（如有）</w:t>
      </w:r>
      <w:bookmarkEnd w:id="136"/>
      <w:bookmarkEnd w:id="137"/>
    </w:p>
    <w:p>
      <w:pPr>
        <w:keepNext w:val="0"/>
        <w:keepLines w:val="0"/>
        <w:pageBreakBefore w:val="0"/>
        <w:widowControl/>
        <w:kinsoku/>
        <w:wordWrap/>
        <w:overflowPunct/>
        <w:topLinePunct w:val="0"/>
        <w:autoSpaceDE/>
        <w:autoSpaceDN/>
        <w:bidi w:val="0"/>
        <w:adjustRightInd/>
        <w:snapToGrid/>
        <w:spacing w:line="360" w:lineRule="auto"/>
        <w:ind w:left="480" w:firstLine="480" w:firstLineChars="200"/>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rPr>
        <w:t>本公司郑重声明，根据《政府采购促进中小企业发展暂行办法》（财库[2011]181号）的规定，本公司为</w:t>
      </w:r>
      <w:r>
        <w:rPr>
          <w:rFonts w:hint="eastAsia" w:ascii="宋体" w:hAnsi="宋体" w:eastAsia="宋体" w:cs="宋体"/>
          <w:color w:val="auto"/>
          <w:sz w:val="24"/>
          <w:szCs w:val="24"/>
          <w:highlight w:val="none"/>
          <w:u w:val="single"/>
          <w:lang w:val="en-US" w:eastAsia="zh-CN"/>
        </w:rPr>
        <w:t xml:space="preserve">    （请填写：小型、微型）企业。</w:t>
      </w:r>
      <w:r>
        <w:rPr>
          <w:rFonts w:hint="eastAsia" w:ascii="宋体" w:hAnsi="宋体" w:eastAsia="宋体" w:cs="宋体"/>
          <w:color w:val="auto"/>
          <w:sz w:val="24"/>
          <w:szCs w:val="24"/>
          <w:highlight w:val="none"/>
          <w:u w:val="none"/>
          <w:lang w:val="en-US" w:eastAsia="zh-CN"/>
        </w:rPr>
        <w:t>即，本公司同时满足以下条件：</w:t>
      </w:r>
    </w:p>
    <w:p>
      <w:pPr>
        <w:keepNext w:val="0"/>
        <w:keepLines w:val="0"/>
        <w:pageBreakBefore w:val="0"/>
        <w:widowControl/>
        <w:kinsoku/>
        <w:wordWrap/>
        <w:overflowPunct/>
        <w:topLinePunct w:val="0"/>
        <w:autoSpaceDE/>
        <w:autoSpaceDN/>
        <w:bidi w:val="0"/>
        <w:adjustRightInd/>
        <w:snapToGrid/>
        <w:spacing w:line="360" w:lineRule="auto"/>
        <w:ind w:left="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1、根据《工业和信息化部、国家统计局、国家发展和改革委员会、财政部关于</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印发中小企业划型标准规定的通知》（工信部联企业[2011]300 号）规定的划分标准，</w:t>
      </w:r>
    </w:p>
    <w:p>
      <w:pPr>
        <w:keepNext w:val="0"/>
        <w:keepLines w:val="0"/>
        <w:pageBreakBefore w:val="0"/>
        <w:widowControl/>
        <w:tabs>
          <w:tab w:val="left" w:pos="1540"/>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本公司为</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（请填写：小型、微型）企业。</w:t>
      </w:r>
      <w:r>
        <w:rPr>
          <w:rFonts w:hint="eastAsia" w:ascii="宋体" w:hAnsi="宋体" w:eastAsia="宋体" w:cs="宋体"/>
          <w:color w:val="auto"/>
          <w:sz w:val="24"/>
          <w:szCs w:val="24"/>
          <w:highlight w:val="none"/>
        </w:rPr>
        <w:drawing>
          <wp:anchor distT="0" distB="0" distL="0" distR="0" simplePos="0" relativeHeight="13312" behindDoc="1" locked="0" layoutInCell="0" allowOverlap="1">
            <wp:simplePos x="0" y="0"/>
            <wp:positionH relativeFrom="column">
              <wp:posOffset>607060</wp:posOffset>
            </wp:positionH>
            <wp:positionV relativeFrom="paragraph">
              <wp:posOffset>-6985</wp:posOffset>
            </wp:positionV>
            <wp:extent cx="381000" cy="7620"/>
            <wp:effectExtent l="0" t="0" r="0" b="0"/>
            <wp:wrapNone/>
            <wp:docPr id="1034" name="图片 2"/>
            <wp:cNvGraphicFramePr/>
            <a:graphic xmlns:a="http://schemas.openxmlformats.org/drawingml/2006/main">
              <a:graphicData uri="http://schemas.openxmlformats.org/drawingml/2006/picture">
                <pic:pic xmlns:pic="http://schemas.openxmlformats.org/drawingml/2006/picture">
                  <pic:nvPicPr>
                    <pic:cNvPr id="1034" name="图片 2"/>
                    <pic:cNvPicPr/>
                  </pic:nvPicPr>
                  <pic:blipFill>
                    <a:blip r:embed="rId13" cstate="print"/>
                    <a:srcRect/>
                    <a:stretch>
                      <a:fillRect/>
                    </a:stretch>
                  </pic:blipFill>
                  <pic:spPr>
                    <a:xfrm>
                      <a:off x="0" y="0"/>
                      <a:ext cx="381000" cy="7620"/>
                    </a:xfrm>
                    <a:prstGeom prst="rect">
                      <a:avLst/>
                    </a:prstGeom>
                    <a:ln>
                      <a:noFill/>
                    </a:ln>
                  </pic:spPr>
                </pic:pic>
              </a:graphicData>
            </a:graphic>
          </wp:anchor>
        </w:drawing>
      </w:r>
    </w:p>
    <w:p>
      <w:pPr>
        <w:keepNext w:val="0"/>
        <w:keepLines w:val="0"/>
        <w:pageBreakBefore w:val="0"/>
        <w:widowControl/>
        <w:tabs>
          <w:tab w:val="left" w:pos="2640"/>
          <w:tab w:val="left" w:pos="4240"/>
        </w:tabs>
        <w:kinsoku/>
        <w:wordWrap/>
        <w:overflowPunct/>
        <w:topLinePunct w:val="0"/>
        <w:autoSpaceDE/>
        <w:autoSpaceDN/>
        <w:bidi w:val="0"/>
        <w:adjustRightInd/>
        <w:snapToGrid/>
        <w:spacing w:line="360" w:lineRule="auto"/>
        <w:ind w:left="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2、本公司参加</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项目采购活动提供由本企业提供服务，或者</w:t>
      </w:r>
      <w:r>
        <w:rPr>
          <w:rFonts w:hint="eastAsia" w:ascii="宋体" w:hAnsi="宋体" w:eastAsia="宋体" w:cs="宋体"/>
          <w:color w:val="auto"/>
          <w:sz w:val="24"/>
          <w:szCs w:val="24"/>
          <w:highlight w:val="none"/>
        </w:rPr>
        <w:drawing>
          <wp:anchor distT="0" distB="0" distL="0" distR="0" simplePos="0" relativeHeight="13312" behindDoc="1" locked="0" layoutInCell="0" allowOverlap="1">
            <wp:simplePos x="0" y="0"/>
            <wp:positionH relativeFrom="column">
              <wp:posOffset>1304925</wp:posOffset>
            </wp:positionH>
            <wp:positionV relativeFrom="paragraph">
              <wp:posOffset>-6985</wp:posOffset>
            </wp:positionV>
            <wp:extent cx="389890" cy="7620"/>
            <wp:effectExtent l="0" t="0" r="0" b="0"/>
            <wp:wrapNone/>
            <wp:docPr id="1035" name="图片 3"/>
            <wp:cNvGraphicFramePr/>
            <a:graphic xmlns:a="http://schemas.openxmlformats.org/drawingml/2006/main">
              <a:graphicData uri="http://schemas.openxmlformats.org/drawingml/2006/picture">
                <pic:pic xmlns:pic="http://schemas.openxmlformats.org/drawingml/2006/picture">
                  <pic:nvPicPr>
                    <pic:cNvPr id="1035" name="图片 3"/>
                    <pic:cNvPicPr/>
                  </pic:nvPicPr>
                  <pic:blipFill>
                    <a:blip r:embed="rId14" cstate="print"/>
                    <a:srcRect/>
                    <a:stretch>
                      <a:fillRect/>
                    </a:stretch>
                  </pic:blipFill>
                  <pic:spPr>
                    <a:xfrm>
                      <a:off x="0" y="0"/>
                      <a:ext cx="389889" cy="7620"/>
                    </a:xfrm>
                    <a:prstGeom prst="rect">
                      <a:avLst/>
                    </a:prstGeom>
                    <a:ln>
                      <a:noFill/>
                    </a:ln>
                  </pic:spPr>
                </pic:pic>
              </a:graphicData>
            </a:graphic>
          </wp:anchor>
        </w:drawing>
      </w:r>
      <w:r>
        <w:rPr>
          <w:rFonts w:hint="eastAsia" w:ascii="宋体" w:hAnsi="宋体" w:eastAsia="宋体" w:cs="宋体"/>
          <w:color w:val="auto"/>
          <w:sz w:val="24"/>
          <w:szCs w:val="24"/>
          <w:highlight w:val="none"/>
        </w:rPr>
        <w:drawing>
          <wp:anchor distT="0" distB="0" distL="0" distR="0" simplePos="0" relativeHeight="13312" behindDoc="1" locked="0" layoutInCell="0" allowOverlap="1">
            <wp:simplePos x="0" y="0"/>
            <wp:positionH relativeFrom="column">
              <wp:posOffset>2156460</wp:posOffset>
            </wp:positionH>
            <wp:positionV relativeFrom="paragraph">
              <wp:posOffset>-6985</wp:posOffset>
            </wp:positionV>
            <wp:extent cx="546100" cy="7620"/>
            <wp:effectExtent l="0" t="0" r="0" b="0"/>
            <wp:wrapNone/>
            <wp:docPr id="1036" name="图片 4"/>
            <wp:cNvGraphicFramePr/>
            <a:graphic xmlns:a="http://schemas.openxmlformats.org/drawingml/2006/main">
              <a:graphicData uri="http://schemas.openxmlformats.org/drawingml/2006/picture">
                <pic:pic xmlns:pic="http://schemas.openxmlformats.org/drawingml/2006/picture">
                  <pic:nvPicPr>
                    <pic:cNvPr id="1036" name="图片 4"/>
                    <pic:cNvPicPr/>
                  </pic:nvPicPr>
                  <pic:blipFill>
                    <a:blip r:embed="rId15" cstate="print"/>
                    <a:srcRect/>
                    <a:stretch>
                      <a:fillRect/>
                    </a:stretch>
                  </pic:blipFill>
                  <pic:spPr>
                    <a:xfrm>
                      <a:off x="0" y="0"/>
                      <a:ext cx="546100" cy="7620"/>
                    </a:xfrm>
                    <a:prstGeom prst="rect">
                      <a:avLst/>
                    </a:prstGeom>
                    <a:ln>
                      <a:noFill/>
                    </a:ln>
                  </pic:spPr>
                </pic:pic>
              </a:graphicData>
            </a:graphic>
          </wp:anchor>
        </w:drawing>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提供其他（请填写：小型、微型）企业制造的货物。本条所称货物不包括使用大型企业注册商标的货物。</w:t>
      </w:r>
    </w:p>
    <w:p>
      <w:pPr>
        <w:keepNext w:val="0"/>
        <w:keepLines w:val="0"/>
        <w:pageBreakBefore w:val="0"/>
        <w:widowControl/>
        <w:kinsoku/>
        <w:wordWrap/>
        <w:overflowPunct/>
        <w:topLinePunct w:val="0"/>
        <w:autoSpaceDE/>
        <w:autoSpaceDN/>
        <w:bidi w:val="0"/>
        <w:adjustRightInd/>
        <w:snapToGrid/>
        <w:spacing w:line="360" w:lineRule="auto"/>
        <w:ind w:right="100"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交本声明函的供应商必须在响应文件中提供相应的证明材料并对材料的真实性负法律责任。证明材料包括：上一年度的财务报表;从业人员名单及工资发放明细表、完税证明（以上材料与本声明函一起提供原件，不可缺项，或提供由相关部门出具小微企业的证明，现场由见证单位验证审核，无法提供的不作为小微企业认定）</w:t>
      </w:r>
    </w:p>
    <w:p>
      <w:pPr>
        <w:keepNext w:val="0"/>
        <w:keepLines w:val="0"/>
        <w:pageBreakBefore w:val="0"/>
        <w:widowControl/>
        <w:kinsoku/>
        <w:wordWrap/>
        <w:overflowPunct/>
        <w:topLinePunct w:val="0"/>
        <w:autoSpaceDE/>
        <w:autoSpaceDN/>
        <w:bidi w:val="0"/>
        <w:adjustRightInd/>
        <w:snapToGrid/>
        <w:spacing w:line="360" w:lineRule="auto"/>
        <w:ind w:left="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本公司对上述声明的真实性负责。如有虚假，将依法承担相应责任。</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ind w:left="5880" w:right="2080" w:hanging="1139"/>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pPr>
        <w:autoSpaceDE w:val="0"/>
        <w:autoSpaceDN w:val="0"/>
        <w:spacing w:line="360" w:lineRule="auto"/>
        <w:ind w:firstLine="4800" w:firstLineChars="2000"/>
        <w:rPr>
          <w:rFonts w:hint="eastAsia" w:ascii="宋体" w:hAnsi="宋体" w:eastAsia="宋体" w:cs="宋体"/>
          <w:kern w:val="0"/>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lang w:val="zh-CN"/>
        </w:rPr>
        <w:t>年</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lang w:val="zh-CN"/>
        </w:rPr>
        <w:t xml:space="preserve"> 月</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lang w:val="zh-CN"/>
        </w:rPr>
        <w:t>日</w:t>
      </w:r>
      <w:r>
        <w:rPr>
          <w:rFonts w:hint="eastAsia" w:ascii="宋体" w:hAnsi="宋体" w:eastAsia="宋体" w:cs="宋体"/>
          <w:kern w:val="0"/>
          <w:sz w:val="24"/>
          <w:szCs w:val="24"/>
          <w:highlight w:val="none"/>
        </w:rPr>
        <w:t xml:space="preserve"> </w:t>
      </w:r>
    </w:p>
    <w:p>
      <w:pPr>
        <w:keepNext w:val="0"/>
        <w:keepLines w:val="0"/>
        <w:pageBreakBefore w:val="0"/>
        <w:widowControl/>
        <w:kinsoku/>
        <w:wordWrap/>
        <w:overflowPunct/>
        <w:topLinePunct w:val="0"/>
        <w:autoSpaceDE/>
        <w:autoSpaceDN/>
        <w:bidi w:val="0"/>
        <w:adjustRightInd/>
        <w:snapToGrid/>
        <w:spacing w:line="360" w:lineRule="auto"/>
        <w:ind w:left="5880" w:right="2080" w:hanging="1139"/>
        <w:textAlignment w:val="auto"/>
        <w:outlineLvl w:val="9"/>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ind w:left="5880" w:right="2080" w:hanging="1139"/>
        <w:textAlignment w:val="auto"/>
        <w:outlineLvl w:val="9"/>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ind w:left="5880" w:right="2080" w:hanging="1139"/>
        <w:textAlignment w:val="auto"/>
        <w:outlineLvl w:val="9"/>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ind w:left="5880" w:right="2080" w:hanging="1139"/>
        <w:textAlignment w:val="auto"/>
        <w:outlineLvl w:val="9"/>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ind w:right="2080"/>
        <w:textAlignment w:val="auto"/>
        <w:outlineLvl w:val="9"/>
        <w:rPr>
          <w:rFonts w:hint="eastAsia" w:ascii="宋体" w:hAnsi="宋体" w:eastAsia="宋体" w:cs="宋体"/>
          <w:color w:val="auto"/>
          <w:sz w:val="24"/>
          <w:szCs w:val="24"/>
          <w:highlight w:val="none"/>
        </w:rPr>
      </w:pPr>
    </w:p>
    <w:p>
      <w:pPr>
        <w:pStyle w:val="4"/>
        <w:pageBreakBefore w:val="0"/>
        <w:kinsoku/>
        <w:wordWrap/>
        <w:overflowPunct/>
        <w:topLinePunct w:val="0"/>
        <w:bidi w:val="0"/>
        <w:spacing w:line="360" w:lineRule="auto"/>
        <w:jc w:val="center"/>
        <w:textAlignment w:val="auto"/>
        <w:rPr>
          <w:rFonts w:hint="eastAsia" w:ascii="宋体" w:hAnsi="宋体" w:eastAsia="宋体" w:cs="宋体"/>
          <w:b w:val="0"/>
          <w:bCs w:val="0"/>
          <w:color w:val="auto"/>
          <w:spacing w:val="6"/>
          <w:kern w:val="0"/>
          <w:sz w:val="24"/>
          <w:szCs w:val="24"/>
          <w:highlight w:val="none"/>
          <w:lang w:val="en-GB" w:eastAsia="zh-CN"/>
        </w:rPr>
      </w:pPr>
      <w:bookmarkStart w:id="138" w:name="_Toc15345"/>
      <w:bookmarkStart w:id="139" w:name="_Toc16454"/>
      <w:r>
        <w:rPr>
          <w:rFonts w:hint="eastAsia" w:ascii="宋体" w:hAnsi="宋体" w:eastAsia="宋体" w:cs="宋体"/>
          <w:b/>
          <w:bCs/>
          <w:color w:val="auto"/>
          <w:spacing w:val="6"/>
          <w:kern w:val="0"/>
          <w:sz w:val="24"/>
          <w:szCs w:val="24"/>
          <w:highlight w:val="none"/>
          <w:lang w:val="en-GB" w:eastAsia="zh-CN"/>
        </w:rPr>
        <w:t>从业人员声明函（如有）</w:t>
      </w:r>
      <w:bookmarkEnd w:id="138"/>
      <w:bookmarkEnd w:id="139"/>
    </w:p>
    <w:p>
      <w:pPr>
        <w:pageBreakBefore w:val="0"/>
        <w:kinsoku/>
        <w:wordWrap/>
        <w:overflowPunct/>
        <w:topLinePunct w:val="0"/>
        <w:bidi w:val="0"/>
        <w:spacing w:line="360" w:lineRule="auto"/>
        <w:textAlignment w:val="auto"/>
        <w:rPr>
          <w:rFonts w:hint="eastAsia" w:ascii="宋体" w:hAnsi="宋体" w:eastAsia="宋体" w:cs="宋体"/>
          <w:color w:val="auto"/>
          <w:highlight w:val="none"/>
        </w:rPr>
      </w:pPr>
    </w:p>
    <w:p>
      <w:pPr>
        <w:pageBreakBefore w:val="0"/>
        <w:kinsoku/>
        <w:wordWrap/>
        <w:overflowPunct/>
        <w:topLinePunct w:val="0"/>
        <w:bidi w:val="0"/>
        <w:spacing w:line="360" w:lineRule="auto"/>
        <w:textAlignment w:val="auto"/>
        <w:rPr>
          <w:rFonts w:hint="eastAsia" w:ascii="宋体" w:hAnsi="宋体" w:eastAsia="宋体" w:cs="宋体"/>
          <w:color w:val="auto"/>
          <w:highlight w:val="none"/>
        </w:rPr>
      </w:pPr>
    </w:p>
    <w:p>
      <w:pPr>
        <w:pageBreakBefore w:val="0"/>
        <w:kinsoku/>
        <w:wordWrap/>
        <w:overflowPunct/>
        <w:topLinePunct w:val="0"/>
        <w:bidi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p>
      <w:pPr>
        <w:pageBreakBefore w:val="0"/>
        <w:kinsoku/>
        <w:wordWrap/>
        <w:overflowPunct/>
        <w:topLinePunct w:val="0"/>
        <w:bidi w:val="0"/>
        <w:spacing w:line="360" w:lineRule="auto"/>
        <w:textAlignment w:val="auto"/>
        <w:rPr>
          <w:rFonts w:hint="eastAsia" w:ascii="宋体" w:hAnsi="宋体" w:eastAsia="宋体" w:cs="宋体"/>
          <w:color w:val="auto"/>
          <w:highlight w:val="none"/>
        </w:rPr>
      </w:pPr>
    </w:p>
    <w:p>
      <w:pPr>
        <w:pageBreakBefore w:val="0"/>
        <w:kinsoku/>
        <w:wordWrap/>
        <w:overflowPunct/>
        <w:topLinePunct w:val="0"/>
        <w:bidi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供应商名称：（公章）</w:t>
      </w:r>
    </w:p>
    <w:p>
      <w:pPr>
        <w:pageBreakBefore w:val="0"/>
        <w:kinsoku/>
        <w:wordWrap/>
        <w:overflowPunct/>
        <w:topLinePunct w:val="0"/>
        <w:bidi w:val="0"/>
        <w:spacing w:line="360" w:lineRule="auto"/>
        <w:textAlignment w:val="auto"/>
        <w:rPr>
          <w:rFonts w:hint="eastAsia" w:ascii="宋体" w:hAnsi="宋体" w:eastAsia="宋体" w:cs="宋体"/>
          <w:color w:val="auto"/>
          <w:highlight w:val="none"/>
        </w:rPr>
      </w:pPr>
    </w:p>
    <w:p>
      <w:pPr>
        <w:pageBreakBefore w:val="0"/>
        <w:kinsoku/>
        <w:wordWrap/>
        <w:overflowPunct/>
        <w:topLinePunct w:val="0"/>
        <w:bidi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法定代表人或授权代理人代表签字：</w:t>
      </w:r>
    </w:p>
    <w:p>
      <w:pPr>
        <w:pageBreakBefore w:val="0"/>
        <w:kinsoku/>
        <w:wordWrap/>
        <w:overflowPunct/>
        <w:topLinePunct w:val="0"/>
        <w:bidi w:val="0"/>
        <w:spacing w:line="360" w:lineRule="auto"/>
        <w:textAlignment w:val="auto"/>
        <w:rPr>
          <w:rFonts w:hint="eastAsia" w:ascii="宋体" w:hAnsi="宋体" w:eastAsia="宋体" w:cs="宋体"/>
          <w:color w:val="auto"/>
          <w:highlight w:val="none"/>
        </w:rPr>
      </w:pPr>
    </w:p>
    <w:p>
      <w:pPr>
        <w:pageBreakBefore w:val="0"/>
        <w:kinsoku/>
        <w:wordWrap/>
        <w:overflowPunct/>
        <w:topLinePunct w:val="0"/>
        <w:bidi w:val="0"/>
        <w:spacing w:line="360" w:lineRule="auto"/>
        <w:textAlignment w:val="auto"/>
        <w:rPr>
          <w:rFonts w:hint="eastAsia" w:ascii="宋体" w:hAnsi="宋体" w:eastAsia="宋体" w:cs="宋体"/>
          <w:color w:val="auto"/>
          <w:highlight w:val="none"/>
        </w:rPr>
      </w:pPr>
    </w:p>
    <w:p>
      <w:pPr>
        <w:pageBreakBefore w:val="0"/>
        <w:kinsoku/>
        <w:wordWrap/>
        <w:overflowPunct/>
        <w:topLinePunct w:val="0"/>
        <w:bidi w:val="0"/>
        <w:spacing w:line="360" w:lineRule="auto"/>
        <w:ind w:left="480"/>
        <w:textAlignment w:val="auto"/>
        <w:rPr>
          <w:rFonts w:hint="eastAsia" w:ascii="宋体" w:hAnsi="宋体" w:eastAsia="宋体" w:cs="宋体"/>
          <w:color w:val="auto"/>
          <w:sz w:val="23"/>
          <w:highlight w:val="none"/>
        </w:rPr>
      </w:pPr>
      <w:r>
        <w:rPr>
          <w:rFonts w:hint="eastAsia" w:ascii="宋体" w:hAnsi="宋体" w:eastAsia="宋体" w:cs="宋体"/>
          <w:color w:val="auto"/>
          <w:sz w:val="23"/>
          <w:highlight w:val="none"/>
        </w:rPr>
        <w:t>本公司郑重声明：根据《政府采购促进中小企业发展暂行办法》（财库[2011]181</w:t>
      </w:r>
    </w:p>
    <w:p>
      <w:pPr>
        <w:pageBreakBefore w:val="0"/>
        <w:kinsoku/>
        <w:wordWrap/>
        <w:overflowPunct/>
        <w:topLinePunct w:val="0"/>
        <w:bidi w:val="0"/>
        <w:spacing w:line="360" w:lineRule="auto"/>
        <w:textAlignment w:val="auto"/>
        <w:rPr>
          <w:rFonts w:hint="eastAsia" w:ascii="宋体" w:hAnsi="宋体" w:eastAsia="宋体" w:cs="宋体"/>
          <w:color w:val="auto"/>
          <w:highlight w:val="none"/>
        </w:rPr>
      </w:pPr>
    </w:p>
    <w:p>
      <w:pPr>
        <w:pageBreakBefore w:val="0"/>
        <w:kinsoku/>
        <w:wordWrap/>
        <w:overflowPunct/>
        <w:topLinePunct w:val="0"/>
        <w:bidi w:val="0"/>
        <w:spacing w:line="360" w:lineRule="auto"/>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号）、《工业和信息部、国家统计局、国家发展和改革委员会、财政部关于印发中小企业划型标准规定的通知》（工信部联企业[2011]300 号）规定，本公司从业人员数为________。</w:t>
      </w:r>
    </w:p>
    <w:p>
      <w:pPr>
        <w:pageBreakBefore w:val="0"/>
        <w:kinsoku/>
        <w:wordWrap/>
        <w:overflowPunct/>
        <w:topLinePunct w:val="0"/>
        <w:bidi w:val="0"/>
        <w:spacing w:line="360" w:lineRule="auto"/>
        <w:textAlignment w:val="auto"/>
        <w:rPr>
          <w:rFonts w:hint="eastAsia" w:ascii="宋体" w:hAnsi="宋体" w:eastAsia="宋体" w:cs="宋体"/>
          <w:color w:val="auto"/>
          <w:highlight w:val="none"/>
        </w:rPr>
      </w:pPr>
    </w:p>
    <w:p>
      <w:pPr>
        <w:pageBreakBefore w:val="0"/>
        <w:kinsoku/>
        <w:wordWrap/>
        <w:overflowPunct/>
        <w:topLinePunct w:val="0"/>
        <w:bidi w:val="0"/>
        <w:spacing w:line="360" w:lineRule="auto"/>
        <w:ind w:left="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本公司对上述声明的真实性负责，如有虚假，将依法承担相应责任。</w:t>
      </w:r>
    </w:p>
    <w:p>
      <w:pPr>
        <w:pageBreakBefore w:val="0"/>
        <w:kinsoku/>
        <w:wordWrap/>
        <w:overflowPunct/>
        <w:topLinePunct w:val="0"/>
        <w:bidi w:val="0"/>
        <w:spacing w:line="360" w:lineRule="auto"/>
        <w:ind w:left="480"/>
        <w:textAlignment w:val="auto"/>
        <w:rPr>
          <w:rFonts w:hint="eastAsia" w:ascii="宋体" w:hAnsi="宋体" w:eastAsia="宋体" w:cs="宋体"/>
          <w:color w:val="auto"/>
          <w:sz w:val="24"/>
          <w:highlight w:val="none"/>
        </w:rPr>
        <w:sectPr>
          <w:pgSz w:w="11900" w:h="16840"/>
          <w:pgMar w:top="1191" w:right="1304" w:bottom="1020" w:left="1304" w:header="567" w:footer="567" w:gutter="0"/>
          <w:pgNumType w:fmt="decimal"/>
          <w:cols w:equalWidth="0" w:num="1">
            <w:col w:w="8860"/>
          </w:cols>
          <w:rtlGutter w:val="0"/>
          <w:docGrid w:linePitch="360" w:charSpace="0"/>
        </w:sectPr>
      </w:pPr>
    </w:p>
    <w:p>
      <w:pPr>
        <w:pStyle w:val="3"/>
        <w:bidi w:val="0"/>
        <w:jc w:val="center"/>
        <w:rPr>
          <w:rFonts w:hint="eastAsia" w:ascii="宋体" w:hAnsi="宋体" w:eastAsia="宋体" w:cs="宋体"/>
          <w:b/>
          <w:sz w:val="24"/>
          <w:szCs w:val="24"/>
          <w:highlight w:val="none"/>
        </w:rPr>
      </w:pPr>
      <w:bookmarkStart w:id="140" w:name="_Toc8900"/>
      <w:r>
        <w:rPr>
          <w:rFonts w:hint="eastAsia" w:ascii="宋体" w:hAnsi="宋体" w:eastAsia="宋体" w:cs="宋体"/>
          <w:b/>
          <w:sz w:val="24"/>
          <w:szCs w:val="24"/>
          <w:highlight w:val="none"/>
          <w:lang w:eastAsia="zh-CN"/>
        </w:rPr>
        <w:t>附件十三、</w:t>
      </w:r>
      <w:r>
        <w:rPr>
          <w:rFonts w:hint="eastAsia" w:ascii="宋体" w:hAnsi="宋体" w:eastAsia="宋体" w:cs="宋体"/>
          <w:b/>
          <w:sz w:val="24"/>
          <w:szCs w:val="24"/>
          <w:highlight w:val="none"/>
        </w:rPr>
        <w:t>政府采购投标担保函 （</w:t>
      </w:r>
      <w:r>
        <w:rPr>
          <w:rFonts w:hint="eastAsia" w:ascii="宋体" w:hAnsi="宋体" w:eastAsia="宋体" w:cs="宋体"/>
          <w:b/>
          <w:sz w:val="24"/>
          <w:szCs w:val="24"/>
          <w:highlight w:val="none"/>
          <w:lang w:eastAsia="zh-CN"/>
        </w:rPr>
        <w:t>如需</w:t>
      </w:r>
      <w:r>
        <w:rPr>
          <w:rFonts w:hint="eastAsia" w:ascii="宋体" w:hAnsi="宋体" w:eastAsia="宋体" w:cs="宋体"/>
          <w:b/>
          <w:sz w:val="24"/>
          <w:szCs w:val="24"/>
          <w:highlight w:val="none"/>
        </w:rPr>
        <w:t>）</w:t>
      </w:r>
      <w:bookmarkEnd w:id="140"/>
    </w:p>
    <w:p>
      <w:pPr>
        <w:keepNext w:val="0"/>
        <w:keepLines w:val="0"/>
        <w:pageBreakBefore w:val="0"/>
        <w:widowControl w:val="0"/>
        <w:kinsoku/>
        <w:wordWrap w:val="0"/>
        <w:overflowPunct/>
        <w:topLinePunct w:val="0"/>
        <w:autoSpaceDE/>
        <w:autoSpaceDN/>
        <w:bidi w:val="0"/>
        <w:adjustRightInd/>
        <w:snapToGrid/>
        <w:spacing w:line="360" w:lineRule="auto"/>
        <w:jc w:val="righ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编号：      </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（采购人或采购代理机构）：</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鉴于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（以下简称“投标人”）拟参加编号为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keepNext w:val="0"/>
        <w:keepLines w:val="0"/>
        <w:pageBreakBefore w:val="0"/>
        <w:widowControl w:val="0"/>
        <w:kinsoku/>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一、保证责任的情形及保证金额</w:t>
      </w:r>
    </w:p>
    <w:p>
      <w:pPr>
        <w:keepNext w:val="0"/>
        <w:keepLines w:val="0"/>
        <w:pageBreakBefore w:val="0"/>
        <w:widowControl w:val="0"/>
        <w:kinsoku/>
        <w:overflowPunct/>
        <w:topLinePunct w:val="0"/>
        <w:autoSpaceDE/>
        <w:autoSpaceDN/>
        <w:bidi w:val="0"/>
        <w:adjustRightInd/>
        <w:snapToGrid/>
        <w:spacing w:line="360" w:lineRule="auto"/>
        <w:ind w:firstLine="240" w:firstLineChars="1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（一）在投标人出现下列情形之一时，我方承担保证责任：</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1．中标后投标人无正当理由不与采购人或者采购代理机构签订《政府采购合同》；</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2．招标文件规定的投标人应当缴纳保证金的其他情形。</w:t>
      </w:r>
    </w:p>
    <w:p>
      <w:pPr>
        <w:keepNext w:val="0"/>
        <w:keepLines w:val="0"/>
        <w:pageBreakBefore w:val="0"/>
        <w:widowControl w:val="0"/>
        <w:kinsoku/>
        <w:overflowPunct/>
        <w:topLinePunct w:val="0"/>
        <w:autoSpaceDE/>
        <w:autoSpaceDN/>
        <w:bidi w:val="0"/>
        <w:adjustRightInd/>
        <w:snapToGrid/>
        <w:spacing w:line="360" w:lineRule="auto"/>
        <w:ind w:firstLine="240" w:firstLineChars="1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（二）我方承担保证责任的最高金额为人民币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），即本项目的投标保证金金额。</w:t>
      </w:r>
    </w:p>
    <w:p>
      <w:pPr>
        <w:keepNext w:val="0"/>
        <w:keepLines w:val="0"/>
        <w:pageBreakBefore w:val="0"/>
        <w:widowControl w:val="0"/>
        <w:kinsoku/>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二、保证的方式及保证期间</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我方保证的方式为：连带责任保证。</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我方的保证期间为：自本保函生效之日起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个月止。</w:t>
      </w:r>
    </w:p>
    <w:p>
      <w:pPr>
        <w:keepNext w:val="0"/>
        <w:keepLines w:val="0"/>
        <w:pageBreakBefore w:val="0"/>
        <w:widowControl w:val="0"/>
        <w:kinsoku/>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三、承担保证责任的程序</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2．我方在收到索赔通知及相关证明材料后，在</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个工作日内进行审查，符合应承担保证责任情形的，我方应按照你方的要求代投标人向你方支付投标保证金。</w:t>
      </w:r>
    </w:p>
    <w:p>
      <w:pPr>
        <w:keepNext w:val="0"/>
        <w:keepLines w:val="0"/>
        <w:pageBreakBefore w:val="0"/>
        <w:widowControl w:val="0"/>
        <w:kinsoku/>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四、保证责任的终止</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1．保证期间届满你方未向我方书面主张保证责任的，自保证期间届满次日起，我方保证责任自动终止。</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2．我方按照本保函向你贵方履行了保证责任后，自我方向你贵方支付款项（支付款项从我方账户划出）之日起，保证责任终止。</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3．按照法律法规的规定或出现我方保证责任终止的其它情形的，我方在本保函项下的保证责任亦终止。</w:t>
      </w:r>
    </w:p>
    <w:p>
      <w:pPr>
        <w:keepNext w:val="0"/>
        <w:keepLines w:val="0"/>
        <w:pageBreakBefore w:val="0"/>
        <w:widowControl w:val="0"/>
        <w:kinsoku/>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五、免责条款</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1．依照法律规定或你方与投标人的另行约定，全部或者部分免除投标人投标保证金义务时，我方亦免除相应的保证责任。</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2．因你方原因致使投标人发生本保函第一条第（一）款约定情形的，我方不承担保证责任。</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3．因不可抗力造成投标人发生本保函第一条约定情形的，我方不承担保证责任。</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4．你方或其他有权机关对招标文件进行任何澄清或修改，加重我方保证责任的，我方对加重部分不承担保证责任，但该澄清或修改经我方事先书面同意的除外。</w:t>
      </w:r>
    </w:p>
    <w:p>
      <w:pPr>
        <w:keepNext w:val="0"/>
        <w:keepLines w:val="0"/>
        <w:pageBreakBefore w:val="0"/>
        <w:widowControl w:val="0"/>
        <w:kinsoku/>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六、争议的解决</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因本保函发生的纠纷，由你我双方协商解决，协商不成的，通过诉讼程序解决，诉讼管辖地法院为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法院。</w:t>
      </w:r>
    </w:p>
    <w:p>
      <w:pPr>
        <w:keepNext w:val="0"/>
        <w:keepLines w:val="0"/>
        <w:pageBreakBefore w:val="0"/>
        <w:widowControl w:val="0"/>
        <w:kinsoku/>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七、保函的生效</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本保函自我方加盖公章之日起生效。</w:t>
      </w:r>
    </w:p>
    <w:p>
      <w:pPr>
        <w:keepNext w:val="0"/>
        <w:keepLines w:val="0"/>
        <w:pageBreakBefore w:val="0"/>
        <w:widowControl w:val="0"/>
        <w:kinsoku/>
        <w:overflowPunct/>
        <w:topLinePunct w:val="0"/>
        <w:autoSpaceDE/>
        <w:autoSpaceDN/>
        <w:bidi w:val="0"/>
        <w:adjustRightInd/>
        <w:snapToGrid/>
        <w:spacing w:line="360" w:lineRule="auto"/>
        <w:jc w:val="right"/>
        <w:textAlignment w:val="auto"/>
        <w:outlineLvl w:val="9"/>
        <w:rPr>
          <w:rFonts w:hint="eastAsia" w:ascii="宋体" w:hAnsi="宋体" w:eastAsia="宋体" w:cs="宋体"/>
          <w:sz w:val="24"/>
          <w:szCs w:val="24"/>
          <w:highlight w:val="none"/>
        </w:rPr>
      </w:pPr>
    </w:p>
    <w:p>
      <w:pPr>
        <w:keepNext w:val="0"/>
        <w:keepLines w:val="0"/>
        <w:pageBreakBefore w:val="0"/>
        <w:widowControl w:val="0"/>
        <w:kinsoku/>
        <w:overflowPunct/>
        <w:topLinePunct w:val="0"/>
        <w:autoSpaceDE/>
        <w:autoSpaceDN/>
        <w:bidi w:val="0"/>
        <w:adjustRightInd/>
        <w:snapToGrid/>
        <w:spacing w:line="360" w:lineRule="auto"/>
        <w:jc w:val="righ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保证人：（公章）</w:t>
      </w:r>
    </w:p>
    <w:p>
      <w:pPr>
        <w:keepNext w:val="0"/>
        <w:keepLines w:val="0"/>
        <w:pageBreakBefore w:val="0"/>
        <w:widowControl w:val="0"/>
        <w:kinsoku/>
        <w:overflowPunct/>
        <w:topLinePunct w:val="0"/>
        <w:autoSpaceDE/>
        <w:autoSpaceDN/>
        <w:bidi w:val="0"/>
        <w:adjustRightInd/>
        <w:snapToGrid/>
        <w:spacing w:line="360" w:lineRule="auto"/>
        <w:jc w:val="righ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pPr>
        <w:pStyle w:val="3"/>
        <w:jc w:val="center"/>
        <w:rPr>
          <w:rFonts w:hint="eastAsia" w:ascii="宋体" w:hAnsi="宋体" w:eastAsia="宋体" w:cs="宋体"/>
          <w:sz w:val="24"/>
          <w:szCs w:val="24"/>
          <w:highlight w:val="none"/>
          <w:lang w:val="en-GB" w:eastAsia="zh-CN"/>
        </w:rPr>
      </w:pPr>
      <w:bookmarkStart w:id="141" w:name="_Toc15444"/>
      <w:r>
        <w:rPr>
          <w:rFonts w:hint="eastAsia" w:ascii="宋体" w:hAnsi="宋体" w:eastAsia="宋体" w:cs="宋体"/>
          <w:sz w:val="24"/>
          <w:szCs w:val="24"/>
          <w:highlight w:val="none"/>
          <w:lang w:eastAsia="zh-CN"/>
        </w:rPr>
        <w:t>附件十四、</w:t>
      </w:r>
      <w:r>
        <w:rPr>
          <w:rFonts w:hint="eastAsia" w:ascii="宋体" w:hAnsi="宋体" w:eastAsia="宋体" w:cs="宋体"/>
          <w:sz w:val="24"/>
          <w:szCs w:val="24"/>
          <w:highlight w:val="none"/>
          <w:lang w:val="en-GB" w:eastAsia="zh-CN"/>
        </w:rPr>
        <w:t>封面及密封包格式</w:t>
      </w:r>
      <w:bookmarkEnd w:id="141"/>
    </w:p>
    <w:tbl>
      <w:tblPr>
        <w:tblStyle w:val="21"/>
        <w:tblW w:w="91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0"/>
        <w:gridCol w:w="4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5" w:hRule="atLeast"/>
          <w:jc w:val="center"/>
        </w:trPr>
        <w:tc>
          <w:tcPr>
            <w:tcW w:w="4590" w:type="dxa"/>
          </w:tcPr>
          <w:p>
            <w:pPr>
              <w:pageBreakBefore w:val="0"/>
              <w:kinsoku/>
              <w:wordWrap/>
              <w:overflowPunct/>
              <w:topLinePunct w:val="0"/>
              <w:bidi w:val="0"/>
              <w:spacing w:line="360" w:lineRule="auto"/>
              <w:ind w:left="-153"/>
              <w:textAlignment w:val="auto"/>
              <w:rPr>
                <w:rFonts w:hint="eastAsia" w:ascii="宋体" w:hAnsi="宋体" w:eastAsia="宋体" w:cs="宋体"/>
                <w:color w:val="auto"/>
                <w:sz w:val="24"/>
                <w:szCs w:val="24"/>
                <w:highlight w:val="none"/>
              </w:rPr>
            </w:pPr>
          </w:p>
          <w:p>
            <w:pPr>
              <w:pageBreakBefore w:val="0"/>
              <w:kinsoku/>
              <w:wordWrap/>
              <w:overflowPunct/>
              <w:topLinePunct w:val="0"/>
              <w:autoSpaceDE w:val="0"/>
              <w:autoSpaceDN w:val="0"/>
              <w:bidi w:val="0"/>
              <w:spacing w:before="120" w:after="120" w:line="360" w:lineRule="auto"/>
              <w:jc w:val="righ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（正本）</w:t>
            </w:r>
          </w:p>
          <w:p>
            <w:pPr>
              <w:pageBreakBefore w:val="0"/>
              <w:kinsoku/>
              <w:wordWrap/>
              <w:overflowPunct/>
              <w:topLinePunct w:val="0"/>
              <w:autoSpaceDE w:val="0"/>
              <w:autoSpaceDN w:val="0"/>
              <w:bidi w:val="0"/>
              <w:spacing w:before="120" w:after="120" w:line="360" w:lineRule="auto"/>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投标文件 </w:t>
            </w:r>
          </w:p>
          <w:p>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投标人名称（公章）：</w:t>
            </w:r>
          </w:p>
          <w:p>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p>
          <w:p>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p>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c>
          <w:tcPr>
            <w:tcW w:w="4591" w:type="dxa"/>
          </w:tcPr>
          <w:p>
            <w:pPr>
              <w:pageBreakBefore w:val="0"/>
              <w:kinsoku/>
              <w:wordWrap/>
              <w:overflowPunct/>
              <w:topLinePunct w:val="0"/>
              <w:bidi w:val="0"/>
              <w:spacing w:line="360" w:lineRule="auto"/>
              <w:ind w:left="-153"/>
              <w:textAlignment w:val="auto"/>
              <w:rPr>
                <w:rFonts w:hint="eastAsia" w:ascii="宋体" w:hAnsi="宋体" w:eastAsia="宋体" w:cs="宋体"/>
                <w:color w:val="auto"/>
                <w:sz w:val="24"/>
                <w:szCs w:val="24"/>
                <w:highlight w:val="none"/>
              </w:rPr>
            </w:pPr>
          </w:p>
          <w:p>
            <w:pPr>
              <w:pageBreakBefore w:val="0"/>
              <w:kinsoku/>
              <w:wordWrap/>
              <w:overflowPunct/>
              <w:topLinePunct w:val="0"/>
              <w:autoSpaceDE w:val="0"/>
              <w:autoSpaceDN w:val="0"/>
              <w:bidi w:val="0"/>
              <w:spacing w:before="120" w:after="120" w:line="360" w:lineRule="auto"/>
              <w:jc w:val="righ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（副本）</w:t>
            </w:r>
          </w:p>
          <w:p>
            <w:pPr>
              <w:pageBreakBefore w:val="0"/>
              <w:kinsoku/>
              <w:wordWrap/>
              <w:overflowPunct/>
              <w:topLinePunct w:val="0"/>
              <w:autoSpaceDE w:val="0"/>
              <w:autoSpaceDN w:val="0"/>
              <w:bidi w:val="0"/>
              <w:spacing w:before="120" w:after="12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 xml:space="preserve">投标文件 </w:t>
            </w:r>
          </w:p>
          <w:p>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投标人名称（公章）：</w:t>
            </w:r>
          </w:p>
          <w:p>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p>
          <w:p>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p>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r>
    </w:tbl>
    <w:p>
      <w:pPr>
        <w:pageBreakBefore w:val="0"/>
        <w:kinsoku/>
        <w:wordWrap/>
        <w:overflowPunct/>
        <w:topLinePunct w:val="0"/>
        <w:bidi w:val="0"/>
        <w:spacing w:line="360" w:lineRule="auto"/>
        <w:ind w:firstLine="723" w:firstLineChars="300"/>
        <w:jc w:val="center"/>
        <w:textAlignment w:val="auto"/>
        <w:rPr>
          <w:rFonts w:hint="eastAsia" w:ascii="宋体" w:hAnsi="宋体" w:eastAsia="宋体" w:cs="宋体"/>
          <w:b/>
          <w:bCs/>
          <w:color w:val="auto"/>
          <w:sz w:val="24"/>
          <w:szCs w:val="24"/>
          <w:highlight w:val="none"/>
        </w:rPr>
      </w:pPr>
    </w:p>
    <w:tbl>
      <w:tblPr>
        <w:tblStyle w:val="21"/>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2"/>
        <w:gridCol w:w="4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2" w:hRule="atLeast"/>
          <w:jc w:val="center"/>
        </w:trPr>
        <w:tc>
          <w:tcPr>
            <w:tcW w:w="4572" w:type="dxa"/>
          </w:tcPr>
          <w:p>
            <w:pPr>
              <w:pageBreakBefore w:val="0"/>
              <w:kinsoku/>
              <w:wordWrap/>
              <w:overflowPunct/>
              <w:topLinePunct w:val="0"/>
              <w:bidi w:val="0"/>
              <w:spacing w:line="360" w:lineRule="auto"/>
              <w:ind w:left="-153"/>
              <w:textAlignment w:val="auto"/>
              <w:rPr>
                <w:rFonts w:hint="eastAsia" w:ascii="宋体" w:hAnsi="宋体" w:eastAsia="宋体" w:cs="宋体"/>
                <w:color w:val="auto"/>
                <w:sz w:val="24"/>
                <w:szCs w:val="24"/>
                <w:highlight w:val="none"/>
              </w:rPr>
            </w:pPr>
          </w:p>
          <w:p>
            <w:pPr>
              <w:pageBreakBefore w:val="0"/>
              <w:kinsoku/>
              <w:wordWrap/>
              <w:overflowPunct/>
              <w:topLinePunct w:val="0"/>
              <w:autoSpaceDE w:val="0"/>
              <w:autoSpaceDN w:val="0"/>
              <w:bidi w:val="0"/>
              <w:spacing w:before="120" w:after="12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唱标单</w:t>
            </w:r>
          </w:p>
          <w:p>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投标人名称（公章）：</w:t>
            </w:r>
          </w:p>
          <w:p>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p>
          <w:p>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p>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c>
          <w:tcPr>
            <w:tcW w:w="4572" w:type="dxa"/>
            <w:vAlign w:val="center"/>
          </w:tcPr>
          <w:p>
            <w:pPr>
              <w:pageBreakBefore w:val="0"/>
              <w:kinsoku/>
              <w:wordWrap/>
              <w:overflowPunct/>
              <w:topLinePunct w:val="0"/>
              <w:autoSpaceDE w:val="0"/>
              <w:autoSpaceDN w:val="0"/>
              <w:bidi w:val="0"/>
              <w:spacing w:before="120" w:after="120" w:line="360" w:lineRule="auto"/>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电子版</w:t>
            </w:r>
          </w:p>
          <w:p>
            <w:pPr>
              <w:pageBreakBefore w:val="0"/>
              <w:kinsoku/>
              <w:wordWrap/>
              <w:overflowPunct/>
              <w:topLinePunct w:val="0"/>
              <w:bidi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pPr>
              <w:pageBreakBefore w:val="0"/>
              <w:kinsoku/>
              <w:wordWrap/>
              <w:overflowPunct/>
              <w:topLinePunct w:val="0"/>
              <w:bidi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pPr>
              <w:pageBreakBefore w:val="0"/>
              <w:kinsoku/>
              <w:wordWrap/>
              <w:overflowPunct/>
              <w:topLinePunct w:val="0"/>
              <w:bidi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投标人名称（公章）：</w:t>
            </w:r>
          </w:p>
          <w:p>
            <w:pPr>
              <w:pageBreakBefore w:val="0"/>
              <w:kinsoku/>
              <w:wordWrap/>
              <w:overflowPunct/>
              <w:topLinePunct w:val="0"/>
              <w:bidi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p>
          <w:p>
            <w:pPr>
              <w:pageBreakBefore w:val="0"/>
              <w:kinsoku/>
              <w:wordWrap/>
              <w:overflowPunct/>
              <w:topLinePunct w:val="0"/>
              <w:bidi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p>
            <w:pPr>
              <w:pageBreakBefore w:val="0"/>
              <w:kinsoku/>
              <w:wordWrap/>
              <w:overflowPunct/>
              <w:topLinePunct w:val="0"/>
              <w:bidi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r>
    </w:tbl>
    <w:p>
      <w:pPr>
        <w:pageBreakBefore w:val="0"/>
        <w:kinsoku/>
        <w:wordWrap/>
        <w:overflowPunct/>
        <w:topLinePunct w:val="0"/>
        <w:bidi w:val="0"/>
        <w:spacing w:line="360" w:lineRule="auto"/>
        <w:ind w:firstLine="723" w:firstLineChars="300"/>
        <w:jc w:val="center"/>
        <w:textAlignment w:val="auto"/>
        <w:rPr>
          <w:rFonts w:hint="eastAsia" w:ascii="宋体" w:hAnsi="宋体" w:eastAsia="宋体" w:cs="宋体"/>
          <w:b/>
          <w:bCs/>
          <w:color w:val="auto"/>
          <w:sz w:val="24"/>
          <w:szCs w:val="24"/>
          <w:highlight w:val="none"/>
        </w:rPr>
      </w:pPr>
    </w:p>
    <w:p>
      <w:pPr>
        <w:pageBreakBefore w:val="0"/>
        <w:kinsoku/>
        <w:wordWrap/>
        <w:overflowPunct/>
        <w:topLinePunct w:val="0"/>
        <w:bidi w:val="0"/>
        <w:spacing w:line="360" w:lineRule="auto"/>
        <w:jc w:val="center"/>
        <w:textAlignment w:val="auto"/>
        <w:rPr>
          <w:rFonts w:hint="eastAsia" w:ascii="宋体" w:hAnsi="宋体" w:eastAsia="宋体" w:cs="宋体"/>
          <w:b w:val="0"/>
          <w:bCs w:val="0"/>
          <w:color w:val="auto"/>
          <w:sz w:val="24"/>
          <w:szCs w:val="24"/>
          <w:highlight w:val="none"/>
        </w:rPr>
      </w:pPr>
      <w:bookmarkStart w:id="142" w:name="_Toc12256_WPSOffice_Level2"/>
      <w:bookmarkStart w:id="143" w:name="_Toc11521_WPSOffice_Level2"/>
      <w:r>
        <w:rPr>
          <w:rFonts w:hint="eastAsia" w:ascii="宋体" w:hAnsi="宋体" w:eastAsia="宋体" w:cs="宋体"/>
          <w:b/>
          <w:bCs/>
          <w:color w:val="auto"/>
          <w:sz w:val="24"/>
          <w:szCs w:val="24"/>
          <w:highlight w:val="none"/>
        </w:rPr>
        <w:t>封口格式：</w:t>
      </w:r>
      <w:bookmarkEnd w:id="142"/>
      <w:bookmarkEnd w:id="143"/>
    </w:p>
    <w:tbl>
      <w:tblPr>
        <w:tblStyle w:val="21"/>
        <w:tblW w:w="9162" w:type="dxa"/>
        <w:jc w:val="center"/>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9162" w:type="dxa"/>
            <w:vAlign w:val="center"/>
          </w:tcPr>
          <w:p>
            <w:pPr>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于     年   月    日    之前不准启封（公章）</w:t>
            </w:r>
            <w:r>
              <w:rPr>
                <w:rFonts w:hint="eastAsia" w:ascii="宋体" w:hAnsi="宋体" w:eastAsia="宋体" w:cs="宋体"/>
                <w:b/>
                <w:bCs/>
                <w:color w:val="auto"/>
                <w:sz w:val="24"/>
                <w:szCs w:val="24"/>
                <w:highlight w:val="none"/>
              </w:rPr>
              <w:t>......</w:t>
            </w:r>
          </w:p>
        </w:tc>
      </w:tr>
    </w:tbl>
    <w:p>
      <w:pPr>
        <w:pageBreakBefore w:val="0"/>
        <w:tabs>
          <w:tab w:val="left" w:pos="3520"/>
        </w:tabs>
        <w:kinsoku/>
        <w:wordWrap/>
        <w:overflowPunct/>
        <w:topLinePunct w:val="0"/>
        <w:bidi w:val="0"/>
        <w:spacing w:line="360" w:lineRule="auto"/>
        <w:ind w:left="1720"/>
        <w:textAlignment w:val="auto"/>
        <w:rPr>
          <w:rFonts w:hint="eastAsia" w:ascii="宋体" w:hAnsi="宋体" w:eastAsia="宋体" w:cs="宋体"/>
          <w:b/>
          <w:color w:val="auto"/>
          <w:sz w:val="24"/>
          <w:szCs w:val="24"/>
          <w:highlight w:val="none"/>
          <w:lang w:eastAsia="zh-CN"/>
        </w:rPr>
      </w:pPr>
    </w:p>
    <w:p>
      <w:pPr>
        <w:pageBreakBefore w:val="0"/>
        <w:tabs>
          <w:tab w:val="left" w:pos="3520"/>
        </w:tabs>
        <w:kinsoku/>
        <w:wordWrap/>
        <w:overflowPunct/>
        <w:topLinePunct w:val="0"/>
        <w:bidi w:val="0"/>
        <w:spacing w:line="360" w:lineRule="auto"/>
        <w:textAlignment w:val="auto"/>
        <w:rPr>
          <w:rFonts w:hint="eastAsia" w:ascii="宋体" w:hAnsi="宋体" w:eastAsia="宋体" w:cs="宋体"/>
          <w:b/>
          <w:color w:val="auto"/>
          <w:sz w:val="24"/>
          <w:szCs w:val="24"/>
          <w:highlight w:val="none"/>
          <w:lang w:eastAsia="zh-CN"/>
        </w:rPr>
      </w:pPr>
    </w:p>
    <w:p>
      <w:pPr>
        <w:pageBreakBefore w:val="0"/>
        <w:kinsoku/>
        <w:wordWrap/>
        <w:overflowPunct/>
        <w:topLinePunct w:val="0"/>
        <w:bidi w:val="0"/>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p>
    <w:p>
      <w:pPr>
        <w:pageBreakBefore w:val="0"/>
        <w:kinsoku/>
        <w:wordWrap/>
        <w:overflowPunct/>
        <w:topLinePunct w:val="0"/>
        <w:bidi w:val="0"/>
        <w:spacing w:line="360" w:lineRule="auto"/>
        <w:jc w:val="center"/>
        <w:textAlignment w:val="auto"/>
        <w:rPr>
          <w:rStyle w:val="23"/>
          <w:rFonts w:hint="eastAsia" w:ascii="宋体" w:hAnsi="宋体" w:eastAsia="宋体" w:cs="宋体"/>
          <w:color w:val="auto"/>
          <w:spacing w:val="0"/>
          <w:sz w:val="24"/>
          <w:szCs w:val="24"/>
          <w:highlight w:val="none"/>
          <w:lang w:val="en-US" w:eastAsia="zh-CN"/>
        </w:rPr>
      </w:pPr>
      <w:bookmarkStart w:id="144" w:name="_Toc5378_WPSOffice_Level2"/>
      <w:bookmarkStart w:id="145" w:name="_Toc17026_WPSOffice_Level2"/>
      <w:r>
        <w:rPr>
          <w:rFonts w:hint="eastAsia" w:ascii="宋体" w:hAnsi="宋体" w:eastAsia="宋体" w:cs="宋体"/>
          <w:b/>
          <w:bCs/>
          <w:color w:val="auto"/>
          <w:kern w:val="2"/>
          <w:sz w:val="24"/>
          <w:szCs w:val="24"/>
          <w:highlight w:val="none"/>
          <w:lang w:val="en-US" w:eastAsia="zh-CN" w:bidi="ar-SA"/>
        </w:rPr>
        <w:t>投标文件书脊</w:t>
      </w:r>
      <w:r>
        <w:rPr>
          <w:rStyle w:val="23"/>
          <w:rFonts w:hint="eastAsia" w:ascii="宋体" w:hAnsi="宋体" w:eastAsia="宋体" w:cs="宋体"/>
          <w:color w:val="auto"/>
          <w:spacing w:val="0"/>
          <w:sz w:val="24"/>
          <w:szCs w:val="24"/>
          <w:highlight w:val="none"/>
        </w:rPr>
        <w:cr/>
      </w:r>
      <w:r>
        <w:rPr>
          <w:rStyle w:val="23"/>
          <w:rFonts w:hint="eastAsia" w:ascii="宋体" w:hAnsi="宋体" w:eastAsia="宋体" w:cs="宋体"/>
          <w:color w:val="auto"/>
          <w:spacing w:val="0"/>
          <w:sz w:val="24"/>
          <w:szCs w:val="24"/>
          <w:highlight w:val="none"/>
        </w:rPr>
        <w:t>各投标单位，书脊内容请按照以下格式填写</w:t>
      </w:r>
      <w:r>
        <w:rPr>
          <w:rStyle w:val="23"/>
          <w:rFonts w:hint="eastAsia" w:ascii="宋体" w:hAnsi="宋体" w:eastAsia="宋体" w:cs="宋体"/>
          <w:color w:val="auto"/>
          <w:spacing w:val="0"/>
          <w:sz w:val="24"/>
          <w:szCs w:val="24"/>
          <w:highlight w:val="none"/>
          <w:lang w:eastAsia="zh-CN"/>
        </w:rPr>
        <w:t>：</w:t>
      </w:r>
      <w:bookmarkEnd w:id="144"/>
      <w:bookmarkEnd w:id="145"/>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2"/>
        <w:gridCol w:w="885"/>
        <w:gridCol w:w="3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1" w:hRule="atLeast"/>
        </w:trPr>
        <w:tc>
          <w:tcPr>
            <w:tcW w:w="3842" w:type="dxa"/>
          </w:tcPr>
          <w:p>
            <w:pPr>
              <w:pStyle w:val="36"/>
              <w:pageBreakBefore w:val="0"/>
              <w:widowControl w:val="0"/>
              <w:kinsoku/>
              <w:wordWrap/>
              <w:overflowPunct/>
              <w:topLinePunct w:val="0"/>
              <w:bidi w:val="0"/>
              <w:spacing w:before="381" w:after="0" w:line="360" w:lineRule="auto"/>
              <w:ind w:right="0"/>
              <w:jc w:val="left"/>
              <w:textAlignment w:val="auto"/>
              <w:rPr>
                <w:rStyle w:val="23"/>
                <w:rFonts w:hint="eastAsia" w:ascii="宋体" w:hAnsi="宋体" w:eastAsia="宋体" w:cs="宋体"/>
                <w:color w:val="auto"/>
                <w:spacing w:val="0"/>
                <w:sz w:val="24"/>
                <w:szCs w:val="24"/>
                <w:highlight w:val="none"/>
                <w:vertAlign w:val="baseline"/>
                <w:lang w:val="en-US" w:eastAsia="zh-CN"/>
              </w:rPr>
            </w:pPr>
            <w:r>
              <w:rPr>
                <w:rStyle w:val="23"/>
                <w:rFonts w:hint="eastAsia" w:ascii="宋体" w:hAnsi="宋体" w:eastAsia="宋体" w:cs="宋体"/>
                <w:color w:val="auto"/>
                <w:spacing w:val="0"/>
                <w:sz w:val="24"/>
                <w:szCs w:val="24"/>
                <w:highlight w:val="none"/>
                <w:vertAlign w:val="baseline"/>
                <w:lang w:val="en-US" w:eastAsia="zh-CN"/>
              </w:rPr>
              <w:t xml:space="preserve">       </w:t>
            </w:r>
          </w:p>
          <w:p>
            <w:pPr>
              <w:pStyle w:val="36"/>
              <w:pageBreakBefore w:val="0"/>
              <w:widowControl w:val="0"/>
              <w:kinsoku/>
              <w:wordWrap/>
              <w:overflowPunct/>
              <w:topLinePunct w:val="0"/>
              <w:bidi w:val="0"/>
              <w:spacing w:before="381" w:after="0" w:line="360" w:lineRule="auto"/>
              <w:ind w:right="0" w:firstLine="1680" w:firstLineChars="700"/>
              <w:jc w:val="left"/>
              <w:textAlignment w:val="auto"/>
              <w:rPr>
                <w:rStyle w:val="23"/>
                <w:rFonts w:hint="eastAsia" w:ascii="宋体" w:hAnsi="宋体" w:eastAsia="宋体" w:cs="宋体"/>
                <w:color w:val="auto"/>
                <w:spacing w:val="0"/>
                <w:sz w:val="24"/>
                <w:szCs w:val="24"/>
                <w:highlight w:val="none"/>
                <w:vertAlign w:val="baseline"/>
                <w:lang w:val="en-US" w:eastAsia="zh-CN"/>
              </w:rPr>
            </w:pPr>
            <w:r>
              <w:rPr>
                <w:rStyle w:val="23"/>
                <w:rFonts w:hint="eastAsia" w:ascii="宋体" w:hAnsi="宋体" w:eastAsia="宋体" w:cs="宋体"/>
                <w:color w:val="auto"/>
                <w:spacing w:val="0"/>
                <w:sz w:val="24"/>
                <w:szCs w:val="24"/>
                <w:highlight w:val="none"/>
                <w:vertAlign w:val="baseline"/>
                <w:lang w:val="en-US" w:eastAsia="zh-CN"/>
              </w:rPr>
              <w:t>标书背面</w:t>
            </w:r>
          </w:p>
        </w:tc>
        <w:tc>
          <w:tcPr>
            <w:tcW w:w="885" w:type="dxa"/>
          </w:tcPr>
          <w:p>
            <w:pPr>
              <w:pStyle w:val="36"/>
              <w:pageBreakBefore w:val="0"/>
              <w:widowControl w:val="0"/>
              <w:kinsoku/>
              <w:wordWrap/>
              <w:overflowPunct/>
              <w:topLinePunct w:val="0"/>
              <w:bidi w:val="0"/>
              <w:spacing w:before="381" w:after="0" w:line="360" w:lineRule="auto"/>
              <w:jc w:val="left"/>
              <w:textAlignment w:val="auto"/>
              <w:rPr>
                <w:rStyle w:val="23"/>
                <w:rFonts w:hint="eastAsia" w:ascii="宋体" w:hAnsi="宋体" w:eastAsia="宋体" w:cs="宋体"/>
                <w:color w:val="auto"/>
                <w:spacing w:val="0"/>
                <w:sz w:val="24"/>
                <w:szCs w:val="24"/>
                <w:highlight w:val="none"/>
                <w:vertAlign w:val="baseline"/>
                <w:lang w:val="en-US" w:eastAsia="zh-CN"/>
              </w:rPr>
            </w:pPr>
            <w:r>
              <w:rPr>
                <w:rStyle w:val="23"/>
                <w:rFonts w:hint="eastAsia" w:ascii="宋体" w:hAnsi="宋体" w:eastAsia="宋体" w:cs="宋体"/>
                <w:color w:val="auto"/>
                <w:spacing w:val="0"/>
                <w:sz w:val="24"/>
                <w:szCs w:val="24"/>
                <w:highlight w:val="none"/>
                <w:vertAlign w:val="baseline"/>
                <w:lang w:val="en-US" w:eastAsia="zh-CN"/>
              </w:rPr>
              <w:t xml:space="preserve">正本（副本）     </w:t>
            </w:r>
          </w:p>
          <w:p>
            <w:pPr>
              <w:pStyle w:val="36"/>
              <w:pageBreakBefore w:val="0"/>
              <w:widowControl w:val="0"/>
              <w:kinsoku/>
              <w:wordWrap/>
              <w:overflowPunct/>
              <w:topLinePunct w:val="0"/>
              <w:bidi w:val="0"/>
              <w:spacing w:before="381" w:after="0" w:line="360" w:lineRule="auto"/>
              <w:ind w:left="200" w:leftChars="100" w:firstLine="480" w:firstLineChars="200"/>
              <w:jc w:val="left"/>
              <w:textAlignment w:val="auto"/>
              <w:rPr>
                <w:rStyle w:val="23"/>
                <w:rFonts w:hint="eastAsia" w:ascii="宋体" w:hAnsi="宋体" w:eastAsia="宋体" w:cs="宋体"/>
                <w:color w:val="auto"/>
                <w:spacing w:val="0"/>
                <w:sz w:val="24"/>
                <w:szCs w:val="24"/>
                <w:highlight w:val="none"/>
                <w:vertAlign w:val="baseline"/>
                <w:lang w:val="en-US" w:eastAsia="zh-CN"/>
              </w:rPr>
            </w:pPr>
            <w:r>
              <w:rPr>
                <w:rStyle w:val="23"/>
                <w:rFonts w:hint="eastAsia" w:ascii="宋体" w:hAnsi="宋体" w:eastAsia="宋体" w:cs="宋体"/>
                <w:color w:val="auto"/>
                <w:spacing w:val="0"/>
                <w:sz w:val="24"/>
                <w:szCs w:val="24"/>
                <w:highlight w:val="none"/>
                <w:vertAlign w:val="baseline"/>
                <w:lang w:val="en-US" w:eastAsia="zh-CN"/>
              </w:rPr>
              <w:t xml:space="preserve"> 项  目   名  称     </w:t>
            </w:r>
          </w:p>
          <w:p>
            <w:pPr>
              <w:pStyle w:val="36"/>
              <w:pageBreakBefore w:val="0"/>
              <w:widowControl w:val="0"/>
              <w:kinsoku/>
              <w:wordWrap/>
              <w:overflowPunct/>
              <w:topLinePunct w:val="0"/>
              <w:bidi w:val="0"/>
              <w:spacing w:before="381" w:after="0" w:line="360" w:lineRule="auto"/>
              <w:ind w:left="200" w:leftChars="100" w:firstLine="0" w:firstLineChars="0"/>
              <w:jc w:val="left"/>
              <w:textAlignment w:val="auto"/>
              <w:rPr>
                <w:rStyle w:val="23"/>
                <w:rFonts w:hint="eastAsia" w:ascii="宋体" w:hAnsi="宋体" w:eastAsia="宋体" w:cs="宋体"/>
                <w:color w:val="auto"/>
                <w:spacing w:val="0"/>
                <w:sz w:val="24"/>
                <w:szCs w:val="24"/>
                <w:highlight w:val="none"/>
                <w:vertAlign w:val="baseline"/>
                <w:lang w:val="en-US" w:eastAsia="zh-CN"/>
              </w:rPr>
            </w:pPr>
            <w:r>
              <w:rPr>
                <w:rStyle w:val="23"/>
                <w:rFonts w:hint="eastAsia" w:ascii="宋体" w:hAnsi="宋体" w:eastAsia="宋体" w:cs="宋体"/>
                <w:color w:val="auto"/>
                <w:spacing w:val="0"/>
                <w:sz w:val="24"/>
                <w:szCs w:val="24"/>
                <w:highlight w:val="none"/>
                <w:vertAlign w:val="baseline"/>
                <w:lang w:val="en-US" w:eastAsia="zh-CN"/>
              </w:rPr>
              <w:t xml:space="preserve">投  标  单  位  名  称               </w:t>
            </w:r>
            <w:r>
              <w:rPr>
                <w:rStyle w:val="23"/>
                <w:rFonts w:hint="eastAsia" w:ascii="宋体" w:hAnsi="宋体" w:eastAsia="宋体" w:cs="宋体"/>
                <w:color w:val="auto"/>
                <w:spacing w:val="0"/>
                <w:sz w:val="24"/>
                <w:szCs w:val="24"/>
                <w:highlight w:val="none"/>
                <w:lang w:val="en-US" w:eastAsia="zh-CN"/>
              </w:rPr>
              <w:t xml:space="preserve">            </w:t>
            </w:r>
          </w:p>
        </w:tc>
        <w:tc>
          <w:tcPr>
            <w:tcW w:w="3795" w:type="dxa"/>
          </w:tcPr>
          <w:p>
            <w:pPr>
              <w:pStyle w:val="36"/>
              <w:pageBreakBefore w:val="0"/>
              <w:widowControl w:val="0"/>
              <w:kinsoku/>
              <w:wordWrap/>
              <w:overflowPunct/>
              <w:topLinePunct w:val="0"/>
              <w:bidi w:val="0"/>
              <w:spacing w:before="381" w:after="0" w:line="360" w:lineRule="auto"/>
              <w:ind w:right="0" w:firstLine="48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投标文件</w:t>
            </w:r>
          </w:p>
          <w:p>
            <w:pPr>
              <w:pStyle w:val="36"/>
              <w:pageBreakBefore w:val="0"/>
              <w:widowControl w:val="0"/>
              <w:kinsoku/>
              <w:wordWrap/>
              <w:overflowPunct/>
              <w:topLinePunct w:val="0"/>
              <w:bidi w:val="0"/>
              <w:spacing w:before="381" w:after="0" w:line="360" w:lineRule="auto"/>
              <w:ind w:right="0" w:firstLine="48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正</w:t>
            </w:r>
            <w:r>
              <w:rPr>
                <w:rFonts w:hint="eastAsia" w:ascii="宋体" w:hAnsi="宋体" w:eastAsia="宋体" w:cs="宋体"/>
                <w:color w:val="auto"/>
                <w:sz w:val="24"/>
                <w:szCs w:val="24"/>
                <w:highlight w:val="none"/>
                <w:lang w:val="en-US" w:eastAsia="zh-CN"/>
              </w:rPr>
              <w:t>/副本</w:t>
            </w:r>
          </w:p>
          <w:p>
            <w:pPr>
              <w:pageBreakBefore w:val="0"/>
              <w:widowControl w:val="0"/>
              <w:kinsoku/>
              <w:wordWrap/>
              <w:overflowPunct/>
              <w:topLinePunct w:val="0"/>
              <w:bidi w:val="0"/>
              <w:spacing w:line="360" w:lineRule="auto"/>
              <w:jc w:val="both"/>
              <w:textAlignment w:val="auto"/>
              <w:rPr>
                <w:rFonts w:hint="eastAsia" w:ascii="宋体" w:hAnsi="宋体" w:eastAsia="宋体" w:cs="宋体"/>
                <w:color w:val="auto"/>
                <w:sz w:val="24"/>
                <w:szCs w:val="24"/>
                <w:highlight w:val="none"/>
              </w:rPr>
            </w:pPr>
          </w:p>
          <w:p>
            <w:pPr>
              <w:pageBreakBefore w:val="0"/>
              <w:widowControl w:val="0"/>
              <w:kinsoku/>
              <w:wordWrap/>
              <w:overflowPunct/>
              <w:topLinePunct w:val="0"/>
              <w:bidi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pPr>
              <w:pageBreakBefore w:val="0"/>
              <w:widowControl w:val="0"/>
              <w:kinsoku/>
              <w:wordWrap/>
              <w:overflowPunct/>
              <w:topLinePunct w:val="0"/>
              <w:bidi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pPr>
              <w:pageBreakBefore w:val="0"/>
              <w:widowControl w:val="0"/>
              <w:kinsoku/>
              <w:wordWrap/>
              <w:overflowPunct/>
              <w:topLinePunct w:val="0"/>
              <w:bidi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投标人名称（公章）：</w:t>
            </w:r>
          </w:p>
          <w:p>
            <w:pPr>
              <w:pageBreakBefore w:val="0"/>
              <w:widowControl w:val="0"/>
              <w:kinsoku/>
              <w:wordWrap/>
              <w:overflowPunct/>
              <w:topLinePunct w:val="0"/>
              <w:bidi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p>
          <w:p>
            <w:pPr>
              <w:pageBreakBefore w:val="0"/>
              <w:widowControl w:val="0"/>
              <w:kinsoku/>
              <w:wordWrap/>
              <w:overflowPunct/>
              <w:topLinePunct w:val="0"/>
              <w:bidi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p>
            <w:pPr>
              <w:pStyle w:val="30"/>
              <w:widowControl w:val="0"/>
              <w:ind w:left="0" w:leftChars="0" w:firstLine="0" w:firstLineChars="0"/>
              <w:jc w:val="both"/>
              <w:rPr>
                <w:rStyle w:val="23"/>
                <w:rFonts w:hint="eastAsia" w:ascii="宋体" w:hAnsi="宋体" w:eastAsia="宋体" w:cs="宋体"/>
                <w:color w:val="auto"/>
                <w:spacing w:val="0"/>
                <w:sz w:val="24"/>
                <w:szCs w:val="24"/>
                <w:highlight w:val="none"/>
                <w:vertAlign w:val="baseline"/>
                <w:lang w:val="en-US" w:eastAsia="zh-CN"/>
              </w:rPr>
            </w:pPr>
            <w:r>
              <w:rPr>
                <w:rFonts w:hint="eastAsia" w:ascii="宋体" w:hAnsi="宋体" w:eastAsia="宋体" w:cs="宋体"/>
                <w:color w:val="auto"/>
                <w:sz w:val="24"/>
                <w:szCs w:val="24"/>
                <w:highlight w:val="none"/>
              </w:rPr>
              <w:t>联 系 人</w:t>
            </w:r>
            <w:r>
              <w:rPr>
                <w:rFonts w:hint="eastAsia" w:ascii="宋体" w:hAnsi="宋体" w:eastAsia="宋体" w:cs="宋体"/>
                <w:color w:val="auto"/>
                <w:sz w:val="24"/>
                <w:szCs w:val="24"/>
                <w:highlight w:val="none"/>
                <w:lang w:eastAsia="zh-CN"/>
              </w:rPr>
              <w:t>：</w:t>
            </w:r>
          </w:p>
        </w:tc>
      </w:tr>
    </w:tbl>
    <w:p>
      <w:pPr>
        <w:pStyle w:val="36"/>
        <w:pageBreakBefore w:val="0"/>
        <w:kinsoku/>
        <w:wordWrap/>
        <w:overflowPunct/>
        <w:topLinePunct w:val="0"/>
        <w:bidi w:val="0"/>
        <w:spacing w:before="381" w:after="0" w:line="360" w:lineRule="auto"/>
        <w:ind w:right="0"/>
        <w:jc w:val="left"/>
        <w:textAlignment w:val="auto"/>
        <w:rPr>
          <w:rStyle w:val="23"/>
          <w:rFonts w:hint="eastAsia" w:ascii="宋体" w:hAnsi="宋体" w:eastAsia="宋体" w:cs="宋体"/>
          <w:color w:val="auto"/>
          <w:spacing w:val="0"/>
          <w:sz w:val="24"/>
          <w:szCs w:val="24"/>
          <w:highlight w:val="none"/>
          <w:lang w:val="en-US" w:eastAsia="zh-CN"/>
        </w:rPr>
      </w:pPr>
    </w:p>
    <w:p>
      <w:pPr>
        <w:pageBreakBefore w:val="0"/>
        <w:kinsoku/>
        <w:wordWrap/>
        <w:overflowPunct/>
        <w:topLinePunct w:val="0"/>
        <w:bidi w:val="0"/>
        <w:spacing w:line="360" w:lineRule="auto"/>
        <w:ind w:firstLine="463" w:firstLineChars="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注：书脊内容从上到下分别是：正（副）本、项目名称、投标单位名称。</w:t>
      </w:r>
    </w:p>
    <w:p>
      <w:pPr>
        <w:pStyle w:val="8"/>
        <w:spacing w:line="360" w:lineRule="auto"/>
        <w:ind w:right="270" w:rightChars="135"/>
        <w:jc w:val="center"/>
        <w:rPr>
          <w:rFonts w:hint="eastAsia" w:ascii="宋体" w:hAnsi="宋体" w:eastAsia="宋体" w:cs="宋体"/>
          <w:b/>
          <w:sz w:val="24"/>
          <w:szCs w:val="24"/>
          <w:highlight w:val="none"/>
          <w:lang w:val="en-US" w:eastAsia="zh-CN"/>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autoSpaceDE w:val="0"/>
        <w:autoSpaceDN w:val="0"/>
        <w:adjustRightInd w:val="0"/>
        <w:spacing w:line="360" w:lineRule="auto"/>
        <w:jc w:val="left"/>
        <w:rPr>
          <w:rFonts w:hint="eastAsia" w:ascii="宋体" w:hAnsi="宋体" w:eastAsia="宋体" w:cs="宋体"/>
          <w:kern w:val="0"/>
          <w:sz w:val="24"/>
          <w:szCs w:val="24"/>
          <w:highlight w:val="none"/>
        </w:rPr>
      </w:pPr>
      <w:bookmarkStart w:id="146" w:name="_Toc525723074"/>
    </w:p>
    <w:bookmarkEnd w:id="146"/>
    <w:p>
      <w:pPr>
        <w:pStyle w:val="28"/>
        <w:ind w:left="0" w:leftChars="0" w:firstLine="0" w:firstLineChars="0"/>
        <w:rPr>
          <w:rFonts w:hint="eastAsia" w:ascii="宋体" w:hAnsi="宋体" w:eastAsia="宋体" w:cs="宋体"/>
          <w:bCs/>
          <w:sz w:val="24"/>
          <w:szCs w:val="24"/>
          <w:highlight w:val="none"/>
        </w:rPr>
      </w:pPr>
    </w:p>
    <w:p>
      <w:pPr>
        <w:pStyle w:val="28"/>
        <w:ind w:left="0" w:leftChars="0" w:firstLine="0" w:firstLineChars="0"/>
        <w:rPr>
          <w:rFonts w:hint="eastAsia" w:ascii="宋体" w:hAnsi="宋体" w:eastAsia="宋体" w:cs="宋体"/>
          <w:bCs/>
          <w:sz w:val="24"/>
          <w:szCs w:val="24"/>
          <w:highlight w:val="none"/>
        </w:rPr>
      </w:pPr>
    </w:p>
    <w:p>
      <w:pPr>
        <w:pStyle w:val="28"/>
        <w:ind w:left="0" w:leftChars="0" w:firstLine="0" w:firstLineChars="0"/>
        <w:rPr>
          <w:rFonts w:hint="eastAsia" w:ascii="宋体" w:hAnsi="宋体" w:eastAsia="宋体" w:cs="宋体"/>
          <w:bCs/>
          <w:sz w:val="24"/>
          <w:szCs w:val="24"/>
          <w:highlight w:val="none"/>
        </w:rPr>
      </w:pPr>
    </w:p>
    <w:p>
      <w:pPr>
        <w:pStyle w:val="28"/>
        <w:ind w:left="0" w:leftChars="0" w:firstLine="0" w:firstLineChars="0"/>
        <w:rPr>
          <w:rFonts w:hint="eastAsia" w:ascii="宋体" w:hAnsi="宋体" w:eastAsia="宋体" w:cs="宋体"/>
          <w:bCs/>
          <w:sz w:val="24"/>
          <w:szCs w:val="24"/>
          <w:highlight w:val="none"/>
        </w:rPr>
      </w:pPr>
    </w:p>
    <w:p>
      <w:pPr>
        <w:pStyle w:val="28"/>
        <w:rPr>
          <w:rFonts w:hint="eastAsia" w:ascii="宋体" w:hAnsi="宋体" w:eastAsia="宋体" w:cs="宋体"/>
          <w:bCs/>
          <w:sz w:val="24"/>
          <w:szCs w:val="24"/>
          <w:highlight w:val="none"/>
        </w:rPr>
      </w:pPr>
    </w:p>
    <w:p>
      <w:pPr>
        <w:pStyle w:val="3"/>
        <w:jc w:val="center"/>
        <w:rPr>
          <w:rFonts w:hint="eastAsia" w:ascii="宋体" w:hAnsi="宋体" w:eastAsia="宋体" w:cs="宋体"/>
          <w:sz w:val="24"/>
          <w:szCs w:val="24"/>
          <w:highlight w:val="none"/>
          <w:lang w:val="en-US" w:eastAsia="zh-CN"/>
        </w:rPr>
      </w:pPr>
      <w:bookmarkStart w:id="147" w:name="_Toc19001"/>
      <w:r>
        <w:rPr>
          <w:rFonts w:hint="eastAsia" w:ascii="宋体" w:hAnsi="宋体" w:eastAsia="宋体" w:cs="宋体"/>
          <w:sz w:val="24"/>
          <w:szCs w:val="24"/>
          <w:highlight w:val="none"/>
          <w:lang w:val="en-US" w:eastAsia="zh-CN"/>
        </w:rPr>
        <w:t>附件十五、评分细则</w:t>
      </w:r>
      <w:bookmarkEnd w:id="147"/>
    </w:p>
    <w:tbl>
      <w:tblPr>
        <w:tblStyle w:val="21"/>
        <w:tblW w:w="9514" w:type="dxa"/>
        <w:jc w:val="center"/>
        <w:tblInd w:w="0" w:type="dxa"/>
        <w:tblLayout w:type="fixed"/>
        <w:tblCellMar>
          <w:top w:w="0" w:type="dxa"/>
          <w:left w:w="108" w:type="dxa"/>
          <w:bottom w:w="0" w:type="dxa"/>
          <w:right w:w="108" w:type="dxa"/>
        </w:tblCellMar>
      </w:tblPr>
      <w:tblGrid>
        <w:gridCol w:w="1262"/>
        <w:gridCol w:w="1448"/>
        <w:gridCol w:w="6804"/>
      </w:tblGrid>
      <w:tr>
        <w:tblPrEx>
          <w:tblLayout w:type="fixed"/>
          <w:tblCellMar>
            <w:top w:w="0" w:type="dxa"/>
            <w:left w:w="108" w:type="dxa"/>
            <w:bottom w:w="0" w:type="dxa"/>
            <w:right w:w="108" w:type="dxa"/>
          </w:tblCellMar>
        </w:tblPrEx>
        <w:trPr>
          <w:trHeight w:val="570" w:hRule="atLeast"/>
          <w:jc w:val="center"/>
        </w:trPr>
        <w:tc>
          <w:tcPr>
            <w:tcW w:w="1262" w:type="dxa"/>
            <w:tcBorders>
              <w:top w:val="single" w:color="000000" w:sz="4" w:space="0"/>
              <w:left w:val="single" w:color="000000" w:sz="4" w:space="0"/>
              <w:bottom w:val="single" w:color="000000" w:sz="4" w:space="0"/>
              <w:right w:val="single" w:color="000000" w:sz="4" w:space="0"/>
            </w:tcBorders>
            <w:vAlign w:val="center"/>
          </w:tcPr>
          <w:p>
            <w:pPr>
              <w:pStyle w:val="39"/>
              <w:spacing w:line="360" w:lineRule="auto"/>
              <w:ind w:left="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448" w:type="dxa"/>
            <w:tcBorders>
              <w:top w:val="single" w:color="000000" w:sz="4" w:space="0"/>
              <w:bottom w:val="single" w:color="000000" w:sz="4" w:space="0"/>
              <w:right w:val="single" w:color="000000" w:sz="4" w:space="0"/>
            </w:tcBorders>
            <w:vAlign w:val="center"/>
          </w:tcPr>
          <w:p>
            <w:pPr>
              <w:pStyle w:val="39"/>
              <w:spacing w:line="360" w:lineRule="auto"/>
              <w:ind w:left="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内容</w:t>
            </w:r>
          </w:p>
        </w:tc>
        <w:tc>
          <w:tcPr>
            <w:tcW w:w="6804" w:type="dxa"/>
            <w:tcBorders>
              <w:top w:val="single" w:color="000000" w:sz="4" w:space="0"/>
              <w:bottom w:val="single" w:color="000000" w:sz="4" w:space="0"/>
              <w:right w:val="single" w:color="000000" w:sz="4" w:space="0"/>
            </w:tcBorders>
            <w:vAlign w:val="center"/>
          </w:tcPr>
          <w:p>
            <w:pPr>
              <w:pStyle w:val="39"/>
              <w:spacing w:line="360" w:lineRule="auto"/>
              <w:ind w:left="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评分标准</w:t>
            </w:r>
          </w:p>
        </w:tc>
      </w:tr>
      <w:tr>
        <w:tblPrEx>
          <w:tblLayout w:type="fixed"/>
          <w:tblCellMar>
            <w:top w:w="0" w:type="dxa"/>
            <w:left w:w="108" w:type="dxa"/>
            <w:bottom w:w="0" w:type="dxa"/>
            <w:right w:w="108" w:type="dxa"/>
          </w:tblCellMar>
        </w:tblPrEx>
        <w:trPr>
          <w:trHeight w:val="1140" w:hRule="atLeast"/>
          <w:jc w:val="center"/>
        </w:trPr>
        <w:tc>
          <w:tcPr>
            <w:tcW w:w="1262" w:type="dxa"/>
            <w:vMerge w:val="restart"/>
            <w:tcBorders>
              <w:left w:val="single" w:color="000000" w:sz="4" w:space="0"/>
              <w:right w:val="single" w:color="000000" w:sz="4" w:space="0"/>
            </w:tcBorders>
            <w:vAlign w:val="center"/>
          </w:tcPr>
          <w:p>
            <w:pPr>
              <w:pStyle w:val="39"/>
              <w:spacing w:line="360" w:lineRule="auto"/>
              <w:ind w:left="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价格部分</w:t>
            </w:r>
          </w:p>
          <w:p>
            <w:pPr>
              <w:pStyle w:val="39"/>
              <w:spacing w:line="360" w:lineRule="auto"/>
              <w:ind w:left="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（30分）</w:t>
            </w:r>
          </w:p>
        </w:tc>
        <w:tc>
          <w:tcPr>
            <w:tcW w:w="1448" w:type="dxa"/>
            <w:tcBorders>
              <w:bottom w:val="single" w:color="000000" w:sz="4" w:space="0"/>
              <w:right w:val="single" w:color="000000" w:sz="4" w:space="0"/>
            </w:tcBorders>
            <w:vAlign w:val="center"/>
          </w:tcPr>
          <w:p>
            <w:pPr>
              <w:pStyle w:val="39"/>
              <w:spacing w:line="360" w:lineRule="auto"/>
              <w:ind w:left="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工时费总报价（15分）</w:t>
            </w:r>
          </w:p>
        </w:tc>
        <w:tc>
          <w:tcPr>
            <w:tcW w:w="6804" w:type="dxa"/>
            <w:tcBorders>
              <w:bottom w:val="single" w:color="000000" w:sz="4" w:space="0"/>
              <w:right w:val="single" w:color="000000" w:sz="4" w:space="0"/>
            </w:tcBorders>
            <w:vAlign w:val="center"/>
          </w:tcPr>
          <w:p>
            <w:pPr>
              <w:pStyle w:val="39"/>
              <w:spacing w:line="360" w:lineRule="auto"/>
              <w:ind w:left="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以满足文件要求的最低工时费总报价为评标基准价，评标基准价为满分15分，其他投标人的投标报价得分按照下列公式计算：工时费总报价得分＝（评标基准价/工时费投标报价）×15。（得分保留至小数点后两位，第三位四舍五入。）</w:t>
            </w:r>
          </w:p>
        </w:tc>
      </w:tr>
      <w:tr>
        <w:tblPrEx>
          <w:tblLayout w:type="fixed"/>
          <w:tblCellMar>
            <w:top w:w="0" w:type="dxa"/>
            <w:left w:w="108" w:type="dxa"/>
            <w:bottom w:w="0" w:type="dxa"/>
            <w:right w:w="108" w:type="dxa"/>
          </w:tblCellMar>
        </w:tblPrEx>
        <w:trPr>
          <w:trHeight w:val="557" w:hRule="atLeast"/>
          <w:jc w:val="center"/>
        </w:trPr>
        <w:tc>
          <w:tcPr>
            <w:tcW w:w="1262" w:type="dxa"/>
            <w:vMerge w:val="continue"/>
            <w:tcBorders>
              <w:left w:val="single" w:color="000000" w:sz="4" w:space="0"/>
              <w:right w:val="single" w:color="000000" w:sz="4" w:space="0"/>
            </w:tcBorders>
            <w:vAlign w:val="center"/>
          </w:tcPr>
          <w:p>
            <w:pPr>
              <w:pStyle w:val="39"/>
              <w:spacing w:line="360" w:lineRule="auto"/>
              <w:ind w:left="8"/>
              <w:jc w:val="center"/>
              <w:rPr>
                <w:rFonts w:hint="eastAsia" w:ascii="宋体" w:hAnsi="宋体" w:eastAsia="宋体" w:cs="宋体"/>
                <w:sz w:val="24"/>
                <w:szCs w:val="24"/>
                <w:highlight w:val="none"/>
              </w:rPr>
            </w:pPr>
          </w:p>
        </w:tc>
        <w:tc>
          <w:tcPr>
            <w:tcW w:w="1448" w:type="dxa"/>
            <w:tcBorders>
              <w:bottom w:val="single" w:color="000000" w:sz="4" w:space="0"/>
              <w:right w:val="single" w:color="000000" w:sz="4" w:space="0"/>
            </w:tcBorders>
            <w:vAlign w:val="center"/>
          </w:tcPr>
          <w:p>
            <w:pPr>
              <w:pStyle w:val="39"/>
              <w:spacing w:line="360" w:lineRule="auto"/>
              <w:ind w:left="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配件费总报价（10分）</w:t>
            </w:r>
          </w:p>
        </w:tc>
        <w:tc>
          <w:tcPr>
            <w:tcW w:w="6804" w:type="dxa"/>
            <w:tcBorders>
              <w:bottom w:val="single" w:color="000000" w:sz="4" w:space="0"/>
              <w:right w:val="single" w:color="000000" w:sz="4" w:space="0"/>
            </w:tcBorders>
            <w:vAlign w:val="center"/>
          </w:tcPr>
          <w:p>
            <w:pPr>
              <w:pStyle w:val="39"/>
              <w:spacing w:line="360" w:lineRule="auto"/>
              <w:ind w:left="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满足招标文件要求且配件费总报价最低的投标报价为评标基准价，评标基准价为满分10 分，其他投标人的投标报价得分按照下列公式计算：</w:t>
            </w:r>
          </w:p>
          <w:p>
            <w:pPr>
              <w:pStyle w:val="39"/>
              <w:spacing w:line="360" w:lineRule="auto"/>
              <w:ind w:left="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配件费总报价得分＝（评标基准价/配件费投标报价）×10。（得分保留至小数点后两位，第三位四舍五入。）</w:t>
            </w:r>
          </w:p>
        </w:tc>
      </w:tr>
      <w:tr>
        <w:tblPrEx>
          <w:tblLayout w:type="fixed"/>
          <w:tblCellMar>
            <w:top w:w="0" w:type="dxa"/>
            <w:left w:w="108" w:type="dxa"/>
            <w:bottom w:w="0" w:type="dxa"/>
            <w:right w:w="108" w:type="dxa"/>
          </w:tblCellMar>
        </w:tblPrEx>
        <w:trPr>
          <w:trHeight w:val="963" w:hRule="atLeast"/>
          <w:jc w:val="center"/>
        </w:trPr>
        <w:tc>
          <w:tcPr>
            <w:tcW w:w="1262" w:type="dxa"/>
            <w:vMerge w:val="continue"/>
            <w:tcBorders>
              <w:left w:val="single" w:color="000000" w:sz="4" w:space="0"/>
              <w:bottom w:val="single" w:color="auto" w:sz="4" w:space="0"/>
              <w:right w:val="single" w:color="000000" w:sz="4" w:space="0"/>
            </w:tcBorders>
            <w:vAlign w:val="center"/>
          </w:tcPr>
          <w:p>
            <w:pPr>
              <w:pStyle w:val="39"/>
              <w:spacing w:line="360" w:lineRule="auto"/>
              <w:ind w:left="8"/>
              <w:jc w:val="center"/>
              <w:rPr>
                <w:rFonts w:hint="eastAsia" w:ascii="宋体" w:hAnsi="宋体" w:eastAsia="宋体" w:cs="宋体"/>
                <w:sz w:val="24"/>
                <w:szCs w:val="24"/>
                <w:highlight w:val="none"/>
              </w:rPr>
            </w:pPr>
          </w:p>
        </w:tc>
        <w:tc>
          <w:tcPr>
            <w:tcW w:w="1448" w:type="dxa"/>
            <w:tcBorders>
              <w:bottom w:val="single" w:color="auto" w:sz="4" w:space="0"/>
              <w:right w:val="single" w:color="000000" w:sz="4" w:space="0"/>
            </w:tcBorders>
            <w:vAlign w:val="center"/>
          </w:tcPr>
          <w:p>
            <w:pPr>
              <w:pStyle w:val="39"/>
              <w:spacing w:line="360" w:lineRule="auto"/>
              <w:ind w:left="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报价合理性（5分）</w:t>
            </w:r>
          </w:p>
        </w:tc>
        <w:tc>
          <w:tcPr>
            <w:tcW w:w="6804" w:type="dxa"/>
            <w:tcBorders>
              <w:bottom w:val="single" w:color="auto" w:sz="4" w:space="0"/>
              <w:right w:val="single" w:color="000000" w:sz="4" w:space="0"/>
            </w:tcBorders>
            <w:vAlign w:val="center"/>
          </w:tcPr>
          <w:p>
            <w:pPr>
              <w:pStyle w:val="39"/>
              <w:spacing w:line="360" w:lineRule="auto"/>
              <w:ind w:left="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由评委根据市场行情，综合考虑各投标单位的分项报价的合理性，在1-5分范围内打分。</w:t>
            </w:r>
          </w:p>
        </w:tc>
      </w:tr>
      <w:tr>
        <w:tblPrEx>
          <w:tblLayout w:type="fixed"/>
          <w:tblCellMar>
            <w:top w:w="0" w:type="dxa"/>
            <w:left w:w="108" w:type="dxa"/>
            <w:bottom w:w="0" w:type="dxa"/>
            <w:right w:w="108" w:type="dxa"/>
          </w:tblCellMar>
        </w:tblPrEx>
        <w:trPr>
          <w:trHeight w:val="1365" w:hRule="atLeast"/>
          <w:jc w:val="center"/>
        </w:trPr>
        <w:tc>
          <w:tcPr>
            <w:tcW w:w="1262" w:type="dxa"/>
            <w:tcBorders>
              <w:top w:val="single" w:color="auto" w:sz="4" w:space="0"/>
              <w:left w:val="single" w:color="auto" w:sz="4" w:space="0"/>
              <w:bottom w:val="single" w:color="auto" w:sz="4" w:space="0"/>
              <w:right w:val="single" w:color="000000" w:sz="4" w:space="0"/>
            </w:tcBorders>
            <w:vAlign w:val="center"/>
          </w:tcPr>
          <w:p>
            <w:pPr>
              <w:pStyle w:val="39"/>
              <w:spacing w:line="360" w:lineRule="auto"/>
              <w:ind w:left="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商务部分</w:t>
            </w:r>
          </w:p>
          <w:p>
            <w:pPr>
              <w:pStyle w:val="39"/>
              <w:spacing w:line="360" w:lineRule="auto"/>
              <w:ind w:left="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分）</w:t>
            </w:r>
          </w:p>
        </w:tc>
        <w:tc>
          <w:tcPr>
            <w:tcW w:w="1448" w:type="dxa"/>
            <w:tcBorders>
              <w:top w:val="single" w:color="auto" w:sz="4" w:space="0"/>
              <w:bottom w:val="single" w:color="auto" w:sz="4" w:space="0"/>
              <w:right w:val="single" w:color="000000" w:sz="4" w:space="0"/>
            </w:tcBorders>
            <w:vAlign w:val="center"/>
          </w:tcPr>
          <w:p>
            <w:pPr>
              <w:pStyle w:val="39"/>
              <w:spacing w:line="360" w:lineRule="auto"/>
              <w:ind w:left="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企业实力</w:t>
            </w:r>
          </w:p>
          <w:p>
            <w:pPr>
              <w:pStyle w:val="39"/>
              <w:spacing w:line="360" w:lineRule="auto"/>
              <w:ind w:left="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及信誉</w:t>
            </w:r>
          </w:p>
          <w:p>
            <w:pPr>
              <w:pStyle w:val="39"/>
              <w:spacing w:line="360" w:lineRule="auto"/>
              <w:ind w:left="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分）</w:t>
            </w:r>
          </w:p>
        </w:tc>
        <w:tc>
          <w:tcPr>
            <w:tcW w:w="6804" w:type="dxa"/>
            <w:tcBorders>
              <w:top w:val="single" w:color="auto" w:sz="4" w:space="0"/>
              <w:bottom w:val="single" w:color="auto" w:sz="4" w:space="0"/>
              <w:right w:val="single" w:color="auto" w:sz="4" w:space="0"/>
            </w:tcBorders>
            <w:vAlign w:val="center"/>
          </w:tcPr>
          <w:p>
            <w:pPr>
              <w:pStyle w:val="39"/>
              <w:spacing w:line="360" w:lineRule="auto"/>
              <w:ind w:left="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1.根据投标人提供的反映本场厂容厂貌、接待室、配件仓库、设施设备企业情况的图片资料，由评委在1-4分范围内打分；</w:t>
            </w:r>
          </w:p>
          <w:p>
            <w:pPr>
              <w:pStyle w:val="39"/>
              <w:spacing w:line="360" w:lineRule="auto"/>
              <w:ind w:left="8"/>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注：图片资料加入投标文件并彩色打印。</w:t>
            </w:r>
          </w:p>
          <w:p>
            <w:pPr>
              <w:pStyle w:val="39"/>
              <w:spacing w:line="360" w:lineRule="auto"/>
              <w:ind w:left="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2.有车辆生产厂家特约授权的，每提供1个得2分，本项最高8分。</w:t>
            </w:r>
          </w:p>
          <w:p>
            <w:pPr>
              <w:pStyle w:val="39"/>
              <w:spacing w:line="360" w:lineRule="auto"/>
              <w:ind w:left="8"/>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注：须提供授权书或合同原件证明，复印件加盖公章后做入投标文件，违者不得分。</w:t>
            </w:r>
          </w:p>
          <w:p>
            <w:pPr>
              <w:pStyle w:val="39"/>
              <w:spacing w:line="360" w:lineRule="auto"/>
              <w:ind w:left="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3、投标人近三年（201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年1月1日至今）取得的</w:t>
            </w:r>
            <w:r>
              <w:rPr>
                <w:rFonts w:hint="eastAsia" w:ascii="宋体" w:hAnsi="宋体" w:eastAsia="宋体" w:cs="宋体"/>
                <w:sz w:val="24"/>
                <w:szCs w:val="24"/>
                <w:highlight w:val="none"/>
                <w:lang w:eastAsia="zh-CN"/>
              </w:rPr>
              <w:t>类似</w:t>
            </w:r>
            <w:r>
              <w:rPr>
                <w:rFonts w:hint="eastAsia" w:ascii="宋体" w:hAnsi="宋体" w:eastAsia="宋体" w:cs="宋体"/>
                <w:sz w:val="24"/>
                <w:szCs w:val="24"/>
                <w:highlight w:val="none"/>
              </w:rPr>
              <w:t>定点维修项目，每提供1个加1分，本项最高4分。</w:t>
            </w:r>
          </w:p>
          <w:p>
            <w:pPr>
              <w:pStyle w:val="39"/>
              <w:spacing w:line="360" w:lineRule="auto"/>
              <w:ind w:left="8"/>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注：开标现场提供中标通知书及合同原件，复印件加盖公章后做入投标文件，违者不得分。</w:t>
            </w:r>
          </w:p>
          <w:p>
            <w:pPr>
              <w:pStyle w:val="39"/>
              <w:spacing w:line="360" w:lineRule="auto"/>
              <w:ind w:left="8"/>
              <w:jc w:val="left"/>
              <w:rPr>
                <w:rFonts w:hint="default" w:ascii="宋体" w:hAnsi="宋体" w:eastAsia="新宋体" w:cs="宋体"/>
                <w:b/>
                <w:bCs/>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cs="宋体"/>
                <w:sz w:val="24"/>
                <w:szCs w:val="24"/>
              </w:rPr>
              <w:t>具有国家行业主管部门颁发的</w:t>
            </w:r>
            <w:r>
              <w:rPr>
                <w:rFonts w:hint="eastAsia" w:ascii="宋体" w:hAnsi="宋体" w:cs="宋体"/>
                <w:sz w:val="24"/>
                <w:szCs w:val="24"/>
                <w:lang w:eastAsia="zh-CN"/>
              </w:rPr>
              <w:t>二</w:t>
            </w:r>
            <w:r>
              <w:rPr>
                <w:rFonts w:hint="eastAsia" w:ascii="宋体" w:hAnsi="宋体" w:cs="宋体"/>
                <w:sz w:val="24"/>
                <w:szCs w:val="24"/>
              </w:rPr>
              <w:t>类（含）以上汽车维修资格（</w:t>
            </w:r>
            <w:r>
              <w:rPr>
                <w:rFonts w:hint="eastAsia" w:ascii="宋体" w:hAnsi="宋体"/>
                <w:sz w:val="24"/>
                <w:szCs w:val="24"/>
              </w:rPr>
              <w:t>小型车辆维修</w:t>
            </w:r>
            <w:r>
              <w:rPr>
                <w:rFonts w:hint="eastAsia" w:ascii="宋体" w:hAnsi="宋体" w:cs="宋体"/>
                <w:sz w:val="24"/>
                <w:szCs w:val="24"/>
              </w:rPr>
              <w:t>）</w:t>
            </w:r>
            <w:r>
              <w:rPr>
                <w:rFonts w:hint="eastAsia" w:ascii="宋体" w:hAnsi="宋体" w:cs="宋体"/>
                <w:sz w:val="24"/>
                <w:szCs w:val="24"/>
                <w:lang w:eastAsia="zh-CN"/>
              </w:rPr>
              <w:t>的得</w:t>
            </w:r>
            <w:r>
              <w:rPr>
                <w:rFonts w:hint="eastAsia" w:ascii="宋体" w:hAnsi="宋体" w:cs="宋体"/>
                <w:sz w:val="24"/>
                <w:szCs w:val="24"/>
                <w:lang w:val="en-US" w:eastAsia="zh-CN"/>
              </w:rPr>
              <w:t>6分。</w:t>
            </w:r>
            <w:r>
              <w:rPr>
                <w:rFonts w:hint="eastAsia" w:ascii="宋体" w:hAnsi="宋体" w:eastAsia="宋体" w:cs="宋体"/>
                <w:b/>
                <w:bCs/>
                <w:sz w:val="24"/>
                <w:szCs w:val="24"/>
                <w:highlight w:val="none"/>
              </w:rPr>
              <w:t>开标现场提供</w:t>
            </w:r>
            <w:r>
              <w:rPr>
                <w:rFonts w:hint="eastAsia" w:ascii="宋体" w:hAnsi="宋体" w:eastAsia="宋体" w:cs="宋体"/>
                <w:b/>
                <w:bCs/>
                <w:sz w:val="24"/>
                <w:szCs w:val="24"/>
                <w:highlight w:val="none"/>
                <w:lang w:eastAsia="zh-CN"/>
              </w:rPr>
              <w:t>证书</w:t>
            </w:r>
            <w:r>
              <w:rPr>
                <w:rFonts w:hint="eastAsia" w:ascii="宋体" w:hAnsi="宋体" w:eastAsia="宋体" w:cs="宋体"/>
                <w:b/>
                <w:bCs/>
                <w:sz w:val="24"/>
                <w:szCs w:val="24"/>
                <w:highlight w:val="none"/>
              </w:rPr>
              <w:t>原件，复印件加盖公章后做入投标文件，违者不得分。</w:t>
            </w:r>
          </w:p>
        </w:tc>
      </w:tr>
      <w:tr>
        <w:tblPrEx>
          <w:tblLayout w:type="fixed"/>
          <w:tblCellMar>
            <w:top w:w="0" w:type="dxa"/>
            <w:left w:w="108" w:type="dxa"/>
            <w:bottom w:w="0" w:type="dxa"/>
            <w:right w:w="108" w:type="dxa"/>
          </w:tblCellMar>
        </w:tblPrEx>
        <w:trPr>
          <w:trHeight w:val="340" w:hRule="atLeast"/>
          <w:jc w:val="center"/>
        </w:trPr>
        <w:tc>
          <w:tcPr>
            <w:tcW w:w="1262" w:type="dxa"/>
            <w:vMerge w:val="restart"/>
            <w:tcBorders>
              <w:top w:val="single" w:color="auto" w:sz="4" w:space="0"/>
              <w:left w:val="single" w:color="auto" w:sz="4" w:space="0"/>
              <w:bottom w:val="single" w:color="auto" w:sz="4" w:space="0"/>
              <w:right w:val="single" w:color="000000" w:sz="4" w:space="0"/>
            </w:tcBorders>
            <w:vAlign w:val="center"/>
          </w:tcPr>
          <w:p>
            <w:pPr>
              <w:pStyle w:val="39"/>
              <w:spacing w:line="360" w:lineRule="auto"/>
              <w:ind w:left="8"/>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技术部分</w:t>
            </w:r>
          </w:p>
          <w:p>
            <w:pPr>
              <w:pStyle w:val="39"/>
              <w:spacing w:line="360" w:lineRule="auto"/>
              <w:ind w:left="8"/>
              <w:jc w:val="center"/>
              <w:rPr>
                <w:rFonts w:hint="eastAsia" w:ascii="宋体" w:hAnsi="宋体" w:eastAsia="宋体" w:cs="宋体"/>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w:t>
            </w:r>
          </w:p>
        </w:tc>
        <w:tc>
          <w:tcPr>
            <w:tcW w:w="1448" w:type="dxa"/>
            <w:tcBorders>
              <w:top w:val="single" w:color="auto" w:sz="4" w:space="0"/>
              <w:bottom w:val="single" w:color="auto" w:sz="4" w:space="0"/>
              <w:right w:val="single" w:color="000000" w:sz="4" w:space="0"/>
            </w:tcBorders>
            <w:vAlign w:val="center"/>
          </w:tcPr>
          <w:p>
            <w:pPr>
              <w:pStyle w:val="39"/>
              <w:spacing w:line="360" w:lineRule="auto"/>
              <w:ind w:left="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技术方案</w:t>
            </w:r>
          </w:p>
          <w:p>
            <w:pPr>
              <w:pStyle w:val="39"/>
              <w:spacing w:line="360" w:lineRule="auto"/>
              <w:ind w:left="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及措施</w:t>
            </w:r>
          </w:p>
          <w:p>
            <w:pPr>
              <w:pStyle w:val="39"/>
              <w:spacing w:line="360" w:lineRule="auto"/>
              <w:ind w:left="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（20分）</w:t>
            </w:r>
          </w:p>
        </w:tc>
        <w:tc>
          <w:tcPr>
            <w:tcW w:w="6804" w:type="dxa"/>
            <w:tcBorders>
              <w:top w:val="single" w:color="auto" w:sz="4" w:space="0"/>
              <w:bottom w:val="single" w:color="auto" w:sz="4" w:space="0"/>
              <w:right w:val="single" w:color="auto" w:sz="4" w:space="0"/>
            </w:tcBorders>
            <w:vAlign w:val="center"/>
          </w:tcPr>
          <w:p>
            <w:pPr>
              <w:pStyle w:val="39"/>
              <w:spacing w:line="360" w:lineRule="auto"/>
              <w:ind w:left="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.根据投标人所提供</w:t>
            </w:r>
            <w:r>
              <w:rPr>
                <w:rFonts w:hint="eastAsia" w:ascii="宋体" w:hAnsi="宋体" w:eastAsia="宋体" w:cs="宋体"/>
                <w:sz w:val="24"/>
                <w:szCs w:val="24"/>
                <w:highlight w:val="none"/>
              </w:rPr>
              <w:t>车辆维修服务的工作程序及实施方案</w:t>
            </w:r>
            <w:r>
              <w:rPr>
                <w:rFonts w:hint="eastAsia" w:ascii="宋体" w:hAnsi="宋体" w:eastAsia="宋体" w:cs="宋体"/>
                <w:sz w:val="24"/>
                <w:szCs w:val="24"/>
                <w:highlight w:val="none"/>
                <w:lang w:eastAsia="zh-CN"/>
              </w:rPr>
              <w:t>，由评委在</w:t>
            </w:r>
            <w:r>
              <w:rPr>
                <w:rFonts w:hint="eastAsia" w:ascii="宋体" w:hAnsi="宋体" w:eastAsia="宋体" w:cs="宋体"/>
                <w:sz w:val="24"/>
                <w:szCs w:val="24"/>
                <w:highlight w:val="none"/>
              </w:rPr>
              <w:t>1-7分</w:t>
            </w:r>
            <w:r>
              <w:rPr>
                <w:rFonts w:hint="eastAsia" w:ascii="宋体" w:hAnsi="宋体" w:eastAsia="宋体" w:cs="宋体"/>
                <w:sz w:val="24"/>
                <w:szCs w:val="24"/>
                <w:highlight w:val="none"/>
                <w:lang w:eastAsia="zh-CN"/>
              </w:rPr>
              <w:t>范围内打分</w:t>
            </w:r>
            <w:r>
              <w:rPr>
                <w:rFonts w:hint="eastAsia" w:ascii="宋体" w:hAnsi="宋体" w:eastAsia="宋体" w:cs="宋体"/>
                <w:sz w:val="24"/>
                <w:szCs w:val="24"/>
                <w:highlight w:val="none"/>
              </w:rPr>
              <w:t>；</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根据投标人提供的</w:t>
            </w:r>
            <w:r>
              <w:rPr>
                <w:rFonts w:hint="eastAsia" w:ascii="宋体" w:hAnsi="宋体" w:eastAsia="宋体" w:cs="宋体"/>
                <w:sz w:val="24"/>
                <w:szCs w:val="24"/>
                <w:highlight w:val="none"/>
              </w:rPr>
              <w:t>服务主要内容、指标要求</w:t>
            </w:r>
            <w:r>
              <w:rPr>
                <w:rFonts w:hint="eastAsia" w:ascii="宋体" w:hAnsi="宋体" w:eastAsia="宋体" w:cs="宋体"/>
                <w:sz w:val="24"/>
                <w:szCs w:val="24"/>
                <w:highlight w:val="none"/>
                <w:lang w:eastAsia="zh-CN"/>
              </w:rPr>
              <w:t>等，由评委在</w:t>
            </w:r>
            <w:r>
              <w:rPr>
                <w:rFonts w:hint="eastAsia" w:ascii="宋体" w:hAnsi="宋体" w:eastAsia="宋体" w:cs="宋体"/>
                <w:sz w:val="24"/>
                <w:szCs w:val="24"/>
                <w:highlight w:val="none"/>
              </w:rPr>
              <w:t>1-7分</w:t>
            </w:r>
            <w:r>
              <w:rPr>
                <w:rFonts w:hint="eastAsia" w:ascii="宋体" w:hAnsi="宋体" w:eastAsia="宋体" w:cs="宋体"/>
                <w:sz w:val="24"/>
                <w:szCs w:val="24"/>
                <w:highlight w:val="none"/>
                <w:lang w:eastAsia="zh-CN"/>
              </w:rPr>
              <w:t>范围内打分</w:t>
            </w:r>
            <w:r>
              <w:rPr>
                <w:rFonts w:hint="eastAsia" w:ascii="宋体" w:hAnsi="宋体" w:eastAsia="宋体" w:cs="宋体"/>
                <w:sz w:val="24"/>
                <w:szCs w:val="24"/>
                <w:highlight w:val="none"/>
              </w:rPr>
              <w:t>；</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根据投标人</w:t>
            </w:r>
            <w:r>
              <w:rPr>
                <w:rFonts w:hint="eastAsia" w:ascii="宋体" w:hAnsi="宋体" w:eastAsia="宋体" w:cs="宋体"/>
                <w:sz w:val="24"/>
                <w:szCs w:val="24"/>
                <w:highlight w:val="none"/>
              </w:rPr>
              <w:t>技术服务保障措施及工作安排</w:t>
            </w:r>
            <w:r>
              <w:rPr>
                <w:rFonts w:hint="eastAsia" w:ascii="宋体" w:hAnsi="宋体" w:eastAsia="宋体" w:cs="宋体"/>
                <w:sz w:val="24"/>
                <w:szCs w:val="24"/>
                <w:highlight w:val="none"/>
                <w:lang w:eastAsia="zh-CN"/>
              </w:rPr>
              <w:t>，由评委在</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范围内打分</w:t>
            </w:r>
            <w:r>
              <w:rPr>
                <w:rFonts w:hint="eastAsia" w:ascii="宋体" w:hAnsi="宋体" w:eastAsia="宋体" w:cs="宋体"/>
                <w:sz w:val="24"/>
                <w:szCs w:val="24"/>
                <w:highlight w:val="none"/>
              </w:rPr>
              <w:t>；</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评委根据各投标人投标文件中上述内容的科学性、完整性、可操作性情况，在</w:t>
            </w:r>
            <w:r>
              <w:rPr>
                <w:rFonts w:hint="eastAsia" w:ascii="宋体" w:hAnsi="宋体" w:eastAsia="宋体" w:cs="宋体"/>
                <w:sz w:val="24"/>
                <w:szCs w:val="24"/>
                <w:highlight w:val="none"/>
                <w:lang w:eastAsia="zh-CN"/>
              </w:rPr>
              <w:t>相应</w:t>
            </w:r>
            <w:r>
              <w:rPr>
                <w:rFonts w:hint="eastAsia" w:ascii="宋体" w:hAnsi="宋体" w:eastAsia="宋体" w:cs="宋体"/>
                <w:sz w:val="24"/>
                <w:szCs w:val="24"/>
                <w:highlight w:val="none"/>
              </w:rPr>
              <w:t>范围内打分。</w:t>
            </w:r>
          </w:p>
        </w:tc>
      </w:tr>
      <w:tr>
        <w:tblPrEx>
          <w:tblLayout w:type="fixed"/>
          <w:tblCellMar>
            <w:top w:w="0" w:type="dxa"/>
            <w:left w:w="108" w:type="dxa"/>
            <w:bottom w:w="0" w:type="dxa"/>
            <w:right w:w="108" w:type="dxa"/>
          </w:tblCellMar>
        </w:tblPrEx>
        <w:trPr>
          <w:trHeight w:val="870" w:hRule="atLeast"/>
          <w:jc w:val="center"/>
        </w:trPr>
        <w:tc>
          <w:tcPr>
            <w:tcW w:w="1262" w:type="dxa"/>
            <w:vMerge w:val="continue"/>
            <w:tcBorders>
              <w:top w:val="single" w:color="auto" w:sz="4" w:space="0"/>
              <w:left w:val="single" w:color="auto" w:sz="4" w:space="0"/>
              <w:right w:val="single" w:color="000000" w:sz="4" w:space="0"/>
            </w:tcBorders>
            <w:vAlign w:val="center"/>
          </w:tcPr>
          <w:p>
            <w:pPr>
              <w:pStyle w:val="39"/>
              <w:spacing w:line="360" w:lineRule="auto"/>
              <w:ind w:left="8"/>
              <w:jc w:val="center"/>
              <w:rPr>
                <w:rFonts w:hint="eastAsia" w:ascii="宋体" w:hAnsi="宋体" w:eastAsia="宋体" w:cs="宋体"/>
                <w:sz w:val="24"/>
                <w:szCs w:val="24"/>
                <w:highlight w:val="none"/>
              </w:rPr>
            </w:pPr>
          </w:p>
        </w:tc>
        <w:tc>
          <w:tcPr>
            <w:tcW w:w="1448" w:type="dxa"/>
            <w:tcBorders>
              <w:top w:val="single" w:color="auto" w:sz="4" w:space="0"/>
              <w:bottom w:val="single" w:color="000000" w:sz="4" w:space="0"/>
              <w:right w:val="single" w:color="000000" w:sz="4" w:space="0"/>
            </w:tcBorders>
            <w:vAlign w:val="center"/>
          </w:tcPr>
          <w:p>
            <w:pPr>
              <w:pStyle w:val="39"/>
              <w:spacing w:line="360" w:lineRule="auto"/>
              <w:ind w:left="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设施</w:t>
            </w:r>
          </w:p>
          <w:p>
            <w:pPr>
              <w:pStyle w:val="39"/>
              <w:spacing w:line="360" w:lineRule="auto"/>
              <w:ind w:left="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设备保障</w:t>
            </w:r>
          </w:p>
          <w:p>
            <w:pPr>
              <w:pStyle w:val="39"/>
              <w:spacing w:line="360" w:lineRule="auto"/>
              <w:ind w:left="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分）</w:t>
            </w:r>
          </w:p>
        </w:tc>
        <w:tc>
          <w:tcPr>
            <w:tcW w:w="6804" w:type="dxa"/>
            <w:tcBorders>
              <w:top w:val="single" w:color="auto" w:sz="4" w:space="0"/>
              <w:bottom w:val="single" w:color="000000" w:sz="4" w:space="0"/>
              <w:right w:val="single" w:color="000000" w:sz="4" w:space="0"/>
            </w:tcBorders>
            <w:vAlign w:val="center"/>
          </w:tcPr>
          <w:p>
            <w:pPr>
              <w:pStyle w:val="39"/>
              <w:spacing w:line="360" w:lineRule="auto"/>
              <w:ind w:left="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根据提供服务所需设施、设备配置</w:t>
            </w:r>
            <w:r>
              <w:rPr>
                <w:rFonts w:hint="eastAsia" w:ascii="宋体" w:hAnsi="宋体" w:eastAsia="宋体" w:cs="宋体"/>
                <w:sz w:val="24"/>
                <w:szCs w:val="24"/>
                <w:highlight w:val="none"/>
                <w:lang w:eastAsia="zh-CN"/>
              </w:rPr>
              <w:t>等</w:t>
            </w:r>
            <w:r>
              <w:rPr>
                <w:rFonts w:hint="eastAsia" w:ascii="宋体" w:hAnsi="宋体" w:eastAsia="宋体" w:cs="宋体"/>
                <w:sz w:val="24"/>
                <w:szCs w:val="24"/>
                <w:highlight w:val="none"/>
              </w:rPr>
              <w:t>情况进行打分，</w:t>
            </w:r>
            <w:r>
              <w:rPr>
                <w:rFonts w:hint="eastAsia" w:ascii="宋体" w:hAnsi="宋体" w:eastAsia="宋体" w:cs="宋体"/>
                <w:sz w:val="24"/>
                <w:szCs w:val="24"/>
                <w:highlight w:val="none"/>
                <w:lang w:eastAsia="zh-CN"/>
              </w:rPr>
              <w:t>设施设备配置齐全，设施设备配套齐全为优，</w:t>
            </w:r>
            <w:r>
              <w:rPr>
                <w:rFonts w:hint="eastAsia" w:ascii="宋体" w:hAnsi="宋体" w:eastAsia="宋体" w:cs="宋体"/>
                <w:sz w:val="24"/>
                <w:szCs w:val="24"/>
                <w:highlight w:val="none"/>
              </w:rPr>
              <w:t>优</w:t>
            </w:r>
            <w:r>
              <w:rPr>
                <w:rFonts w:hint="eastAsia" w:ascii="宋体" w:hAnsi="宋体" w:eastAsia="宋体" w:cs="宋体"/>
                <w:sz w:val="24"/>
                <w:szCs w:val="24"/>
                <w:highlight w:val="none"/>
                <w:lang w:eastAsia="zh-CN"/>
              </w:rPr>
              <w:t>得</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设施设备基本齐全得良，</w:t>
            </w:r>
            <w:r>
              <w:rPr>
                <w:rFonts w:hint="eastAsia" w:ascii="宋体" w:hAnsi="宋体" w:eastAsia="宋体" w:cs="宋体"/>
                <w:sz w:val="24"/>
                <w:szCs w:val="24"/>
                <w:highlight w:val="none"/>
              </w:rPr>
              <w:t>良</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分，</w:t>
            </w:r>
          </w:p>
          <w:p>
            <w:pPr>
              <w:pStyle w:val="39"/>
              <w:spacing w:line="360" w:lineRule="auto"/>
              <w:ind w:left="8"/>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注：投标单位须提供设备购置发票复印件并加盖公章，需外协的设备提供租赁合同复印件并加盖公章</w:t>
            </w:r>
            <w:r>
              <w:rPr>
                <w:rFonts w:hint="eastAsia" w:ascii="宋体" w:hAnsi="宋体" w:eastAsia="宋体" w:cs="宋体"/>
                <w:sz w:val="24"/>
                <w:szCs w:val="24"/>
                <w:highlight w:val="none"/>
                <w:lang w:eastAsia="zh-CN"/>
              </w:rPr>
              <w:t>。</w:t>
            </w:r>
          </w:p>
        </w:tc>
      </w:tr>
      <w:tr>
        <w:tblPrEx>
          <w:tblLayout w:type="fixed"/>
          <w:tblCellMar>
            <w:top w:w="0" w:type="dxa"/>
            <w:left w:w="108" w:type="dxa"/>
            <w:bottom w:w="0" w:type="dxa"/>
            <w:right w:w="108" w:type="dxa"/>
          </w:tblCellMar>
        </w:tblPrEx>
        <w:trPr>
          <w:trHeight w:val="466" w:hRule="atLeast"/>
          <w:jc w:val="center"/>
        </w:trPr>
        <w:tc>
          <w:tcPr>
            <w:tcW w:w="1262" w:type="dxa"/>
            <w:vMerge w:val="continue"/>
            <w:tcBorders>
              <w:left w:val="single" w:color="auto" w:sz="4" w:space="0"/>
              <w:bottom w:val="single" w:color="000000" w:sz="4" w:space="0"/>
              <w:right w:val="single" w:color="000000" w:sz="4" w:space="0"/>
            </w:tcBorders>
            <w:vAlign w:val="center"/>
          </w:tcPr>
          <w:p>
            <w:pPr>
              <w:pStyle w:val="39"/>
              <w:spacing w:line="360" w:lineRule="auto"/>
              <w:ind w:left="8"/>
              <w:jc w:val="center"/>
              <w:rPr>
                <w:rFonts w:hint="eastAsia" w:ascii="宋体" w:hAnsi="宋体" w:eastAsia="宋体" w:cs="宋体"/>
                <w:sz w:val="24"/>
                <w:szCs w:val="24"/>
                <w:highlight w:val="none"/>
              </w:rPr>
            </w:pPr>
          </w:p>
        </w:tc>
        <w:tc>
          <w:tcPr>
            <w:tcW w:w="1448" w:type="dxa"/>
            <w:tcBorders>
              <w:bottom w:val="single" w:color="000000" w:sz="4" w:space="0"/>
              <w:right w:val="single" w:color="000000" w:sz="4" w:space="0"/>
            </w:tcBorders>
            <w:vAlign w:val="center"/>
          </w:tcPr>
          <w:p>
            <w:pPr>
              <w:pStyle w:val="39"/>
              <w:spacing w:line="360" w:lineRule="auto"/>
              <w:ind w:left="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服务团队人员配备情况</w:t>
            </w:r>
          </w:p>
          <w:p>
            <w:pPr>
              <w:pStyle w:val="39"/>
              <w:spacing w:line="360" w:lineRule="auto"/>
              <w:ind w:left="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p>
        </w:tc>
        <w:tc>
          <w:tcPr>
            <w:tcW w:w="6804" w:type="dxa"/>
            <w:tcBorders>
              <w:bottom w:val="single" w:color="000000" w:sz="4" w:space="0"/>
              <w:right w:val="single" w:color="000000" w:sz="4" w:space="0"/>
            </w:tcBorders>
            <w:vAlign w:val="center"/>
          </w:tcPr>
          <w:p>
            <w:pPr>
              <w:pStyle w:val="39"/>
              <w:spacing w:line="360" w:lineRule="auto"/>
              <w:ind w:left="8"/>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根据供应商提供的服务团队人员配备情况</w:t>
            </w:r>
            <w:r>
              <w:rPr>
                <w:rFonts w:hint="eastAsia" w:ascii="宋体" w:hAnsi="宋体" w:eastAsia="宋体" w:cs="宋体"/>
                <w:sz w:val="24"/>
                <w:szCs w:val="24"/>
                <w:highlight w:val="none"/>
                <w:lang w:eastAsia="zh-CN"/>
              </w:rPr>
              <w:t>（包括机修工、维修电工、钣金工、喷漆工等）</w:t>
            </w:r>
            <w:r>
              <w:rPr>
                <w:rFonts w:hint="eastAsia" w:ascii="宋体" w:hAnsi="宋体" w:eastAsia="宋体" w:cs="宋体"/>
                <w:sz w:val="24"/>
                <w:szCs w:val="24"/>
                <w:highlight w:val="none"/>
              </w:rPr>
              <w:t>，团队人员的劳动合同或社保证明、及行业主管部门核发的从业证书等情况，</w:t>
            </w:r>
            <w:r>
              <w:rPr>
                <w:rFonts w:hint="eastAsia" w:ascii="宋体" w:hAnsi="宋体" w:eastAsia="宋体" w:cs="宋体"/>
                <w:sz w:val="24"/>
                <w:szCs w:val="24"/>
                <w:highlight w:val="none"/>
                <w:lang w:eastAsia="zh-CN"/>
              </w:rPr>
              <w:t>由评委在</w:t>
            </w:r>
            <w:r>
              <w:rPr>
                <w:rFonts w:hint="eastAsia" w:ascii="宋体" w:hAnsi="宋体" w:eastAsia="宋体" w:cs="宋体"/>
                <w:sz w:val="24"/>
                <w:szCs w:val="24"/>
                <w:highlight w:val="none"/>
                <w:lang w:val="en-US" w:eastAsia="zh-CN"/>
              </w:rPr>
              <w:t>1-10分酌情打分。</w:t>
            </w:r>
          </w:p>
        </w:tc>
      </w:tr>
      <w:tr>
        <w:tblPrEx>
          <w:tblLayout w:type="fixed"/>
          <w:tblCellMar>
            <w:top w:w="0" w:type="dxa"/>
            <w:left w:w="108" w:type="dxa"/>
            <w:bottom w:w="0" w:type="dxa"/>
            <w:right w:w="108" w:type="dxa"/>
          </w:tblCellMar>
        </w:tblPrEx>
        <w:trPr>
          <w:trHeight w:val="705" w:hRule="atLeast"/>
          <w:jc w:val="center"/>
        </w:trPr>
        <w:tc>
          <w:tcPr>
            <w:tcW w:w="1262" w:type="dxa"/>
            <w:tcBorders>
              <w:left w:val="single" w:color="000000" w:sz="4" w:space="0"/>
              <w:bottom w:val="single" w:color="000000" w:sz="4" w:space="0"/>
              <w:right w:val="single" w:color="000000" w:sz="4" w:space="0"/>
            </w:tcBorders>
            <w:vAlign w:val="center"/>
          </w:tcPr>
          <w:p>
            <w:pPr>
              <w:pStyle w:val="39"/>
              <w:spacing w:line="360" w:lineRule="auto"/>
              <w:ind w:left="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服务部分</w:t>
            </w:r>
          </w:p>
          <w:p>
            <w:pPr>
              <w:pStyle w:val="39"/>
              <w:spacing w:line="360" w:lineRule="auto"/>
              <w:ind w:left="8"/>
              <w:jc w:val="center"/>
              <w:rPr>
                <w:rFonts w:hint="eastAsia" w:ascii="宋体" w:hAnsi="宋体" w:eastAsia="宋体" w:cs="宋体"/>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1448" w:type="dxa"/>
            <w:tcBorders>
              <w:bottom w:val="single" w:color="000000" w:sz="4" w:space="0"/>
              <w:right w:val="single" w:color="000000" w:sz="4" w:space="0"/>
            </w:tcBorders>
            <w:vAlign w:val="center"/>
          </w:tcPr>
          <w:p>
            <w:pPr>
              <w:pStyle w:val="39"/>
              <w:spacing w:line="360" w:lineRule="auto"/>
              <w:ind w:left="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服务承诺</w:t>
            </w:r>
          </w:p>
          <w:p>
            <w:pPr>
              <w:pStyle w:val="39"/>
              <w:spacing w:line="360" w:lineRule="auto"/>
              <w:ind w:left="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tc>
        <w:tc>
          <w:tcPr>
            <w:tcW w:w="6804" w:type="dxa"/>
            <w:tcBorders>
              <w:bottom w:val="single" w:color="000000" w:sz="4" w:space="0"/>
              <w:right w:val="single" w:color="000000" w:sz="4" w:space="0"/>
            </w:tcBorders>
            <w:vAlign w:val="center"/>
          </w:tcPr>
          <w:p>
            <w:pPr>
              <w:pStyle w:val="39"/>
              <w:spacing w:line="360" w:lineRule="auto"/>
              <w:ind w:left="8"/>
              <w:jc w:val="left"/>
              <w:rPr>
                <w:rFonts w:hint="default" w:ascii="宋体" w:hAnsi="宋体" w:eastAsia="宋体" w:cs="宋体"/>
                <w:sz w:val="24"/>
                <w:szCs w:val="24"/>
                <w:highlight w:val="none"/>
                <w:lang w:val="en-US"/>
              </w:rPr>
            </w:pPr>
            <w:r>
              <w:rPr>
                <w:rFonts w:hint="eastAsia" w:ascii="宋体" w:hAnsi="宋体" w:eastAsia="宋体" w:cs="宋体"/>
                <w:sz w:val="24"/>
                <w:szCs w:val="24"/>
                <w:highlight w:val="none"/>
                <w:lang w:eastAsia="zh-CN"/>
              </w:rPr>
              <w:t>由评审委员会</w:t>
            </w:r>
            <w:r>
              <w:rPr>
                <w:rFonts w:hint="eastAsia" w:ascii="宋体" w:hAnsi="宋体" w:eastAsia="宋体" w:cs="宋体"/>
                <w:sz w:val="24"/>
                <w:szCs w:val="24"/>
                <w:highlight w:val="none"/>
              </w:rPr>
              <w:t>根据</w:t>
            </w:r>
            <w:r>
              <w:rPr>
                <w:rFonts w:hint="eastAsia" w:ascii="宋体" w:hAnsi="宋体" w:eastAsia="宋体" w:cs="宋体"/>
                <w:sz w:val="24"/>
                <w:szCs w:val="24"/>
                <w:highlight w:val="none"/>
                <w:lang w:eastAsia="zh-CN"/>
              </w:rPr>
              <w:t>投标人所做出的详细服务方案、服务承诺优惠条件，由评委在</w:t>
            </w:r>
            <w:r>
              <w:rPr>
                <w:rFonts w:hint="eastAsia" w:ascii="宋体" w:hAnsi="宋体" w:eastAsia="宋体" w:cs="宋体"/>
                <w:sz w:val="24"/>
                <w:szCs w:val="24"/>
                <w:highlight w:val="none"/>
                <w:lang w:val="en-US" w:eastAsia="zh-CN"/>
              </w:rPr>
              <w:t>1-6分酌情打分。</w:t>
            </w:r>
          </w:p>
        </w:tc>
      </w:tr>
    </w:tbl>
    <w:p>
      <w:pPr>
        <w:pStyle w:val="15"/>
        <w:adjustRightInd w:val="0"/>
        <w:snapToGrid w:val="0"/>
        <w:spacing w:line="360" w:lineRule="auto"/>
        <w:ind w:firstLine="46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注：评分分值计算保留小数点后两位，小数点后第三位“四舍五入”。</w:t>
      </w:r>
    </w:p>
    <w:p>
      <w:pPr>
        <w:spacing w:line="360" w:lineRule="auto"/>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tabs>
          <w:tab w:val="left" w:pos="1306"/>
        </w:tabs>
        <w:jc w:val="left"/>
        <w:rPr>
          <w:rFonts w:hint="eastAsia" w:ascii="宋体" w:hAnsi="宋体" w:eastAsia="宋体" w:cs="宋体"/>
          <w:sz w:val="24"/>
          <w:szCs w:val="24"/>
          <w:highlight w:val="none"/>
          <w:lang w:val="en-GB" w:eastAsia="zh-CN"/>
        </w:rPr>
      </w:pPr>
    </w:p>
    <w:sectPr>
      <w:pgSz w:w="11906" w:h="16838"/>
      <w:pgMar w:top="1440" w:right="1797" w:bottom="1440" w:left="1797" w:header="851" w:footer="992" w:gutter="0"/>
      <w:cols w:space="425" w:num="1"/>
      <w:titlePg/>
      <w:docGrid w:linePitch="271"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FKai-SB">
    <w:panose1 w:val="03000509000000000000"/>
    <w:charset w:val="88"/>
    <w:family w:val="script"/>
    <w:pitch w:val="default"/>
    <w:sig w:usb0="00000003" w:usb1="082E0000" w:usb2="00000016" w:usb3="00000000" w:csb0="00100001" w:csb1="00000000"/>
  </w:font>
  <w:font w:name="仿宋_GB2312">
    <w:altName w:val="仿宋"/>
    <w:panose1 w:val="02010609030000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000010101"/>
    <w:charset w:val="86"/>
    <w:family w:val="modern"/>
    <w:pitch w:val="default"/>
    <w:sig w:usb0="00000000" w:usb1="00000000" w:usb2="00000000" w:usb3="00000000" w:csb0="00040000" w:csb1="00000000"/>
  </w:font>
  <w:font w:name="方正大标宋简体">
    <w:altName w:val="宋体"/>
    <w:panose1 w:val="00000000000000000000"/>
    <w:charset w:val="86"/>
    <w:family w:val="auto"/>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GyGcpS4AQAAUAMAAA4AAAAAAAAAAQAgAAAAHwEAAGRycy9lMm9Eb2MueG1sUEsFBgAAAAAGAAYA&#10;WQEAAEkFA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1802660"/>
    </w:sdtPr>
    <w:sdtContent>
      <w:p>
        <w:pPr>
          <w:pStyle w:val="12"/>
          <w:spacing w:before="120"/>
          <w:ind w:firstLine="480"/>
          <w:jc w:val="center"/>
        </w:pPr>
        <w:r>
          <w:fldChar w:fldCharType="begin"/>
        </w:r>
        <w:r>
          <w:instrText xml:space="preserve">PAGE   \* MERGEFORMAT</w:instrText>
        </w:r>
        <w:r>
          <w:fldChar w:fldCharType="separate"/>
        </w:r>
        <w:r>
          <w:rPr>
            <w:lang w:val="zh-CN"/>
          </w:rPr>
          <w:t>4</w:t>
        </w:r>
        <w:r>
          <w:rPr>
            <w:lang w:val="zh-CN"/>
          </w:rPr>
          <w:fldChar w:fldCharType="end"/>
        </w:r>
      </w:p>
    </w:sdtContent>
  </w:sdt>
  <w:p>
    <w:pPr>
      <w:pStyle w:val="1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24"/>
      </w:rPr>
    </w:pPr>
    <w:r>
      <w:rPr>
        <w:rStyle w:val="24"/>
      </w:rPr>
      <w:fldChar w:fldCharType="begin"/>
    </w:r>
    <w:r>
      <w:rPr>
        <w:rStyle w:val="24"/>
      </w:rPr>
      <w:instrText xml:space="preserve">PAGE  </w:instrText>
    </w:r>
    <w:r>
      <w:rPr>
        <w:rStyle w:val="24"/>
      </w:rPr>
      <w:fldChar w:fldCharType="end"/>
    </w:r>
  </w:p>
  <w:p>
    <w:pPr>
      <w:pStyle w:val="1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4"/>
      </w:rPr>
    </w:pPr>
  </w:p>
  <w:p>
    <w:pPr>
      <w:pStyle w:val="12"/>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clear" w:pos="8306"/>
      </w:tabs>
      <w:ind w:right="-314"/>
      <w:jc w:val="left"/>
      <w:rPr>
        <w:rFonts w:hint="eastAsia" w:ascii="黑体" w:hAnsi="黑体" w:eastAsia="黑体" w:cs="黑体"/>
        <w:sz w:val="15"/>
        <w:szCs w:val="15"/>
      </w:rPr>
    </w:pPr>
  </w:p>
  <w:p>
    <w:pPr>
      <w:tabs>
        <w:tab w:val="left" w:pos="0"/>
      </w:tabs>
      <w:ind w:firstLine="800" w:firstLineChars="400"/>
      <w:jc w:val="left"/>
      <w:rPr>
        <w:rFonts w:hint="eastAsia" w:ascii="黑体" w:hAnsi="黑体" w:eastAsia="黑体" w:cs="黑体"/>
        <w:sz w:val="15"/>
        <w:szCs w:val="15"/>
      </w:rPr>
    </w:pPr>
    <w:r>
      <w:rPr>
        <w:rFonts w:hint="eastAsia"/>
        <w:lang w:eastAsia="zh-CN"/>
      </w:rPr>
      <w:tab/>
    </w:r>
    <w:r>
      <w:rPr>
        <w:rFonts w:hint="eastAsia" w:ascii="黑体" w:hAnsi="黑体" w:eastAsia="黑体" w:cs="黑体"/>
        <w:sz w:val="15"/>
        <w:szCs w:val="15"/>
        <w:lang w:eastAsia="zh-CN"/>
      </w:rPr>
      <w:drawing>
        <wp:anchor distT="0" distB="0" distL="114300" distR="114300" simplePos="0" relativeHeight="251700224" behindDoc="0" locked="0" layoutInCell="1" allowOverlap="1">
          <wp:simplePos x="0" y="0"/>
          <wp:positionH relativeFrom="column">
            <wp:posOffset>17780</wp:posOffset>
          </wp:positionH>
          <wp:positionV relativeFrom="paragraph">
            <wp:posOffset>23495</wp:posOffset>
          </wp:positionV>
          <wp:extent cx="570865" cy="431800"/>
          <wp:effectExtent l="0" t="0" r="0" b="6350"/>
          <wp:wrapSquare wrapText="bothSides"/>
          <wp:docPr id="21" name="图片 2" descr="蓝盾logo+公司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 descr="蓝盾logo+公司名"/>
                  <pic:cNvPicPr>
                    <a:picLocks noChangeAspect="1"/>
                  </pic:cNvPicPr>
                </pic:nvPicPr>
                <pic:blipFill>
                  <a:blip r:embed="rId1"/>
                  <a:stretch>
                    <a:fillRect/>
                  </a:stretch>
                </pic:blipFill>
                <pic:spPr>
                  <a:xfrm>
                    <a:off x="0" y="0"/>
                    <a:ext cx="570865" cy="431800"/>
                  </a:xfrm>
                  <a:prstGeom prst="rect">
                    <a:avLst/>
                  </a:prstGeom>
                  <a:noFill/>
                  <a:ln w="9525">
                    <a:noFill/>
                  </a:ln>
                </pic:spPr>
              </pic:pic>
            </a:graphicData>
          </a:graphic>
        </wp:anchor>
      </w:drawing>
    </w:r>
  </w:p>
  <w:p>
    <w:pPr>
      <w:tabs>
        <w:tab w:val="left" w:pos="-400"/>
      </w:tabs>
      <w:ind w:right="-892" w:rightChars="-446" w:firstLine="1050" w:firstLineChars="700"/>
      <w:jc w:val="left"/>
      <w:rPr>
        <w:rFonts w:hint="eastAsia" w:ascii="黑体" w:hAnsi="黑体" w:eastAsia="黑体" w:cs="黑体"/>
        <w:sz w:val="15"/>
        <w:szCs w:val="15"/>
      </w:rPr>
    </w:pPr>
  </w:p>
  <w:p>
    <w:pPr>
      <w:tabs>
        <w:tab w:val="left" w:pos="-400"/>
      </w:tabs>
      <w:ind w:right="-892" w:rightChars="-446" w:firstLine="1050" w:firstLineChars="700"/>
      <w:jc w:val="left"/>
      <w:rPr>
        <w:rFonts w:hint="eastAsia" w:ascii="黑体" w:hAnsi="黑体" w:eastAsia="黑体" w:cs="黑体"/>
        <w:sz w:val="15"/>
        <w:szCs w:val="15"/>
      </w:rPr>
    </w:pPr>
    <w:r>
      <w:rPr>
        <w:rFonts w:hint="eastAsia" w:ascii="黑体" w:hAnsi="黑体" w:eastAsia="黑体" w:cs="黑体"/>
        <w:sz w:val="15"/>
        <w:szCs w:val="15"/>
      </w:rPr>
      <w:t xml:space="preserve">山东蓝盾招标代理有限公司        </w:t>
    </w:r>
    <w:r>
      <w:rPr>
        <w:rFonts w:hint="eastAsia" w:ascii="黑体" w:hAnsi="黑体" w:eastAsia="黑体" w:cs="黑体"/>
        <w:sz w:val="15"/>
        <w:szCs w:val="15"/>
        <w:lang w:val="en-US" w:eastAsia="zh-CN"/>
      </w:rPr>
      <w:t xml:space="preserve">   </w:t>
    </w:r>
    <w:r>
      <w:rPr>
        <w:rFonts w:hint="eastAsia" w:ascii="黑体" w:hAnsi="黑体" w:eastAsia="黑体" w:cs="黑体"/>
        <w:sz w:val="15"/>
        <w:szCs w:val="15"/>
      </w:rPr>
      <w:t xml:space="preserve">网址：http://www.sdldzb.com   </w:t>
    </w:r>
    <w:r>
      <w:rPr>
        <w:rFonts w:hint="eastAsia" w:ascii="黑体" w:hAnsi="黑体" w:eastAsia="黑体" w:cs="黑体"/>
        <w:sz w:val="15"/>
        <w:szCs w:val="15"/>
        <w:lang w:val="en-US" w:eastAsia="zh-CN"/>
      </w:rPr>
      <w:t xml:space="preserve">        </w:t>
    </w:r>
    <w:r>
      <w:rPr>
        <w:rFonts w:hint="eastAsia" w:ascii="黑体" w:hAnsi="黑体" w:eastAsia="黑体" w:cs="黑体"/>
        <w:sz w:val="15"/>
        <w:szCs w:val="15"/>
      </w:rPr>
      <w:t>联系方式：0531-88809762</w:t>
    </w:r>
  </w:p>
  <w:p>
    <w:pPr>
      <w:pStyle w:val="13"/>
      <w:tabs>
        <w:tab w:val="left" w:pos="3054"/>
        <w:tab w:val="clear" w:pos="4153"/>
      </w:tabs>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0"/>
      </w:tabs>
      <w:ind w:firstLine="600" w:firstLineChars="400"/>
      <w:jc w:val="left"/>
      <w:rPr>
        <w:rFonts w:hint="eastAsia" w:ascii="黑体" w:hAnsi="黑体" w:eastAsia="黑体" w:cs="黑体"/>
        <w:sz w:val="15"/>
        <w:szCs w:val="15"/>
      </w:rPr>
    </w:pPr>
    <w:r>
      <w:rPr>
        <w:rFonts w:hint="eastAsia" w:ascii="黑体" w:hAnsi="黑体" w:eastAsia="黑体" w:cs="黑体"/>
        <w:sz w:val="15"/>
        <w:szCs w:val="15"/>
        <w:lang w:eastAsia="zh-CN"/>
      </w:rPr>
      <w:drawing>
        <wp:anchor distT="0" distB="0" distL="114300" distR="114300" simplePos="0" relativeHeight="251671552" behindDoc="0" locked="0" layoutInCell="1" allowOverlap="1">
          <wp:simplePos x="0" y="0"/>
          <wp:positionH relativeFrom="column">
            <wp:posOffset>17780</wp:posOffset>
          </wp:positionH>
          <wp:positionV relativeFrom="paragraph">
            <wp:posOffset>23495</wp:posOffset>
          </wp:positionV>
          <wp:extent cx="570865" cy="327025"/>
          <wp:effectExtent l="0" t="0" r="635" b="15875"/>
          <wp:wrapSquare wrapText="bothSides"/>
          <wp:docPr id="16" name="图片 2" descr="蓝盾logo+公司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蓝盾logo+公司名"/>
                  <pic:cNvPicPr>
                    <a:picLocks noChangeAspect="1"/>
                  </pic:cNvPicPr>
                </pic:nvPicPr>
                <pic:blipFill>
                  <a:blip r:embed="rId1"/>
                  <a:stretch>
                    <a:fillRect/>
                  </a:stretch>
                </pic:blipFill>
                <pic:spPr>
                  <a:xfrm>
                    <a:off x="0" y="0"/>
                    <a:ext cx="570865" cy="327025"/>
                  </a:xfrm>
                  <a:prstGeom prst="rect">
                    <a:avLst/>
                  </a:prstGeom>
                  <a:noFill/>
                  <a:ln w="9525">
                    <a:noFill/>
                  </a:ln>
                </pic:spPr>
              </pic:pic>
            </a:graphicData>
          </a:graphic>
        </wp:anchor>
      </w:drawing>
    </w:r>
  </w:p>
  <w:p>
    <w:pPr>
      <w:tabs>
        <w:tab w:val="left" w:pos="-400"/>
      </w:tabs>
      <w:ind w:right="-892" w:rightChars="-446" w:firstLine="1050" w:firstLineChars="700"/>
      <w:jc w:val="left"/>
      <w:rPr>
        <w:rFonts w:hint="eastAsia" w:ascii="黑体" w:hAnsi="黑体" w:eastAsia="黑体" w:cs="黑体"/>
        <w:sz w:val="15"/>
        <w:szCs w:val="15"/>
      </w:rPr>
    </w:pPr>
  </w:p>
  <w:p>
    <w:pPr>
      <w:tabs>
        <w:tab w:val="left" w:pos="-400"/>
      </w:tabs>
      <w:ind w:right="-892" w:rightChars="-446" w:firstLine="1050" w:firstLineChars="700"/>
      <w:jc w:val="left"/>
    </w:pPr>
    <w:r>
      <w:rPr>
        <w:rFonts w:hint="eastAsia" w:ascii="黑体" w:hAnsi="黑体" w:eastAsia="黑体" w:cs="黑体"/>
        <w:sz w:val="15"/>
        <w:szCs w:val="15"/>
      </w:rPr>
      <w:t xml:space="preserve">山东蓝盾招标代理有限公司        </w:t>
    </w:r>
    <w:r>
      <w:rPr>
        <w:rFonts w:hint="eastAsia" w:ascii="黑体" w:hAnsi="黑体" w:eastAsia="黑体" w:cs="黑体"/>
        <w:sz w:val="15"/>
        <w:szCs w:val="15"/>
        <w:lang w:val="en-US" w:eastAsia="zh-CN"/>
      </w:rPr>
      <w:t xml:space="preserve">   </w:t>
    </w:r>
    <w:r>
      <w:rPr>
        <w:rFonts w:hint="eastAsia" w:ascii="黑体" w:hAnsi="黑体" w:eastAsia="黑体" w:cs="黑体"/>
        <w:sz w:val="15"/>
        <w:szCs w:val="15"/>
      </w:rPr>
      <w:t xml:space="preserve">网址：http://www.sdldzb.com   </w:t>
    </w:r>
    <w:r>
      <w:rPr>
        <w:rFonts w:hint="eastAsia" w:ascii="黑体" w:hAnsi="黑体" w:eastAsia="黑体" w:cs="黑体"/>
        <w:sz w:val="15"/>
        <w:szCs w:val="15"/>
        <w:lang w:val="en-US" w:eastAsia="zh-CN"/>
      </w:rPr>
      <w:t xml:space="preserve">        </w:t>
    </w:r>
    <w:r>
      <w:rPr>
        <w:rFonts w:hint="eastAsia" w:ascii="黑体" w:hAnsi="黑体" w:eastAsia="黑体" w:cs="黑体"/>
        <w:sz w:val="15"/>
        <w:szCs w:val="15"/>
      </w:rPr>
      <w:t>联系方式：0531-88809762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0"/>
      </w:tabs>
      <w:ind w:firstLine="600" w:firstLineChars="400"/>
      <w:jc w:val="left"/>
      <w:rPr>
        <w:rFonts w:hint="eastAsia" w:ascii="黑体" w:hAnsi="黑体" w:eastAsia="黑体" w:cs="黑体"/>
        <w:sz w:val="15"/>
        <w:szCs w:val="15"/>
      </w:rPr>
    </w:pPr>
    <w:r>
      <w:rPr>
        <w:rFonts w:hint="eastAsia" w:ascii="黑体" w:hAnsi="黑体" w:eastAsia="黑体" w:cs="黑体"/>
        <w:sz w:val="15"/>
        <w:szCs w:val="15"/>
        <w:lang w:eastAsia="zh-CN"/>
      </w:rPr>
      <w:drawing>
        <wp:anchor distT="0" distB="0" distL="114300" distR="114300" simplePos="0" relativeHeight="251685888" behindDoc="0" locked="0" layoutInCell="1" allowOverlap="1">
          <wp:simplePos x="0" y="0"/>
          <wp:positionH relativeFrom="column">
            <wp:posOffset>17780</wp:posOffset>
          </wp:positionH>
          <wp:positionV relativeFrom="paragraph">
            <wp:posOffset>23495</wp:posOffset>
          </wp:positionV>
          <wp:extent cx="570865" cy="431800"/>
          <wp:effectExtent l="0" t="0" r="0" b="6350"/>
          <wp:wrapSquare wrapText="bothSides"/>
          <wp:docPr id="20" name="图片 2" descr="蓝盾logo+公司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descr="蓝盾logo+公司名"/>
                  <pic:cNvPicPr>
                    <a:picLocks noChangeAspect="1"/>
                  </pic:cNvPicPr>
                </pic:nvPicPr>
                <pic:blipFill>
                  <a:blip r:embed="rId1"/>
                  <a:stretch>
                    <a:fillRect/>
                  </a:stretch>
                </pic:blipFill>
                <pic:spPr>
                  <a:xfrm>
                    <a:off x="0" y="0"/>
                    <a:ext cx="570865" cy="431800"/>
                  </a:xfrm>
                  <a:prstGeom prst="rect">
                    <a:avLst/>
                  </a:prstGeom>
                  <a:noFill/>
                  <a:ln w="9525">
                    <a:noFill/>
                  </a:ln>
                </pic:spPr>
              </pic:pic>
            </a:graphicData>
          </a:graphic>
        </wp:anchor>
      </w:drawing>
    </w:r>
  </w:p>
  <w:p>
    <w:pPr>
      <w:tabs>
        <w:tab w:val="left" w:pos="-400"/>
      </w:tabs>
      <w:ind w:right="-892" w:rightChars="-446" w:firstLine="1050" w:firstLineChars="700"/>
      <w:jc w:val="left"/>
      <w:rPr>
        <w:rFonts w:hint="eastAsia" w:ascii="黑体" w:hAnsi="黑体" w:eastAsia="黑体" w:cs="黑体"/>
        <w:sz w:val="15"/>
        <w:szCs w:val="15"/>
      </w:rPr>
    </w:pPr>
  </w:p>
  <w:p>
    <w:pPr>
      <w:tabs>
        <w:tab w:val="left" w:pos="-400"/>
      </w:tabs>
      <w:ind w:right="-892" w:rightChars="-446" w:firstLine="1050" w:firstLineChars="700"/>
      <w:jc w:val="left"/>
      <w:rPr>
        <w:rFonts w:hint="eastAsia" w:ascii="黑体" w:hAnsi="黑体" w:eastAsia="黑体" w:cs="黑体"/>
        <w:sz w:val="15"/>
        <w:szCs w:val="15"/>
      </w:rPr>
    </w:pPr>
    <w:r>
      <w:rPr>
        <w:rFonts w:hint="eastAsia" w:ascii="黑体" w:hAnsi="黑体" w:eastAsia="黑体" w:cs="黑体"/>
        <w:sz w:val="15"/>
        <w:szCs w:val="15"/>
      </w:rPr>
      <w:t xml:space="preserve">山东蓝盾招标代理有限公司        </w:t>
    </w:r>
    <w:r>
      <w:rPr>
        <w:rFonts w:hint="eastAsia" w:ascii="黑体" w:hAnsi="黑体" w:eastAsia="黑体" w:cs="黑体"/>
        <w:sz w:val="15"/>
        <w:szCs w:val="15"/>
        <w:lang w:val="en-US" w:eastAsia="zh-CN"/>
      </w:rPr>
      <w:t xml:space="preserve">   </w:t>
    </w:r>
    <w:r>
      <w:rPr>
        <w:rFonts w:hint="eastAsia" w:ascii="黑体" w:hAnsi="黑体" w:eastAsia="黑体" w:cs="黑体"/>
        <w:sz w:val="15"/>
        <w:szCs w:val="15"/>
      </w:rPr>
      <w:t xml:space="preserve">网址：http://www.sdldzb.com   </w:t>
    </w:r>
    <w:r>
      <w:rPr>
        <w:rFonts w:hint="eastAsia" w:ascii="黑体" w:hAnsi="黑体" w:eastAsia="黑体" w:cs="黑体"/>
        <w:sz w:val="15"/>
        <w:szCs w:val="15"/>
        <w:lang w:val="en-US" w:eastAsia="zh-CN"/>
      </w:rPr>
      <w:t xml:space="preserve">        </w:t>
    </w:r>
    <w:r>
      <w:rPr>
        <w:rFonts w:hint="eastAsia" w:ascii="黑体" w:hAnsi="黑体" w:eastAsia="黑体" w:cs="黑体"/>
        <w:sz w:val="15"/>
        <w:szCs w:val="15"/>
      </w:rPr>
      <w:t>联系方式：0531-88809762</w:t>
    </w:r>
  </w:p>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EA4886"/>
    <w:multiLevelType w:val="singleLevel"/>
    <w:tmpl w:val="C2EA4886"/>
    <w:lvl w:ilvl="0" w:tentative="0">
      <w:start w:val="2"/>
      <w:numFmt w:val="chineseCounting"/>
      <w:suff w:val="space"/>
      <w:lvlText w:val="第%1部分"/>
      <w:lvlJc w:val="left"/>
      <w:rPr>
        <w:rFonts w:hint="eastAsia"/>
      </w:rPr>
    </w:lvl>
  </w:abstractNum>
  <w:abstractNum w:abstractNumId="1">
    <w:nsid w:val="FF55973C"/>
    <w:multiLevelType w:val="singleLevel"/>
    <w:tmpl w:val="FF55973C"/>
    <w:lvl w:ilvl="0" w:tentative="0">
      <w:start w:val="7"/>
      <w:numFmt w:val="decimal"/>
      <w:suff w:val="nothing"/>
      <w:lvlText w:val="（%1）"/>
      <w:lvlJc w:val="left"/>
    </w:lvl>
  </w:abstractNum>
  <w:abstractNum w:abstractNumId="2">
    <w:nsid w:val="13EB635E"/>
    <w:multiLevelType w:val="multilevel"/>
    <w:tmpl w:val="13EB635E"/>
    <w:lvl w:ilvl="0" w:tentative="0">
      <w:start w:val="1"/>
      <w:numFmt w:val="decimal"/>
      <w:lvlText w:val="（%1）"/>
      <w:lvlJc w:val="left"/>
      <w:pPr>
        <w:ind w:left="1180" w:hanging="720"/>
      </w:pPr>
      <w:rPr>
        <w:rFonts w:hint="default"/>
      </w:rPr>
    </w:lvl>
    <w:lvl w:ilvl="1" w:tentative="0">
      <w:start w:val="1"/>
      <w:numFmt w:val="lowerLetter"/>
      <w:lvlText w:val="%2)"/>
      <w:lvlJc w:val="left"/>
      <w:pPr>
        <w:ind w:left="1300" w:hanging="420"/>
      </w:pPr>
    </w:lvl>
    <w:lvl w:ilvl="2" w:tentative="0">
      <w:start w:val="1"/>
      <w:numFmt w:val="lowerRoman"/>
      <w:lvlText w:val="%3."/>
      <w:lvlJc w:val="right"/>
      <w:pPr>
        <w:ind w:left="1720" w:hanging="420"/>
      </w:pPr>
    </w:lvl>
    <w:lvl w:ilvl="3" w:tentative="0">
      <w:start w:val="1"/>
      <w:numFmt w:val="decimal"/>
      <w:lvlText w:val="%4."/>
      <w:lvlJc w:val="left"/>
      <w:pPr>
        <w:ind w:left="2140" w:hanging="420"/>
      </w:pPr>
    </w:lvl>
    <w:lvl w:ilvl="4" w:tentative="0">
      <w:start w:val="1"/>
      <w:numFmt w:val="lowerLetter"/>
      <w:lvlText w:val="%5)"/>
      <w:lvlJc w:val="left"/>
      <w:pPr>
        <w:ind w:left="2560" w:hanging="420"/>
      </w:pPr>
    </w:lvl>
    <w:lvl w:ilvl="5" w:tentative="0">
      <w:start w:val="1"/>
      <w:numFmt w:val="lowerRoman"/>
      <w:lvlText w:val="%6."/>
      <w:lvlJc w:val="right"/>
      <w:pPr>
        <w:ind w:left="2980" w:hanging="420"/>
      </w:pPr>
    </w:lvl>
    <w:lvl w:ilvl="6" w:tentative="0">
      <w:start w:val="1"/>
      <w:numFmt w:val="decimal"/>
      <w:lvlText w:val="%7."/>
      <w:lvlJc w:val="left"/>
      <w:pPr>
        <w:ind w:left="3400" w:hanging="420"/>
      </w:pPr>
    </w:lvl>
    <w:lvl w:ilvl="7" w:tentative="0">
      <w:start w:val="1"/>
      <w:numFmt w:val="lowerLetter"/>
      <w:lvlText w:val="%8)"/>
      <w:lvlJc w:val="left"/>
      <w:pPr>
        <w:ind w:left="3820" w:hanging="420"/>
      </w:pPr>
    </w:lvl>
    <w:lvl w:ilvl="8" w:tentative="0">
      <w:start w:val="1"/>
      <w:numFmt w:val="lowerRoman"/>
      <w:lvlText w:val="%9."/>
      <w:lvlJc w:val="right"/>
      <w:pPr>
        <w:ind w:left="4240" w:hanging="420"/>
      </w:pPr>
    </w:lvl>
  </w:abstractNum>
  <w:abstractNum w:abstractNumId="3">
    <w:nsid w:val="3E064AA2"/>
    <w:multiLevelType w:val="singleLevel"/>
    <w:tmpl w:val="3E064AA2"/>
    <w:lvl w:ilvl="0" w:tentative="0">
      <w:start w:val="6"/>
      <w:numFmt w:val="decimal"/>
      <w:suff w:val="nothing"/>
      <w:lvlText w:val="（%1）"/>
      <w:lvlJc w:val="left"/>
    </w:lvl>
  </w:abstractNum>
  <w:abstractNum w:abstractNumId="4">
    <w:nsid w:val="58C62265"/>
    <w:multiLevelType w:val="singleLevel"/>
    <w:tmpl w:val="58C62265"/>
    <w:lvl w:ilvl="0" w:tentative="0">
      <w:start w:val="2"/>
      <w:numFmt w:val="decimal"/>
      <w:suff w:val="nothing"/>
      <w:lvlText w:val="%1、"/>
      <w:lvlJc w:val="left"/>
    </w:lvl>
  </w:abstractNum>
  <w:abstractNum w:abstractNumId="5">
    <w:nsid w:val="672C788F"/>
    <w:multiLevelType w:val="singleLevel"/>
    <w:tmpl w:val="672C788F"/>
    <w:lvl w:ilvl="0" w:tentative="0">
      <w:start w:val="3"/>
      <w:numFmt w:val="chineseCounting"/>
      <w:suff w:val="nothing"/>
      <w:lvlText w:val="（%1）"/>
      <w:lvlJc w:val="left"/>
      <w:rPr>
        <w:rFonts w:hint="eastAsia"/>
      </w:r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8D296A"/>
    <w:rsid w:val="00EE3D82"/>
    <w:rsid w:val="01711F24"/>
    <w:rsid w:val="01AD5426"/>
    <w:rsid w:val="01B026F1"/>
    <w:rsid w:val="02966875"/>
    <w:rsid w:val="03467032"/>
    <w:rsid w:val="034B40B1"/>
    <w:rsid w:val="03D5311B"/>
    <w:rsid w:val="03FF2837"/>
    <w:rsid w:val="040248C2"/>
    <w:rsid w:val="04A42338"/>
    <w:rsid w:val="04EB371B"/>
    <w:rsid w:val="04FD7954"/>
    <w:rsid w:val="05AE4D38"/>
    <w:rsid w:val="06BD39B2"/>
    <w:rsid w:val="079F351D"/>
    <w:rsid w:val="07DA2796"/>
    <w:rsid w:val="095D1465"/>
    <w:rsid w:val="09E8497D"/>
    <w:rsid w:val="0A7F0BFB"/>
    <w:rsid w:val="0A83792D"/>
    <w:rsid w:val="0AFF0FA5"/>
    <w:rsid w:val="0B337E7D"/>
    <w:rsid w:val="0B7F30F9"/>
    <w:rsid w:val="0BD57CFF"/>
    <w:rsid w:val="0C822601"/>
    <w:rsid w:val="0C8C581A"/>
    <w:rsid w:val="0D111771"/>
    <w:rsid w:val="0D394C1C"/>
    <w:rsid w:val="0D4A2E46"/>
    <w:rsid w:val="0D6A0D89"/>
    <w:rsid w:val="0E2F1D42"/>
    <w:rsid w:val="0E722678"/>
    <w:rsid w:val="0E7D63E1"/>
    <w:rsid w:val="0FDC0615"/>
    <w:rsid w:val="106845B0"/>
    <w:rsid w:val="118D2243"/>
    <w:rsid w:val="12C21AF6"/>
    <w:rsid w:val="14CC7D67"/>
    <w:rsid w:val="14FA4D5D"/>
    <w:rsid w:val="1630016C"/>
    <w:rsid w:val="16723BCC"/>
    <w:rsid w:val="17273B07"/>
    <w:rsid w:val="172F5908"/>
    <w:rsid w:val="173F6322"/>
    <w:rsid w:val="17AF0961"/>
    <w:rsid w:val="17C34F20"/>
    <w:rsid w:val="1A4F382D"/>
    <w:rsid w:val="1AE65BEF"/>
    <w:rsid w:val="1B5F2D62"/>
    <w:rsid w:val="1CBB45BC"/>
    <w:rsid w:val="1D254CBF"/>
    <w:rsid w:val="1D433511"/>
    <w:rsid w:val="1E9A67BC"/>
    <w:rsid w:val="1F8F0D82"/>
    <w:rsid w:val="1FD616CD"/>
    <w:rsid w:val="1FE45E43"/>
    <w:rsid w:val="20F36A28"/>
    <w:rsid w:val="2152686C"/>
    <w:rsid w:val="215F56A4"/>
    <w:rsid w:val="216B2CD8"/>
    <w:rsid w:val="21C40E47"/>
    <w:rsid w:val="21DA409C"/>
    <w:rsid w:val="220A73E0"/>
    <w:rsid w:val="227646A9"/>
    <w:rsid w:val="24666590"/>
    <w:rsid w:val="25763B5D"/>
    <w:rsid w:val="25A33A4C"/>
    <w:rsid w:val="25B123FB"/>
    <w:rsid w:val="260B3A21"/>
    <w:rsid w:val="26707471"/>
    <w:rsid w:val="26E74932"/>
    <w:rsid w:val="274A1F44"/>
    <w:rsid w:val="27B21BA2"/>
    <w:rsid w:val="28C34392"/>
    <w:rsid w:val="28EF237A"/>
    <w:rsid w:val="2A0149CF"/>
    <w:rsid w:val="2B011269"/>
    <w:rsid w:val="2B263FD3"/>
    <w:rsid w:val="2C9011A9"/>
    <w:rsid w:val="2CB57E54"/>
    <w:rsid w:val="2CC13C01"/>
    <w:rsid w:val="2D287401"/>
    <w:rsid w:val="2E431325"/>
    <w:rsid w:val="305B21DC"/>
    <w:rsid w:val="306D444B"/>
    <w:rsid w:val="30A848F5"/>
    <w:rsid w:val="30AE3971"/>
    <w:rsid w:val="30B45277"/>
    <w:rsid w:val="31B20E2E"/>
    <w:rsid w:val="321F40C3"/>
    <w:rsid w:val="330F6268"/>
    <w:rsid w:val="33893ED7"/>
    <w:rsid w:val="348F14DB"/>
    <w:rsid w:val="34C20059"/>
    <w:rsid w:val="34E87A04"/>
    <w:rsid w:val="35320ECD"/>
    <w:rsid w:val="35EA2455"/>
    <w:rsid w:val="360674A6"/>
    <w:rsid w:val="36443903"/>
    <w:rsid w:val="367B2D5F"/>
    <w:rsid w:val="36972E40"/>
    <w:rsid w:val="36C56E6D"/>
    <w:rsid w:val="372F7AE5"/>
    <w:rsid w:val="37521609"/>
    <w:rsid w:val="37781101"/>
    <w:rsid w:val="3812651B"/>
    <w:rsid w:val="383C79C0"/>
    <w:rsid w:val="39C71B00"/>
    <w:rsid w:val="3AC43A24"/>
    <w:rsid w:val="3ACD2206"/>
    <w:rsid w:val="3AF77F94"/>
    <w:rsid w:val="3BEE556E"/>
    <w:rsid w:val="3C0B3C8C"/>
    <w:rsid w:val="3C3F1926"/>
    <w:rsid w:val="3C4D4395"/>
    <w:rsid w:val="3CA8156F"/>
    <w:rsid w:val="3CC87FF0"/>
    <w:rsid w:val="3CD244F4"/>
    <w:rsid w:val="3E0E26FB"/>
    <w:rsid w:val="3E0E2C54"/>
    <w:rsid w:val="3F0F038D"/>
    <w:rsid w:val="3F1042FC"/>
    <w:rsid w:val="3F585B2C"/>
    <w:rsid w:val="3FB316AD"/>
    <w:rsid w:val="409556CF"/>
    <w:rsid w:val="40A85C5C"/>
    <w:rsid w:val="41C97781"/>
    <w:rsid w:val="434D2841"/>
    <w:rsid w:val="438217AB"/>
    <w:rsid w:val="43B25027"/>
    <w:rsid w:val="447010BF"/>
    <w:rsid w:val="44E758E7"/>
    <w:rsid w:val="44E972EC"/>
    <w:rsid w:val="44FD525E"/>
    <w:rsid w:val="48250A14"/>
    <w:rsid w:val="49B644FE"/>
    <w:rsid w:val="4A06190D"/>
    <w:rsid w:val="4B556104"/>
    <w:rsid w:val="4BA209EF"/>
    <w:rsid w:val="4CEF4FC4"/>
    <w:rsid w:val="4D020514"/>
    <w:rsid w:val="4D4918D9"/>
    <w:rsid w:val="4D7D2890"/>
    <w:rsid w:val="4DAF6372"/>
    <w:rsid w:val="4F18359E"/>
    <w:rsid w:val="4F6D09CD"/>
    <w:rsid w:val="4FB72D65"/>
    <w:rsid w:val="4FFF4115"/>
    <w:rsid w:val="507B47C5"/>
    <w:rsid w:val="507C0FA6"/>
    <w:rsid w:val="517A762D"/>
    <w:rsid w:val="51E21474"/>
    <w:rsid w:val="51EE1354"/>
    <w:rsid w:val="52586289"/>
    <w:rsid w:val="52846A00"/>
    <w:rsid w:val="529A47DB"/>
    <w:rsid w:val="53C74515"/>
    <w:rsid w:val="549F5CEC"/>
    <w:rsid w:val="5679075C"/>
    <w:rsid w:val="56CB366A"/>
    <w:rsid w:val="56D44016"/>
    <w:rsid w:val="57671D3C"/>
    <w:rsid w:val="57DA2477"/>
    <w:rsid w:val="58237630"/>
    <w:rsid w:val="5A5A1BFB"/>
    <w:rsid w:val="5A9F767E"/>
    <w:rsid w:val="5AEE1614"/>
    <w:rsid w:val="5AFF422F"/>
    <w:rsid w:val="5D040AF1"/>
    <w:rsid w:val="5D193B64"/>
    <w:rsid w:val="5D786A98"/>
    <w:rsid w:val="5DCD7360"/>
    <w:rsid w:val="5E2D1E8A"/>
    <w:rsid w:val="5E4A7635"/>
    <w:rsid w:val="5E863139"/>
    <w:rsid w:val="5EF3769D"/>
    <w:rsid w:val="5F1E710F"/>
    <w:rsid w:val="5F2241C0"/>
    <w:rsid w:val="5FB67C39"/>
    <w:rsid w:val="5FB9769A"/>
    <w:rsid w:val="60B7070D"/>
    <w:rsid w:val="60D61964"/>
    <w:rsid w:val="60E44F76"/>
    <w:rsid w:val="610354BA"/>
    <w:rsid w:val="616A2CC0"/>
    <w:rsid w:val="61D627E7"/>
    <w:rsid w:val="625B3BA7"/>
    <w:rsid w:val="62A323A1"/>
    <w:rsid w:val="630D490B"/>
    <w:rsid w:val="634558BC"/>
    <w:rsid w:val="635206A7"/>
    <w:rsid w:val="63835F81"/>
    <w:rsid w:val="646C4F76"/>
    <w:rsid w:val="65AF58AE"/>
    <w:rsid w:val="660732B5"/>
    <w:rsid w:val="66357E33"/>
    <w:rsid w:val="681B0526"/>
    <w:rsid w:val="682673CE"/>
    <w:rsid w:val="69D63CC9"/>
    <w:rsid w:val="6B6A5EA5"/>
    <w:rsid w:val="6BBF206A"/>
    <w:rsid w:val="6BEB571D"/>
    <w:rsid w:val="6CE4794C"/>
    <w:rsid w:val="6D1F640C"/>
    <w:rsid w:val="6DB4315D"/>
    <w:rsid w:val="6DB47E76"/>
    <w:rsid w:val="6E473B09"/>
    <w:rsid w:val="6E74695E"/>
    <w:rsid w:val="6F126307"/>
    <w:rsid w:val="7050552A"/>
    <w:rsid w:val="705C20A7"/>
    <w:rsid w:val="70D93743"/>
    <w:rsid w:val="71237704"/>
    <w:rsid w:val="71782A33"/>
    <w:rsid w:val="721A188F"/>
    <w:rsid w:val="723547DF"/>
    <w:rsid w:val="7242446D"/>
    <w:rsid w:val="726A3F4F"/>
    <w:rsid w:val="729B39E2"/>
    <w:rsid w:val="72D66C58"/>
    <w:rsid w:val="73C43383"/>
    <w:rsid w:val="73EE7E7F"/>
    <w:rsid w:val="740E0710"/>
    <w:rsid w:val="7411092E"/>
    <w:rsid w:val="742225BB"/>
    <w:rsid w:val="74446E99"/>
    <w:rsid w:val="76A200CD"/>
    <w:rsid w:val="76CF7974"/>
    <w:rsid w:val="779879CC"/>
    <w:rsid w:val="77D1481F"/>
    <w:rsid w:val="77DE1F31"/>
    <w:rsid w:val="77F9048F"/>
    <w:rsid w:val="783D145B"/>
    <w:rsid w:val="78721C07"/>
    <w:rsid w:val="78AA4ED3"/>
    <w:rsid w:val="78F5783D"/>
    <w:rsid w:val="79261B76"/>
    <w:rsid w:val="7A1E7836"/>
    <w:rsid w:val="7A630BB4"/>
    <w:rsid w:val="7A78333A"/>
    <w:rsid w:val="7AAD42F0"/>
    <w:rsid w:val="7C500C5C"/>
    <w:rsid w:val="7CBE42B5"/>
    <w:rsid w:val="7CF36BCD"/>
    <w:rsid w:val="7D207CB7"/>
    <w:rsid w:val="7D4B2E2F"/>
    <w:rsid w:val="7E7F35CB"/>
    <w:rsid w:val="7E855F0D"/>
    <w:rsid w:val="7F6F5C3B"/>
    <w:rsid w:val="7F7D16B1"/>
    <w:rsid w:val="7F7F7483"/>
    <w:rsid w:val="7F943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rPr>
  </w:style>
  <w:style w:type="paragraph" w:styleId="3">
    <w:name w:val="heading 1"/>
    <w:basedOn w:val="1"/>
    <w:next w:val="1"/>
    <w:qFormat/>
    <w:uiPriority w:val="0"/>
    <w:pPr>
      <w:keepNext/>
      <w:keepLines/>
      <w:spacing w:before="340" w:after="330" w:line="360" w:lineRule="auto"/>
      <w:outlineLvl w:val="0"/>
    </w:pPr>
    <w:rPr>
      <w:rFonts w:ascii="Times New Roman" w:hAnsi="Times New Roman"/>
      <w:b/>
      <w:kern w:val="44"/>
      <w:sz w:val="44"/>
    </w:rPr>
  </w:style>
  <w:style w:type="paragraph" w:styleId="4">
    <w:name w:val="heading 2"/>
    <w:basedOn w:val="1"/>
    <w:next w:val="1"/>
    <w:link w:val="37"/>
    <w:qFormat/>
    <w:uiPriority w:val="0"/>
    <w:pPr>
      <w:keepNext/>
      <w:keepLines/>
      <w:widowControl w:val="0"/>
      <w:spacing w:before="260" w:after="260" w:line="416" w:lineRule="auto"/>
      <w:jc w:val="both"/>
      <w:outlineLvl w:val="1"/>
    </w:pPr>
    <w:rPr>
      <w:rFonts w:ascii="Arial" w:hAnsi="Arial" w:eastAsia="黑体"/>
      <w:b/>
      <w:bCs/>
      <w:kern w:val="2"/>
      <w:sz w:val="32"/>
      <w:szCs w:val="32"/>
    </w:rPr>
  </w:style>
  <w:style w:type="paragraph" w:styleId="5">
    <w:name w:val="heading 3"/>
    <w:basedOn w:val="1"/>
    <w:next w:val="1"/>
    <w:qFormat/>
    <w:uiPriority w:val="0"/>
    <w:pPr>
      <w:keepNext/>
      <w:keepLines/>
      <w:widowControl w:val="0"/>
      <w:spacing w:before="260" w:after="260" w:line="416" w:lineRule="auto"/>
      <w:jc w:val="both"/>
      <w:outlineLvl w:val="2"/>
    </w:pPr>
    <w:rPr>
      <w:b/>
      <w:bCs/>
      <w:kern w:val="2"/>
      <w:sz w:val="32"/>
      <w:szCs w:val="32"/>
    </w:rPr>
  </w:style>
  <w:style w:type="character" w:default="1" w:styleId="23">
    <w:name w:val="Default Paragraph Font"/>
    <w:qFormat/>
    <w:uiPriority w:val="0"/>
  </w:style>
  <w:style w:type="table" w:default="1" w:styleId="21">
    <w:name w:val="Normal Table"/>
    <w:qFormat/>
    <w:uiPriority w:val="0"/>
    <w:tblPr>
      <w:tblLayout w:type="fixed"/>
      <w:tblCellMar>
        <w:top w:w="0" w:type="dxa"/>
        <w:left w:w="108" w:type="dxa"/>
        <w:bottom w:w="0" w:type="dxa"/>
        <w:right w:w="108" w:type="dxa"/>
      </w:tblCellMar>
    </w:tblPr>
  </w:style>
  <w:style w:type="paragraph" w:styleId="2">
    <w:name w:val="index 4"/>
    <w:basedOn w:val="1"/>
    <w:next w:val="1"/>
    <w:qFormat/>
    <w:uiPriority w:val="99"/>
    <w:pPr>
      <w:ind w:left="600" w:leftChars="600"/>
      <w:jc w:val="left"/>
    </w:pPr>
    <w:rPr>
      <w:rFonts w:ascii="DFKai-SB" w:eastAsia="DFKai-SB"/>
      <w:sz w:val="28"/>
      <w:lang w:eastAsia="zh-TW"/>
    </w:rPr>
  </w:style>
  <w:style w:type="paragraph" w:styleId="6">
    <w:name w:val="List 3"/>
    <w:basedOn w:val="1"/>
    <w:qFormat/>
    <w:uiPriority w:val="0"/>
    <w:pPr>
      <w:widowControl w:val="0"/>
      <w:ind w:left="100" w:leftChars="400" w:hanging="200" w:hangingChars="200"/>
      <w:jc w:val="both"/>
    </w:pPr>
    <w:rPr>
      <w:kern w:val="2"/>
      <w:sz w:val="21"/>
      <w:szCs w:val="24"/>
    </w:rPr>
  </w:style>
  <w:style w:type="paragraph" w:styleId="7">
    <w:name w:val="toa heading"/>
    <w:basedOn w:val="1"/>
    <w:next w:val="1"/>
    <w:qFormat/>
    <w:uiPriority w:val="0"/>
    <w:pPr>
      <w:spacing w:before="120" w:beforeLines="0"/>
    </w:pPr>
    <w:rPr>
      <w:rFonts w:ascii="Arial" w:hAnsi="Arial" w:eastAsia="宋体" w:cs="Arial"/>
      <w:sz w:val="24"/>
    </w:rPr>
  </w:style>
  <w:style w:type="paragraph" w:styleId="8">
    <w:name w:val="Body Text"/>
    <w:basedOn w:val="1"/>
    <w:qFormat/>
    <w:uiPriority w:val="0"/>
    <w:pPr>
      <w:spacing w:line="360" w:lineRule="auto"/>
    </w:pPr>
    <w:rPr>
      <w:rFonts w:ascii="宋体"/>
      <w:sz w:val="24"/>
    </w:rPr>
  </w:style>
  <w:style w:type="paragraph" w:styleId="9">
    <w:name w:val="Body Text Indent"/>
    <w:basedOn w:val="1"/>
    <w:qFormat/>
    <w:uiPriority w:val="0"/>
    <w:pPr>
      <w:keepNext w:val="0"/>
      <w:keepLines w:val="0"/>
      <w:widowControl w:val="0"/>
      <w:suppressLineNumbers w:val="0"/>
      <w:spacing w:before="0" w:beforeAutospacing="0" w:after="0" w:afterAutospacing="0"/>
      <w:ind w:left="0" w:right="0" w:firstLine="640" w:firstLineChars="200"/>
      <w:jc w:val="both"/>
    </w:pPr>
    <w:rPr>
      <w:rFonts w:hint="default" w:ascii="Times New Roman" w:hAnsi="Times New Roman" w:eastAsia="仿宋_GB2312" w:cs="Times New Roman"/>
      <w:kern w:val="2"/>
      <w:sz w:val="32"/>
      <w:szCs w:val="24"/>
      <w:lang w:val="en-US" w:eastAsia="zh-CN"/>
    </w:rPr>
  </w:style>
  <w:style w:type="paragraph" w:styleId="10">
    <w:name w:val="Plain Text"/>
    <w:basedOn w:val="1"/>
    <w:qFormat/>
    <w:uiPriority w:val="0"/>
    <w:pPr>
      <w:widowControl w:val="0"/>
      <w:jc w:val="both"/>
    </w:pPr>
    <w:rPr>
      <w:rFonts w:ascii="宋体" w:hAnsi="Courier New"/>
      <w:kern w:val="2"/>
      <w:sz w:val="21"/>
    </w:rPr>
  </w:style>
  <w:style w:type="paragraph" w:styleId="11">
    <w:name w:val="Body Text Indent 2"/>
    <w:basedOn w:val="1"/>
    <w:qFormat/>
    <w:uiPriority w:val="0"/>
    <w:pPr>
      <w:ind w:firstLine="420"/>
    </w:pPr>
    <w:rPr>
      <w:sz w:val="28"/>
    </w:rPr>
  </w:style>
  <w:style w:type="paragraph" w:styleId="12">
    <w:name w:val="footer"/>
    <w:basedOn w:val="1"/>
    <w:qFormat/>
    <w:uiPriority w:val="99"/>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7"/>
    <w:next w:val="1"/>
    <w:qFormat/>
    <w:uiPriority w:val="0"/>
  </w:style>
  <w:style w:type="paragraph" w:styleId="15">
    <w:name w:val="Body Text Indent 3"/>
    <w:basedOn w:val="1"/>
    <w:qFormat/>
    <w:uiPriority w:val="0"/>
    <w:pPr>
      <w:ind w:firstLine="420"/>
    </w:pPr>
    <w:rPr>
      <w:sz w:val="24"/>
    </w:rPr>
  </w:style>
  <w:style w:type="paragraph" w:styleId="16">
    <w:name w:val="toc 2"/>
    <w:basedOn w:val="1"/>
    <w:next w:val="1"/>
    <w:qFormat/>
    <w:uiPriority w:val="0"/>
    <w:pPr>
      <w:ind w:left="420" w:leftChars="200"/>
    </w:pPr>
  </w:style>
  <w:style w:type="paragraph" w:styleId="17">
    <w:name w:val="Normal (Web)"/>
    <w:basedOn w:val="1"/>
    <w:qFormat/>
    <w:uiPriority w:val="0"/>
    <w:pPr>
      <w:widowControl/>
      <w:spacing w:before="100" w:beforeAutospacing="1" w:after="100" w:afterAutospacing="1"/>
      <w:jc w:val="left"/>
    </w:pPr>
    <w:rPr>
      <w:rFonts w:ascii="Arial" w:hAnsi="Arial" w:cs="Arial"/>
      <w:kern w:val="0"/>
      <w:sz w:val="18"/>
      <w:szCs w:val="18"/>
    </w:rPr>
  </w:style>
  <w:style w:type="paragraph" w:styleId="18">
    <w:name w:val="index 1"/>
    <w:basedOn w:val="1"/>
    <w:next w:val="1"/>
    <w:qFormat/>
    <w:uiPriority w:val="0"/>
  </w:style>
  <w:style w:type="paragraph" w:styleId="19">
    <w:name w:val="Body Text First Indent"/>
    <w:basedOn w:val="8"/>
    <w:qFormat/>
    <w:uiPriority w:val="0"/>
    <w:pPr>
      <w:spacing w:after="120"/>
      <w:ind w:firstLine="420" w:firstLineChars="100"/>
    </w:pPr>
    <w:rPr>
      <w:sz w:val="21"/>
    </w:rPr>
  </w:style>
  <w:style w:type="paragraph" w:styleId="20">
    <w:name w:val="Body Text First Indent 2"/>
    <w:basedOn w:val="9"/>
    <w:qFormat/>
    <w:uiPriority w:val="0"/>
    <w:pPr>
      <w:ind w:firstLine="420" w:firstLineChars="200"/>
    </w:pPr>
    <w:rPr>
      <w:rFonts w:ascii="Times New Roman" w:hAnsi="Times New Roman" w:eastAsia="宋体" w:cs="Times New Roman"/>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4">
    <w:name w:val="page number"/>
    <w:basedOn w:val="23"/>
    <w:qFormat/>
    <w:uiPriority w:val="0"/>
  </w:style>
  <w:style w:type="character" w:styleId="25">
    <w:name w:val="FollowedHyperlink"/>
    <w:basedOn w:val="23"/>
    <w:qFormat/>
    <w:uiPriority w:val="0"/>
    <w:rPr>
      <w:color w:val="231816"/>
      <w:u w:val="none"/>
    </w:rPr>
  </w:style>
  <w:style w:type="character" w:styleId="26">
    <w:name w:val="Emphasis"/>
    <w:basedOn w:val="23"/>
    <w:qFormat/>
    <w:uiPriority w:val="0"/>
  </w:style>
  <w:style w:type="character" w:styleId="27">
    <w:name w:val="Hyperlink"/>
    <w:qFormat/>
    <w:uiPriority w:val="99"/>
    <w:rPr>
      <w:rFonts w:ascii="Tahoma" w:hAnsi="Tahoma"/>
      <w:color w:val="000000"/>
      <w:kern w:val="2"/>
      <w:sz w:val="24"/>
      <w:u w:val="none"/>
    </w:rPr>
  </w:style>
  <w:style w:type="paragraph" w:customStyle="1" w:styleId="28">
    <w:name w:val="List Paragraph"/>
    <w:basedOn w:val="1"/>
    <w:qFormat/>
    <w:uiPriority w:val="34"/>
    <w:pPr>
      <w:ind w:firstLine="420" w:firstLineChars="200"/>
    </w:pPr>
    <w:rPr>
      <w:rFonts w:cs="Times New Roman"/>
    </w:rPr>
  </w:style>
  <w:style w:type="paragraph" w:customStyle="1" w:styleId="29">
    <w:name w:val="样式 样式 左侧:  2 字符 + 左侧:  0.85 厘米 首行缩进:  2 字符1"/>
    <w:basedOn w:val="1"/>
    <w:qFormat/>
    <w:uiPriority w:val="0"/>
    <w:pPr>
      <w:ind w:left="482" w:firstLine="200" w:firstLineChars="200"/>
    </w:pPr>
    <w:rPr>
      <w:rFonts w:cs="宋体"/>
    </w:rPr>
  </w:style>
  <w:style w:type="paragraph" w:customStyle="1" w:styleId="30">
    <w:name w:val="列出段落1"/>
    <w:basedOn w:val="1"/>
    <w:qFormat/>
    <w:uiPriority w:val="34"/>
    <w:pPr>
      <w:ind w:firstLine="420" w:firstLineChars="200"/>
    </w:pPr>
  </w:style>
  <w:style w:type="paragraph" w:customStyle="1" w:styleId="31">
    <w:name w:val="样式9 Char"/>
    <w:basedOn w:val="1"/>
    <w:qFormat/>
    <w:uiPriority w:val="0"/>
    <w:pPr>
      <w:spacing w:line="440" w:lineRule="exact"/>
      <w:ind w:firstLine="200" w:firstLineChars="200"/>
    </w:pPr>
    <w:rPr>
      <w:spacing w:val="6"/>
      <w:sz w:val="24"/>
    </w:rPr>
  </w:style>
  <w:style w:type="paragraph" w:customStyle="1" w:styleId="32">
    <w:name w:val="样式3"/>
    <w:basedOn w:val="1"/>
    <w:qFormat/>
    <w:uiPriority w:val="0"/>
    <w:pPr>
      <w:spacing w:line="480" w:lineRule="exact"/>
      <w:jc w:val="center"/>
    </w:pPr>
    <w:rPr>
      <w:rFonts w:ascii="Arial" w:hAnsi="Arial" w:eastAsia="黑体"/>
      <w:spacing w:val="6"/>
      <w:sz w:val="32"/>
    </w:rPr>
  </w:style>
  <w:style w:type="paragraph" w:customStyle="1" w:styleId="33">
    <w:name w:val="样式29"/>
    <w:basedOn w:val="31"/>
    <w:qFormat/>
    <w:uiPriority w:val="0"/>
    <w:rPr>
      <w:rFonts w:eastAsia="楷体_GB2312"/>
    </w:rPr>
  </w:style>
  <w:style w:type="paragraph" w:customStyle="1" w:styleId="34">
    <w:name w:val="样式7"/>
    <w:basedOn w:val="1"/>
    <w:qFormat/>
    <w:uiPriority w:val="0"/>
    <w:pPr>
      <w:spacing w:line="480" w:lineRule="exact"/>
      <w:jc w:val="center"/>
    </w:pPr>
    <w:rPr>
      <w:rFonts w:eastAsia="方正大标宋简体"/>
      <w:spacing w:val="6"/>
      <w:sz w:val="44"/>
    </w:rPr>
  </w:style>
  <w:style w:type="paragraph" w:customStyle="1" w:styleId="35">
    <w:name w:val="WPSOffice手动目录 1"/>
    <w:qFormat/>
    <w:uiPriority w:val="0"/>
    <w:pPr>
      <w:ind w:leftChars="0"/>
    </w:pPr>
    <w:rPr>
      <w:rFonts w:ascii="Times New Roman" w:hAnsi="Times New Roman" w:eastAsia="宋体" w:cs="Times New Roman"/>
      <w:sz w:val="20"/>
      <w:szCs w:val="20"/>
    </w:rPr>
  </w:style>
  <w:style w:type="paragraph" w:customStyle="1" w:styleId="36">
    <w:name w:val="Normal_0"/>
    <w:qFormat/>
    <w:uiPriority w:val="0"/>
    <w:pPr>
      <w:spacing w:before="120" w:after="240"/>
      <w:jc w:val="both"/>
    </w:pPr>
    <w:rPr>
      <w:rFonts w:ascii="Times New Roman" w:hAnsi="Times New Roman" w:eastAsia="Times New Roman" w:cs="Times New Roman"/>
      <w:sz w:val="22"/>
      <w:szCs w:val="22"/>
      <w:lang w:val="en-US" w:eastAsia="en-US" w:bidi="ar-SA"/>
    </w:rPr>
  </w:style>
  <w:style w:type="character" w:customStyle="1" w:styleId="37">
    <w:name w:val="标题 2 Char"/>
    <w:link w:val="4"/>
    <w:qFormat/>
    <w:uiPriority w:val="0"/>
    <w:rPr>
      <w:rFonts w:ascii="Arial" w:hAnsi="Arial" w:eastAsia="黑体"/>
      <w:b/>
      <w:bCs/>
      <w:kern w:val="2"/>
      <w:sz w:val="32"/>
      <w:szCs w:val="32"/>
    </w:rPr>
  </w:style>
  <w:style w:type="paragraph" w:customStyle="1" w:styleId="38">
    <w:name w:val="Heading 4"/>
    <w:basedOn w:val="1"/>
    <w:qFormat/>
    <w:uiPriority w:val="1"/>
    <w:pPr>
      <w:spacing w:before="10"/>
      <w:ind w:left="118"/>
      <w:outlineLvl w:val="4"/>
    </w:pPr>
    <w:rPr>
      <w:rFonts w:ascii="宋体" w:hAnsi="宋体" w:eastAsia="宋体"/>
      <w:b/>
      <w:bCs/>
      <w:sz w:val="24"/>
      <w:szCs w:val="24"/>
    </w:rPr>
  </w:style>
  <w:style w:type="paragraph" w:customStyle="1" w:styleId="39">
    <w:name w:val="Table Paragraph"/>
    <w:basedOn w:val="1"/>
    <w:qFormat/>
    <w:uiPriority w:val="1"/>
    <w:rPr>
      <w:rFonts w:ascii="新宋体" w:hAnsi="新宋体" w:eastAsia="新宋体" w:cs="新宋体"/>
      <w:lang w:val="zh-CN" w:eastAsia="zh-CN" w:bidi="zh-CN"/>
    </w:rPr>
  </w:style>
  <w:style w:type="paragraph" w:customStyle="1" w:styleId="40">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60</Pages>
  <Words>19702</Words>
  <Characters>20546</Characters>
  <Paragraphs>2265</Paragraphs>
  <TotalTime>4</TotalTime>
  <ScaleCrop>false</ScaleCrop>
  <LinksUpToDate>false</LinksUpToDate>
  <CharactersWithSpaces>23444</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2018-08-10T03:38:00Z</dcterms:created>
  <dc:creator>Administrator</dc:creator>
  <cp:lastModifiedBy>a</cp:lastModifiedBy>
  <cp:lastPrinted>2019-05-15T05:38:12Z</cp:lastPrinted>
  <dcterms:modified xsi:type="dcterms:W3CDTF">2019-05-15T06:12:30Z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