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hAnsi="宋体" w:cs="仿宋"/>
          <w:b/>
          <w:bCs/>
          <w:sz w:val="24"/>
          <w:szCs w:val="24"/>
        </w:rPr>
      </w:pPr>
      <w:r>
        <w:rPr>
          <w:rFonts w:hint="eastAsia" w:hAnsi="宋体" w:cs="仿宋"/>
          <w:b/>
          <w:bCs/>
          <w:sz w:val="24"/>
          <w:szCs w:val="24"/>
        </w:rPr>
        <w:t>济南热电有限公司腊山热源厂SNCR脱硝系统改造项目招标公告</w:t>
      </w:r>
    </w:p>
    <w:p>
      <w:pPr>
        <w:widowControl/>
        <w:numPr>
          <w:ilvl w:val="0"/>
          <w:numId w:val="1"/>
        </w:numPr>
        <w:adjustRightInd w:val="0"/>
        <w:snapToGrid w:val="0"/>
        <w:spacing w:line="360" w:lineRule="auto"/>
        <w:jc w:val="left"/>
        <w:rPr>
          <w:rFonts w:hint="eastAsia" w:hAnsi="宋体" w:cs="仿宋"/>
          <w:sz w:val="24"/>
          <w:szCs w:val="24"/>
        </w:rPr>
      </w:pPr>
      <w:r>
        <w:rPr>
          <w:rFonts w:hint="eastAsia" w:hAnsi="宋体" w:cs="仿宋"/>
          <w:sz w:val="24"/>
          <w:szCs w:val="24"/>
        </w:rPr>
        <w:t>招标项目名称：济南热电有限公司腊山热源厂SNCR脱硝系统改造项目</w:t>
      </w:r>
    </w:p>
    <w:p>
      <w:pPr>
        <w:widowControl/>
        <w:adjustRightInd w:val="0"/>
        <w:snapToGrid w:val="0"/>
        <w:spacing w:line="360" w:lineRule="auto"/>
        <w:jc w:val="left"/>
        <w:rPr>
          <w:rFonts w:hint="eastAsia" w:hAnsi="宋体" w:cs="仿宋"/>
          <w:sz w:val="24"/>
          <w:szCs w:val="24"/>
        </w:rPr>
      </w:pPr>
      <w:r>
        <w:rPr>
          <w:rFonts w:hint="eastAsia" w:hAnsi="宋体" w:cs="仿宋"/>
          <w:sz w:val="24"/>
          <w:szCs w:val="24"/>
        </w:rPr>
        <w:t>二、招标项目编号：SDLD2019GK026</w:t>
      </w:r>
    </w:p>
    <w:p>
      <w:pPr>
        <w:widowControl/>
        <w:adjustRightInd w:val="0"/>
        <w:snapToGrid w:val="0"/>
        <w:spacing w:line="360" w:lineRule="auto"/>
        <w:jc w:val="left"/>
        <w:rPr>
          <w:rFonts w:hint="eastAsia" w:hAnsi="宋体" w:cs="仿宋"/>
          <w:sz w:val="24"/>
          <w:szCs w:val="24"/>
        </w:rPr>
      </w:pPr>
      <w:r>
        <w:rPr>
          <w:rFonts w:hint="eastAsia" w:hAnsi="宋体" w:cs="仿宋"/>
          <w:sz w:val="24"/>
          <w:szCs w:val="24"/>
        </w:rPr>
        <w:t>三、招标项目分包情况：</w:t>
      </w:r>
    </w:p>
    <w:tbl>
      <w:tblPr>
        <w:tblStyle w:val="5"/>
        <w:tblW w:w="8704"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99"/>
        <w:gridCol w:w="5981"/>
        <w:gridCol w:w="122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041" w:hRule="atLeast"/>
          <w:jc w:val="center"/>
        </w:trPr>
        <w:tc>
          <w:tcPr>
            <w:tcW w:w="1499" w:type="dxa"/>
            <w:tcBorders>
              <w:top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hint="eastAsia" w:hAnsi="宋体" w:cs="仿宋"/>
                <w:sz w:val="24"/>
                <w:szCs w:val="24"/>
              </w:rPr>
            </w:pPr>
            <w:r>
              <w:rPr>
                <w:rFonts w:hint="eastAsia" w:hAnsi="宋体" w:cs="仿宋"/>
                <w:sz w:val="24"/>
                <w:szCs w:val="24"/>
              </w:rPr>
              <w:t>项目名称</w:t>
            </w:r>
          </w:p>
        </w:tc>
        <w:tc>
          <w:tcPr>
            <w:tcW w:w="59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hint="eastAsia" w:hAnsi="宋体" w:cs="仿宋"/>
                <w:sz w:val="24"/>
                <w:szCs w:val="24"/>
              </w:rPr>
            </w:pPr>
            <w:r>
              <w:rPr>
                <w:rFonts w:hint="eastAsia" w:hAnsi="宋体" w:cs="仿宋"/>
                <w:sz w:val="24"/>
                <w:szCs w:val="24"/>
              </w:rPr>
              <w:t>投标单位资格要求</w:t>
            </w:r>
          </w:p>
        </w:tc>
        <w:tc>
          <w:tcPr>
            <w:tcW w:w="1224" w:type="dxa"/>
            <w:tcBorders>
              <w:top w:val="single" w:color="auto" w:sz="4" w:space="0"/>
              <w:left w:val="single" w:color="auto" w:sz="4" w:space="0"/>
              <w:bottom w:val="single" w:color="auto" w:sz="4" w:space="0"/>
            </w:tcBorders>
            <w:noWrap w:val="0"/>
            <w:vAlign w:val="center"/>
          </w:tcPr>
          <w:p>
            <w:pPr>
              <w:widowControl/>
              <w:adjustRightInd w:val="0"/>
              <w:snapToGrid w:val="0"/>
              <w:spacing w:line="360" w:lineRule="auto"/>
              <w:jc w:val="center"/>
              <w:rPr>
                <w:rFonts w:hint="eastAsia" w:hAnsi="宋体" w:cs="仿宋"/>
                <w:color w:val="FF0000"/>
                <w:sz w:val="24"/>
                <w:szCs w:val="24"/>
                <w:highlight w:val="yellow"/>
              </w:rPr>
            </w:pPr>
            <w:r>
              <w:rPr>
                <w:rFonts w:hint="eastAsia" w:hAnsi="宋体" w:cs="仿宋"/>
                <w:color w:val="FF0000"/>
                <w:sz w:val="24"/>
                <w:szCs w:val="24"/>
                <w:highlight w:val="yellow"/>
              </w:rPr>
              <w:t>本包</w:t>
            </w:r>
          </w:p>
          <w:p>
            <w:pPr>
              <w:widowControl/>
              <w:adjustRightInd w:val="0"/>
              <w:snapToGrid w:val="0"/>
              <w:spacing w:line="360" w:lineRule="auto"/>
              <w:jc w:val="center"/>
              <w:rPr>
                <w:rFonts w:hint="eastAsia" w:hAnsi="宋体" w:cs="仿宋"/>
                <w:color w:val="FF0000"/>
                <w:sz w:val="24"/>
                <w:szCs w:val="24"/>
                <w:highlight w:val="yellow"/>
              </w:rPr>
            </w:pPr>
            <w:r>
              <w:rPr>
                <w:rFonts w:hint="eastAsia" w:hAnsi="宋体" w:cs="仿宋"/>
                <w:color w:val="FF0000"/>
                <w:sz w:val="24"/>
                <w:szCs w:val="24"/>
                <w:highlight w:val="yellow"/>
              </w:rPr>
              <w:t>预算</w:t>
            </w:r>
          </w:p>
          <w:p>
            <w:pPr>
              <w:widowControl/>
              <w:adjustRightInd w:val="0"/>
              <w:snapToGrid w:val="0"/>
              <w:spacing w:line="360" w:lineRule="auto"/>
              <w:jc w:val="center"/>
              <w:rPr>
                <w:rFonts w:hint="eastAsia" w:hAnsi="宋体" w:cs="仿宋"/>
                <w:color w:val="FF0000"/>
                <w:sz w:val="24"/>
                <w:szCs w:val="24"/>
                <w:highlight w:val="yellow"/>
              </w:rPr>
            </w:pPr>
            <w:r>
              <w:rPr>
                <w:rFonts w:hint="eastAsia" w:hAnsi="宋体" w:cs="仿宋"/>
                <w:color w:val="FF0000"/>
                <w:sz w:val="24"/>
                <w:szCs w:val="24"/>
                <w:highlight w:val="yellow"/>
              </w:rPr>
              <w:t>（万元）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935" w:hRule="atLeast"/>
          <w:jc w:val="center"/>
        </w:trPr>
        <w:tc>
          <w:tcPr>
            <w:tcW w:w="1499" w:type="dxa"/>
            <w:tcBorders>
              <w:top w:val="single" w:color="auto" w:sz="4" w:space="0"/>
              <w:bottom w:val="single" w:color="auto" w:sz="4" w:space="0"/>
              <w:right w:val="single" w:color="auto" w:sz="4" w:space="0"/>
            </w:tcBorders>
            <w:noWrap w:val="0"/>
            <w:vAlign w:val="center"/>
          </w:tcPr>
          <w:p>
            <w:pPr>
              <w:widowControl/>
              <w:adjustRightInd w:val="0"/>
              <w:snapToGrid w:val="0"/>
              <w:spacing w:line="360" w:lineRule="auto"/>
              <w:jc w:val="left"/>
              <w:rPr>
                <w:rFonts w:hint="eastAsia" w:hAnsi="宋体" w:cs="仿宋"/>
                <w:sz w:val="24"/>
                <w:szCs w:val="24"/>
              </w:rPr>
            </w:pPr>
            <w:r>
              <w:rPr>
                <w:rFonts w:hint="eastAsia" w:hAnsi="宋体" w:cs="仿宋"/>
                <w:sz w:val="24"/>
                <w:szCs w:val="24"/>
              </w:rPr>
              <w:t>济南热电有限公司腊山热源厂SNCR脱硝系统改造项目</w:t>
            </w:r>
          </w:p>
        </w:tc>
        <w:tc>
          <w:tcPr>
            <w:tcW w:w="59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hAnsi="宋体" w:cs="仿宋"/>
                <w:sz w:val="24"/>
                <w:szCs w:val="24"/>
              </w:rPr>
            </w:pPr>
            <w:r>
              <w:rPr>
                <w:rFonts w:hint="eastAsia" w:hAnsi="宋体" w:cs="仿宋"/>
                <w:sz w:val="24"/>
                <w:szCs w:val="24"/>
              </w:rPr>
              <w:t>1、投标人须是中华人民共和国境内的独立企业法人及境外企业在国内的合法机构，具有独立法人资格；</w:t>
            </w:r>
          </w:p>
          <w:p>
            <w:pPr>
              <w:widowControl/>
              <w:spacing w:line="360" w:lineRule="auto"/>
              <w:rPr>
                <w:rFonts w:hint="eastAsia" w:hAnsi="宋体" w:cs="仿宋"/>
                <w:sz w:val="24"/>
                <w:szCs w:val="24"/>
              </w:rPr>
            </w:pPr>
            <w:r>
              <w:rPr>
                <w:rFonts w:hint="eastAsia" w:hAnsi="宋体" w:cs="仿宋"/>
                <w:sz w:val="24"/>
                <w:szCs w:val="24"/>
              </w:rPr>
              <w:t>2、投标人需具有有效的营业执照，并且在人员、设备、资金等方面具有招标项目的能力；</w:t>
            </w:r>
          </w:p>
          <w:p>
            <w:pPr>
              <w:widowControl/>
              <w:spacing w:line="360" w:lineRule="auto"/>
              <w:rPr>
                <w:rFonts w:hint="eastAsia" w:hAnsi="宋体" w:cs="仿宋"/>
                <w:sz w:val="24"/>
                <w:szCs w:val="24"/>
              </w:rPr>
            </w:pPr>
            <w:r>
              <w:rPr>
                <w:rFonts w:hint="eastAsia" w:hAnsi="宋体" w:cs="仿宋"/>
                <w:sz w:val="24"/>
                <w:szCs w:val="24"/>
              </w:rPr>
              <w:t>3、</w:t>
            </w:r>
            <w:r>
              <w:rPr>
                <w:rFonts w:hint="eastAsia" w:hAnsi="宋体" w:cs="仿宋"/>
                <w:color w:val="FF0000"/>
                <w:sz w:val="24"/>
                <w:szCs w:val="24"/>
                <w:highlight w:val="yellow"/>
              </w:rPr>
              <w:t>具有履行合同所必需的设备和专业技术能力，投标人需近三年具有不少于2个类似项目业绩，提供合同；</w:t>
            </w:r>
          </w:p>
          <w:p>
            <w:pPr>
              <w:widowControl/>
              <w:spacing w:line="360" w:lineRule="auto"/>
              <w:rPr>
                <w:rFonts w:hint="eastAsia" w:hAnsi="宋体" w:cs="仿宋"/>
                <w:sz w:val="24"/>
                <w:szCs w:val="24"/>
              </w:rPr>
            </w:pPr>
            <w:r>
              <w:rPr>
                <w:rFonts w:hint="eastAsia" w:hAnsi="宋体" w:cs="仿宋"/>
                <w:sz w:val="24"/>
                <w:szCs w:val="24"/>
              </w:rPr>
              <w:t>4、投标人须具有良好的银行资信和商业信誉，没有处于被责令停业或破产状态，且资产未被重组、接管和冻结；</w:t>
            </w:r>
          </w:p>
          <w:p>
            <w:pPr>
              <w:widowControl/>
              <w:spacing w:line="360" w:lineRule="auto"/>
              <w:rPr>
                <w:rFonts w:hint="eastAsia" w:hAnsi="宋体" w:cs="仿宋"/>
                <w:color w:val="FF0000"/>
                <w:sz w:val="24"/>
                <w:szCs w:val="24"/>
              </w:rPr>
            </w:pPr>
            <w:r>
              <w:rPr>
                <w:rFonts w:hint="eastAsia" w:hAnsi="宋体" w:cs="仿宋"/>
                <w:color w:val="FF0000"/>
                <w:sz w:val="24"/>
                <w:szCs w:val="24"/>
                <w:highlight w:val="yellow"/>
              </w:rPr>
              <w:t>5、具备环境工程设计（大气污染防治工程）专项乙级以上（含乙级）资质；</w:t>
            </w:r>
          </w:p>
          <w:p>
            <w:pPr>
              <w:widowControl/>
              <w:spacing w:line="360" w:lineRule="auto"/>
              <w:rPr>
                <w:rFonts w:hint="eastAsia" w:hAnsi="宋体" w:cs="仿宋"/>
                <w:color w:val="FF0000"/>
                <w:sz w:val="24"/>
                <w:szCs w:val="24"/>
                <w:highlight w:val="yellow"/>
              </w:rPr>
            </w:pPr>
            <w:r>
              <w:rPr>
                <w:rFonts w:hint="eastAsia" w:hAnsi="宋体" w:cs="仿宋"/>
                <w:color w:val="FF0000"/>
                <w:sz w:val="24"/>
                <w:szCs w:val="24"/>
              </w:rPr>
              <w:t>6、</w:t>
            </w:r>
            <w:r>
              <w:rPr>
                <w:rFonts w:hint="eastAsia" w:hAnsi="宋体" w:cs="仿宋"/>
                <w:color w:val="FF0000"/>
                <w:sz w:val="24"/>
                <w:szCs w:val="24"/>
                <w:highlight w:val="yellow"/>
              </w:rPr>
              <w:t>具备建筑机电安装工程专业承包三级或环保工程专业承包三级以上资质；</w:t>
            </w:r>
          </w:p>
          <w:p>
            <w:pPr>
              <w:widowControl/>
              <w:spacing w:line="360" w:lineRule="auto"/>
              <w:rPr>
                <w:rFonts w:hint="eastAsia" w:hAnsi="宋体" w:cs="仿宋"/>
                <w:sz w:val="24"/>
                <w:szCs w:val="24"/>
              </w:rPr>
            </w:pPr>
            <w:r>
              <w:rPr>
                <w:rFonts w:hint="eastAsia" w:hAnsi="宋体" w:cs="仿宋"/>
                <w:color w:val="FF0000"/>
                <w:sz w:val="24"/>
                <w:szCs w:val="24"/>
                <w:highlight w:val="yellow"/>
              </w:rPr>
              <w:t>7、本次招标接受联合体</w:t>
            </w:r>
            <w:r>
              <w:rPr>
                <w:rFonts w:hint="eastAsia" w:hAnsi="宋体" w:cs="仿宋"/>
                <w:sz w:val="24"/>
                <w:szCs w:val="24"/>
              </w:rPr>
              <w:t>；</w:t>
            </w:r>
          </w:p>
          <w:p>
            <w:pPr>
              <w:widowControl/>
              <w:spacing w:line="360" w:lineRule="auto"/>
              <w:rPr>
                <w:rFonts w:hint="eastAsia" w:hAnsi="宋体" w:cs="仿宋"/>
                <w:sz w:val="24"/>
                <w:szCs w:val="24"/>
              </w:rPr>
            </w:pPr>
            <w:r>
              <w:rPr>
                <w:rFonts w:hint="eastAsia" w:hAnsi="宋体" w:cs="仿宋"/>
                <w:sz w:val="24"/>
                <w:szCs w:val="24"/>
              </w:rPr>
              <w:t>8、资格审查方式：基本条件审查，合格制。</w:t>
            </w:r>
          </w:p>
          <w:p>
            <w:pPr>
              <w:widowControl/>
              <w:adjustRightInd w:val="0"/>
              <w:snapToGrid w:val="0"/>
              <w:spacing w:line="360" w:lineRule="auto"/>
              <w:jc w:val="left"/>
              <w:rPr>
                <w:rFonts w:hint="eastAsia" w:ascii="Tahoma"/>
                <w:kern w:val="2"/>
                <w:sz w:val="24"/>
                <w:lang w:val="en-US" w:eastAsia="zh-CN"/>
              </w:rPr>
            </w:pPr>
            <w:r>
              <w:rPr>
                <w:rFonts w:hint="eastAsia" w:hAnsi="宋体" w:cs="仿宋"/>
                <w:sz w:val="24"/>
                <w:szCs w:val="24"/>
              </w:rPr>
              <w:t>9、法律、法规规定的其他要求。</w:t>
            </w:r>
          </w:p>
        </w:tc>
        <w:tc>
          <w:tcPr>
            <w:tcW w:w="1224" w:type="dxa"/>
            <w:tcBorders>
              <w:top w:val="single" w:color="auto" w:sz="4" w:space="0"/>
              <w:left w:val="single" w:color="auto" w:sz="4" w:space="0"/>
              <w:bottom w:val="single" w:color="auto" w:sz="4" w:space="0"/>
            </w:tcBorders>
            <w:noWrap w:val="0"/>
            <w:vAlign w:val="center"/>
          </w:tcPr>
          <w:p>
            <w:pPr>
              <w:widowControl/>
              <w:adjustRightInd w:val="0"/>
              <w:snapToGrid w:val="0"/>
              <w:spacing w:line="360" w:lineRule="auto"/>
              <w:jc w:val="center"/>
              <w:rPr>
                <w:rFonts w:hAnsi="宋体" w:cs="仿宋"/>
                <w:color w:val="FF0000"/>
                <w:sz w:val="24"/>
                <w:szCs w:val="24"/>
                <w:highlight w:val="yellow"/>
              </w:rPr>
            </w:pPr>
            <w:r>
              <w:rPr>
                <w:rFonts w:hint="eastAsia" w:hAnsi="宋体" w:cs="仿宋"/>
                <w:color w:val="FF0000"/>
                <w:sz w:val="24"/>
                <w:szCs w:val="24"/>
                <w:highlight w:val="yellow"/>
              </w:rPr>
              <w:t>270</w:t>
            </w:r>
          </w:p>
        </w:tc>
      </w:tr>
    </w:tbl>
    <w:p>
      <w:pPr>
        <w:widowControl/>
        <w:adjustRightInd w:val="0"/>
        <w:snapToGrid w:val="0"/>
        <w:spacing w:line="360" w:lineRule="auto"/>
        <w:jc w:val="left"/>
        <w:rPr>
          <w:rFonts w:hint="eastAsia" w:hAnsi="宋体" w:cs="仿宋"/>
          <w:sz w:val="24"/>
          <w:szCs w:val="24"/>
        </w:rPr>
      </w:pPr>
      <w:r>
        <w:rPr>
          <w:rFonts w:hint="eastAsia" w:hAnsi="宋体" w:cs="仿宋"/>
          <w:sz w:val="24"/>
          <w:szCs w:val="24"/>
        </w:rPr>
        <w:t>四、获取招标文件</w:t>
      </w:r>
    </w:p>
    <w:p>
      <w:pPr>
        <w:spacing w:line="360" w:lineRule="auto"/>
        <w:rPr>
          <w:rFonts w:hint="eastAsia" w:hAnsi="宋体" w:cs="仿宋"/>
          <w:sz w:val="24"/>
          <w:szCs w:val="24"/>
        </w:rPr>
      </w:pPr>
      <w:r>
        <w:rPr>
          <w:rFonts w:hint="eastAsia" w:hAnsi="宋体" w:cs="仿宋"/>
          <w:sz w:val="24"/>
          <w:szCs w:val="24"/>
        </w:rPr>
        <w:t>1.时间：2019年9月1</w:t>
      </w:r>
      <w:r>
        <w:rPr>
          <w:rFonts w:hint="eastAsia" w:hAnsi="宋体" w:cs="仿宋"/>
          <w:sz w:val="24"/>
          <w:szCs w:val="24"/>
          <w:lang w:val="en-US" w:eastAsia="zh-CN"/>
        </w:rPr>
        <w:t>9</w:t>
      </w:r>
      <w:bookmarkStart w:id="0" w:name="_GoBack"/>
      <w:bookmarkEnd w:id="0"/>
      <w:r>
        <w:rPr>
          <w:rFonts w:hint="eastAsia" w:hAnsi="宋体" w:cs="仿宋"/>
          <w:sz w:val="24"/>
          <w:szCs w:val="24"/>
        </w:rPr>
        <w:t>日至2019 年9月2</w:t>
      </w:r>
      <w:r>
        <w:rPr>
          <w:rFonts w:hint="eastAsia" w:hAnsi="宋体" w:cs="仿宋"/>
          <w:sz w:val="24"/>
          <w:szCs w:val="24"/>
          <w:lang w:val="en-US" w:eastAsia="zh-CN"/>
        </w:rPr>
        <w:t>3</w:t>
      </w:r>
      <w:r>
        <w:rPr>
          <w:rFonts w:hint="eastAsia" w:hAnsi="宋体" w:cs="仿宋"/>
          <w:sz w:val="24"/>
          <w:szCs w:val="24"/>
        </w:rPr>
        <w:t>日，每天上午09：00-11:30，下午13:30-16:00</w:t>
      </w:r>
    </w:p>
    <w:p>
      <w:pPr>
        <w:spacing w:line="360" w:lineRule="auto"/>
        <w:rPr>
          <w:rFonts w:hint="eastAsia" w:hAnsi="宋体" w:cs="仿宋"/>
          <w:sz w:val="24"/>
          <w:szCs w:val="24"/>
        </w:rPr>
      </w:pPr>
      <w:r>
        <w:rPr>
          <w:rFonts w:hint="eastAsia" w:hAnsi="宋体" w:cs="仿宋"/>
          <w:sz w:val="24"/>
          <w:szCs w:val="24"/>
        </w:rPr>
        <w:t>2.地点：济南市高新区工业南路59号中铁财智中心6号楼15楼财务部。</w:t>
      </w:r>
    </w:p>
    <w:p>
      <w:pPr>
        <w:spacing w:line="360" w:lineRule="auto"/>
        <w:rPr>
          <w:rFonts w:hint="eastAsia" w:hAnsi="宋体" w:cs="仿宋"/>
          <w:sz w:val="24"/>
          <w:szCs w:val="24"/>
        </w:rPr>
      </w:pPr>
      <w:r>
        <w:rPr>
          <w:rFonts w:hint="eastAsia" w:hAnsi="宋体" w:cs="仿宋"/>
          <w:sz w:val="24"/>
          <w:szCs w:val="24"/>
        </w:rPr>
        <w:t>3.方式：</w:t>
      </w:r>
    </w:p>
    <w:p>
      <w:pPr>
        <w:pStyle w:val="4"/>
        <w:spacing w:beforeAutospacing="0" w:afterAutospacing="0" w:line="360" w:lineRule="auto"/>
        <w:ind w:firstLine="480" w:firstLineChars="200"/>
        <w:rPr>
          <w:rFonts w:hint="eastAsia" w:cs="仿宋"/>
          <w:color w:val="auto"/>
        </w:rPr>
      </w:pPr>
      <w:r>
        <w:rPr>
          <w:rFonts w:hint="eastAsia" w:cs="仿宋"/>
          <w:color w:val="auto"/>
        </w:rPr>
        <w:t>投标单位必须携营业执照副本、税务登记证副本、组织机构代码证副本（三证合一的仅需提供营业执照）、开户许可证、法定代表人授权委托书及被授权人身份证、合同。</w:t>
      </w:r>
    </w:p>
    <w:p>
      <w:pPr>
        <w:spacing w:line="360" w:lineRule="auto"/>
        <w:ind w:firstLine="480" w:firstLineChars="200"/>
        <w:rPr>
          <w:rFonts w:hint="eastAsia" w:hAnsi="宋体" w:cs="仿宋"/>
          <w:sz w:val="24"/>
          <w:szCs w:val="24"/>
        </w:rPr>
      </w:pPr>
      <w:r>
        <w:rPr>
          <w:rFonts w:hint="eastAsia" w:hAnsi="宋体" w:cs="仿宋"/>
          <w:sz w:val="24"/>
          <w:szCs w:val="24"/>
        </w:rPr>
        <w:t>以上证明材料及证件均须提供原件及加盖单位公章的复印件各1套，开户许可证可只提供复印件，否则不予办理报名登记手续。报名时的资料查验不代表资格审查的最终通过或合格。</w:t>
      </w:r>
    </w:p>
    <w:p>
      <w:pPr>
        <w:spacing w:line="360" w:lineRule="auto"/>
        <w:rPr>
          <w:rFonts w:hint="eastAsia" w:hAnsi="宋体" w:cs="仿宋"/>
          <w:sz w:val="24"/>
          <w:szCs w:val="24"/>
        </w:rPr>
      </w:pPr>
      <w:r>
        <w:rPr>
          <w:rFonts w:hint="eastAsia" w:hAnsi="宋体" w:cs="仿宋"/>
          <w:sz w:val="24"/>
          <w:szCs w:val="24"/>
        </w:rPr>
        <w:t>4.售价：500元/份，招标文件售后不退。</w:t>
      </w:r>
    </w:p>
    <w:p>
      <w:pPr>
        <w:widowControl/>
        <w:adjustRightInd w:val="0"/>
        <w:snapToGrid w:val="0"/>
        <w:spacing w:line="360" w:lineRule="auto"/>
        <w:jc w:val="left"/>
        <w:rPr>
          <w:rFonts w:hint="eastAsia" w:hAnsi="宋体" w:cs="仿宋"/>
          <w:sz w:val="24"/>
          <w:szCs w:val="24"/>
        </w:rPr>
      </w:pPr>
      <w:r>
        <w:rPr>
          <w:rFonts w:hint="eastAsia" w:hAnsi="宋体" w:cs="仿宋"/>
          <w:sz w:val="24"/>
          <w:szCs w:val="24"/>
        </w:rPr>
        <w:t>五、递交投标文件时间及地点</w:t>
      </w:r>
    </w:p>
    <w:p>
      <w:pPr>
        <w:widowControl/>
        <w:adjustRightInd w:val="0"/>
        <w:snapToGrid w:val="0"/>
        <w:spacing w:line="360" w:lineRule="auto"/>
        <w:jc w:val="left"/>
        <w:rPr>
          <w:rFonts w:hint="eastAsia" w:hAnsi="宋体" w:cs="仿宋"/>
          <w:sz w:val="24"/>
          <w:szCs w:val="24"/>
          <w:lang w:val="zh-CN"/>
        </w:rPr>
      </w:pPr>
      <w:r>
        <w:rPr>
          <w:rFonts w:hint="eastAsia" w:hAnsi="宋体" w:cs="仿宋"/>
          <w:sz w:val="24"/>
          <w:szCs w:val="24"/>
        </w:rPr>
        <w:t>详见招标文件</w:t>
      </w:r>
    </w:p>
    <w:p>
      <w:pPr>
        <w:widowControl/>
        <w:adjustRightInd w:val="0"/>
        <w:snapToGrid w:val="0"/>
        <w:spacing w:line="360" w:lineRule="auto"/>
        <w:jc w:val="left"/>
        <w:rPr>
          <w:rFonts w:hint="eastAsia" w:hAnsi="宋体" w:cs="仿宋"/>
          <w:sz w:val="24"/>
          <w:szCs w:val="24"/>
        </w:rPr>
      </w:pPr>
      <w:r>
        <w:rPr>
          <w:rFonts w:hint="eastAsia" w:hAnsi="宋体" w:cs="仿宋"/>
          <w:sz w:val="24"/>
          <w:szCs w:val="24"/>
        </w:rPr>
        <w:t>六、开标时间及地点</w:t>
      </w:r>
    </w:p>
    <w:p>
      <w:pPr>
        <w:widowControl/>
        <w:adjustRightInd w:val="0"/>
        <w:snapToGrid w:val="0"/>
        <w:spacing w:line="360" w:lineRule="auto"/>
        <w:jc w:val="left"/>
        <w:rPr>
          <w:rFonts w:hint="eastAsia" w:hAnsi="宋体" w:cs="仿宋"/>
          <w:sz w:val="24"/>
          <w:szCs w:val="24"/>
          <w:lang w:val="zh-CN"/>
        </w:rPr>
      </w:pPr>
      <w:r>
        <w:rPr>
          <w:rFonts w:hint="eastAsia" w:hAnsi="宋体" w:cs="仿宋"/>
          <w:sz w:val="24"/>
          <w:szCs w:val="24"/>
        </w:rPr>
        <w:t>详见招标文件</w:t>
      </w:r>
    </w:p>
    <w:p>
      <w:pPr>
        <w:tabs>
          <w:tab w:val="left" w:pos="7236"/>
        </w:tabs>
        <w:spacing w:line="360" w:lineRule="auto"/>
        <w:rPr>
          <w:rFonts w:hint="eastAsia" w:hAnsi="宋体" w:cs="仿宋"/>
          <w:sz w:val="24"/>
          <w:szCs w:val="24"/>
        </w:rPr>
      </w:pPr>
      <w:r>
        <w:rPr>
          <w:rFonts w:hint="eastAsia" w:hAnsi="宋体" w:cs="仿宋"/>
          <w:sz w:val="24"/>
          <w:szCs w:val="24"/>
        </w:rPr>
        <w:t>七、联系方式</w:t>
      </w:r>
      <w:r>
        <w:rPr>
          <w:rFonts w:hint="eastAsia" w:hAnsi="宋体" w:cs="仿宋"/>
          <w:sz w:val="24"/>
          <w:szCs w:val="24"/>
        </w:rPr>
        <w:tab/>
      </w:r>
    </w:p>
    <w:p>
      <w:pPr>
        <w:spacing w:line="360" w:lineRule="auto"/>
        <w:rPr>
          <w:rFonts w:hint="eastAsia" w:hAnsi="宋体" w:cs="仿宋"/>
          <w:sz w:val="24"/>
          <w:szCs w:val="24"/>
        </w:rPr>
      </w:pPr>
      <w:r>
        <w:rPr>
          <w:rFonts w:hint="eastAsia" w:hAnsi="宋体" w:cs="仿宋"/>
          <w:sz w:val="24"/>
          <w:szCs w:val="24"/>
        </w:rPr>
        <w:t>1.招标人：济南热电有限公司</w:t>
      </w:r>
    </w:p>
    <w:p>
      <w:pPr>
        <w:spacing w:line="360" w:lineRule="auto"/>
        <w:rPr>
          <w:rFonts w:hint="eastAsia" w:hAnsi="宋体" w:cs="仿宋"/>
          <w:sz w:val="24"/>
          <w:szCs w:val="24"/>
        </w:rPr>
      </w:pPr>
      <w:r>
        <w:rPr>
          <w:rFonts w:hint="eastAsia" w:hAnsi="宋体" w:cs="仿宋"/>
          <w:sz w:val="24"/>
          <w:szCs w:val="24"/>
        </w:rPr>
        <w:t xml:space="preserve">  联系人：曹雨</w:t>
      </w:r>
    </w:p>
    <w:p>
      <w:pPr>
        <w:spacing w:line="360" w:lineRule="auto"/>
        <w:rPr>
          <w:rFonts w:hint="eastAsia" w:hAnsi="宋体" w:cs="仿宋"/>
          <w:sz w:val="24"/>
          <w:szCs w:val="24"/>
        </w:rPr>
      </w:pPr>
      <w:r>
        <w:rPr>
          <w:rFonts w:hint="eastAsia" w:hAnsi="宋体" w:cs="仿宋"/>
          <w:sz w:val="24"/>
          <w:szCs w:val="24"/>
        </w:rPr>
        <w:t xml:space="preserve">  联系方式：15153107785</w:t>
      </w:r>
    </w:p>
    <w:p>
      <w:pPr>
        <w:spacing w:line="360" w:lineRule="auto"/>
        <w:rPr>
          <w:rFonts w:hint="eastAsia" w:hAnsi="宋体" w:cs="仿宋"/>
          <w:sz w:val="24"/>
          <w:szCs w:val="24"/>
        </w:rPr>
      </w:pPr>
      <w:r>
        <w:rPr>
          <w:rFonts w:hint="eastAsia" w:hAnsi="宋体" w:cs="仿宋"/>
          <w:sz w:val="24"/>
          <w:szCs w:val="24"/>
        </w:rPr>
        <w:t>2.招标代理机构：山东蓝盾招标代理有限公司</w:t>
      </w:r>
    </w:p>
    <w:p>
      <w:pPr>
        <w:spacing w:line="360" w:lineRule="auto"/>
        <w:rPr>
          <w:rFonts w:hint="eastAsia" w:hAnsi="宋体" w:cs="仿宋"/>
          <w:sz w:val="24"/>
          <w:szCs w:val="24"/>
        </w:rPr>
      </w:pPr>
      <w:r>
        <w:rPr>
          <w:rFonts w:hint="eastAsia" w:hAnsi="宋体" w:cs="仿宋"/>
          <w:sz w:val="24"/>
          <w:szCs w:val="24"/>
        </w:rPr>
        <w:t xml:space="preserve">  地      址：济南市高新区工业南路59号中铁财智中心6号楼15楼</w:t>
      </w:r>
    </w:p>
    <w:p>
      <w:pPr>
        <w:spacing w:line="360" w:lineRule="auto"/>
        <w:rPr>
          <w:rFonts w:hint="eastAsia" w:hAnsi="宋体" w:cs="仿宋"/>
          <w:sz w:val="24"/>
          <w:szCs w:val="24"/>
        </w:rPr>
      </w:pPr>
      <w:r>
        <w:rPr>
          <w:rFonts w:hint="eastAsia" w:hAnsi="宋体" w:cs="仿宋"/>
          <w:sz w:val="24"/>
          <w:szCs w:val="24"/>
        </w:rPr>
        <w:t xml:space="preserve">  联   系   人：滕在霞</w:t>
      </w:r>
    </w:p>
    <w:p>
      <w:pPr>
        <w:spacing w:line="360" w:lineRule="auto"/>
        <w:rPr>
          <w:rFonts w:hint="eastAsia" w:hAnsi="宋体" w:cs="仿宋"/>
          <w:sz w:val="24"/>
          <w:szCs w:val="24"/>
        </w:rPr>
      </w:pPr>
      <w:r>
        <w:rPr>
          <w:rFonts w:hint="eastAsia" w:hAnsi="宋体" w:cs="仿宋"/>
          <w:sz w:val="24"/>
          <w:szCs w:val="24"/>
        </w:rPr>
        <w:t xml:space="preserve">  联 系  方 式：0531-88809762转8013、18596098698 </w:t>
      </w:r>
    </w:p>
    <w:p>
      <w:pPr>
        <w:spacing w:line="360" w:lineRule="auto"/>
        <w:rPr>
          <w:rFonts w:hint="eastAsia" w:hAnsi="宋体" w:cs="仿宋"/>
          <w:sz w:val="24"/>
          <w:szCs w:val="24"/>
        </w:rPr>
      </w:pPr>
      <w:r>
        <w:rPr>
          <w:rFonts w:hint="eastAsia" w:hAnsi="宋体" w:cs="仿宋"/>
          <w:sz w:val="24"/>
          <w:szCs w:val="24"/>
        </w:rPr>
        <w:t xml:space="preserve">  邮       箱：Ldzb002@163.com</w:t>
      </w:r>
    </w:p>
    <w:p>
      <w:pPr>
        <w:widowControl/>
        <w:adjustRightInd w:val="0"/>
        <w:snapToGrid w:val="0"/>
        <w:spacing w:line="360" w:lineRule="auto"/>
        <w:ind w:firstLine="480"/>
        <w:jc w:val="right"/>
        <w:rPr>
          <w:rFonts w:hint="eastAsia" w:hAnsi="宋体" w:cs="仿宋"/>
          <w:sz w:val="24"/>
          <w:szCs w:val="24"/>
        </w:rPr>
      </w:pPr>
      <w:r>
        <w:rPr>
          <w:rFonts w:hint="eastAsia" w:hAnsi="宋体" w:cs="仿宋"/>
          <w:sz w:val="24"/>
          <w:szCs w:val="24"/>
        </w:rPr>
        <w:t>山东蓝盾招标代理有限公司</w:t>
      </w:r>
    </w:p>
    <w:p>
      <w:pPr>
        <w:widowControl/>
        <w:wordWrap w:val="0"/>
        <w:adjustRightInd w:val="0"/>
        <w:snapToGrid w:val="0"/>
        <w:spacing w:line="360" w:lineRule="auto"/>
        <w:ind w:firstLine="480"/>
        <w:jc w:val="right"/>
        <w:rPr>
          <w:rFonts w:hint="eastAsia" w:hAnsi="宋体" w:cs="仿宋"/>
          <w:b/>
          <w:bCs/>
        </w:rPr>
      </w:pPr>
      <w:r>
        <w:rPr>
          <w:rFonts w:hint="eastAsia" w:hAnsi="宋体" w:cs="仿宋"/>
          <w:sz w:val="24"/>
          <w:szCs w:val="24"/>
        </w:rPr>
        <w:t>2019年9月16日</w:t>
      </w:r>
    </w:p>
    <w:p>
      <w:pPr>
        <w:jc w:val="center"/>
        <w:rPr>
          <w:rFonts w:hint="eastAsia" w:hAnsi="宋体" w:cs="仿宋"/>
          <w:b/>
          <w:bCs/>
        </w:rPr>
      </w:pPr>
    </w:p>
    <w:p>
      <w:pPr>
        <w:jc w:val="center"/>
        <w:rPr>
          <w:rFonts w:hint="eastAsia" w:hAnsi="宋体" w:cs="仿宋"/>
          <w:b/>
          <w:bCs/>
        </w:rPr>
      </w:pPr>
    </w:p>
    <w:p>
      <w:pPr>
        <w:jc w:val="center"/>
        <w:rPr>
          <w:rFonts w:hint="eastAsia" w:hAnsi="宋体" w:cs="仿宋"/>
          <w:b/>
          <w:bCs/>
        </w:rPr>
      </w:pPr>
    </w:p>
    <w:p>
      <w:pPr>
        <w:jc w:val="center"/>
        <w:rPr>
          <w:rFonts w:hint="eastAsia" w:hAnsi="宋体" w:cs="仿宋"/>
          <w:b/>
          <w:bCs/>
        </w:rPr>
      </w:pPr>
    </w:p>
    <w:p>
      <w:pPr>
        <w:jc w:val="center"/>
        <w:rPr>
          <w:rFonts w:hint="eastAsia" w:hAnsi="宋体" w:cs="仿宋"/>
          <w:b/>
          <w:bCs/>
        </w:rPr>
        <w:sectPr>
          <w:footerReference r:id="rId3" w:type="default"/>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7"/>
      <w:jc w:val="center"/>
      <w:rPr>
        <w:rFonts w:hAnsi="宋体" w:cs="Times New Roman"/>
      </w:rPr>
    </w:pPr>
  </w:p>
  <w:p>
    <w:pPr>
      <w:pStyle w:val="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72A4EE"/>
    <w:multiLevelType w:val="singleLevel"/>
    <w:tmpl w:val="C072A4E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C6AF8"/>
    <w:rsid w:val="70CC6A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sz w:val="34"/>
      <w:szCs w:val="34"/>
      <w:lang w:val="en-US" w:eastAsia="zh-CN" w:bidi="ar-SA"/>
    </w:rPr>
  </w:style>
  <w:style w:type="paragraph" w:styleId="2">
    <w:name w:val="heading 3"/>
    <w:basedOn w:val="1"/>
    <w:next w:val="1"/>
    <w:qFormat/>
    <w:uiPriority w:val="9"/>
    <w:pPr>
      <w:keepNext/>
      <w:keepLines/>
      <w:spacing w:line="413" w:lineRule="auto"/>
      <w:outlineLvl w:val="2"/>
    </w:pPr>
    <w:rPr>
      <w:rFonts w:hAnsi="Tahoma" w:cs="Times New Roman"/>
      <w:b/>
      <w:bCs/>
      <w:sz w:val="32"/>
      <w:szCs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rFonts w:ascii="Tahoma" w:hAnsi="Tahoma" w:cs="Times New Roman"/>
      <w:kern w:val="2"/>
      <w:sz w:val="18"/>
      <w:szCs w:val="18"/>
    </w:rPr>
  </w:style>
  <w:style w:type="paragraph" w:styleId="4">
    <w:name w:val="Normal (Web)"/>
    <w:basedOn w:val="1"/>
    <w:qFormat/>
    <w:uiPriority w:val="99"/>
    <w:pPr>
      <w:widowControl/>
      <w:spacing w:beforeAutospacing="1" w:afterAutospacing="1"/>
      <w:jc w:val="left"/>
    </w:pPr>
    <w:rPr>
      <w:rFonts w:hAnsi="宋体"/>
      <w:color w:val="000000"/>
      <w:sz w:val="24"/>
      <w:szCs w:val="24"/>
    </w:rPr>
  </w:style>
  <w:style w:type="paragraph" w:customStyle="1" w:styleId="7">
    <w:name w:val="p15"/>
    <w:basedOn w:val="1"/>
    <w:qFormat/>
    <w:uiPriority w:val="99"/>
    <w:pPr>
      <w:widowControl/>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2019-09-18T09:05:00Z</dcterms:created>
  <dc:creator>前尘隔海</dc:creator>
  <cp:lastModifiedBy>前尘隔海</cp:lastModifiedBy>
  <dcterms:modified xsi:type="dcterms:W3CDTF">2019-09-18T09:08:22Z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