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ageBreakBefore w:val="0"/>
        <w:kinsoku/>
        <w:wordWrap/>
        <w:topLinePunct w:val="0"/>
        <w:bidi w:val="0"/>
        <w:adjustRightInd w:val="0"/>
        <w:snapToGrid w:val="0"/>
        <w:spacing w:afterAutospacing="0" w:line="360" w:lineRule="auto"/>
        <w:ind w:firstLine="260" w:firstLineChars="200"/>
        <w:textAlignment w:val="auto"/>
        <w:rPr>
          <w:rFonts w:hint="eastAsia" w:ascii="宋体" w:hAnsi="宋体" w:eastAsia="宋体" w:cs="宋体"/>
          <w:color w:val="auto"/>
          <w:sz w:val="13"/>
          <w:szCs w:val="13"/>
          <w:highlight w:val="none"/>
          <w:lang w:val="en-US" w:eastAsia="zh-CN"/>
        </w:rPr>
      </w:pPr>
      <w:r>
        <w:rPr>
          <w:rFonts w:hint="eastAsia" w:hAnsi="宋体" w:cs="宋体"/>
          <w:color w:val="auto"/>
          <w:sz w:val="13"/>
          <w:szCs w:val="13"/>
          <w:highlight w:val="none"/>
          <w:lang w:val="en-US" w:eastAsia="zh-CN"/>
        </w:rPr>
        <w:t xml:space="preserve"> </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color w:val="auto"/>
          <w:sz w:val="40"/>
          <w:szCs w:val="40"/>
          <w:highlight w:val="none"/>
          <w:lang w:eastAsia="zh-CN"/>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bCs/>
          <w:color w:val="auto"/>
          <w:sz w:val="18"/>
          <w:szCs w:val="18"/>
          <w:highlight w:val="none"/>
          <w:lang w:val="zh-CN" w:eastAsia="zh-CN"/>
        </w:rPr>
      </w:pPr>
      <w:r>
        <w:rPr>
          <w:rFonts w:hint="eastAsia" w:ascii="宋体" w:hAnsi="宋体" w:eastAsia="宋体" w:cs="宋体"/>
          <w:b/>
          <w:color w:val="auto"/>
          <w:sz w:val="40"/>
          <w:szCs w:val="40"/>
          <w:highlight w:val="none"/>
          <w:lang w:eastAsia="zh-CN"/>
        </w:rPr>
        <w:t>济南高新技术产业开发区临港街道办事处（章锦街道办事处）东岸嘉园社区党群服务中心改造提升项目</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b/>
          <w:bCs/>
          <w:color w:val="auto"/>
          <w:sz w:val="56"/>
          <w:szCs w:val="56"/>
          <w:highlight w:val="none"/>
          <w:lang w:val="zh-CN"/>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bCs/>
          <w:color w:val="auto"/>
          <w:sz w:val="52"/>
          <w:szCs w:val="52"/>
          <w:highlight w:val="none"/>
          <w:lang w:val="zh-CN"/>
        </w:rPr>
      </w:pPr>
      <w:r>
        <w:rPr>
          <w:rFonts w:hint="eastAsia" w:ascii="宋体" w:hAnsi="宋体" w:eastAsia="宋体" w:cs="宋体"/>
          <w:b/>
          <w:bCs/>
          <w:color w:val="auto"/>
          <w:sz w:val="52"/>
          <w:szCs w:val="52"/>
          <w:highlight w:val="none"/>
          <w:lang w:val="zh-CN"/>
        </w:rPr>
        <w:t>竞争性磋商文件</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drawing>
          <wp:inline distT="0" distB="0" distL="0" distR="0">
            <wp:extent cx="2376170" cy="2305050"/>
            <wp:effectExtent l="0" t="0" r="0" b="0"/>
            <wp:docPr id="1"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LOGO"/>
                    <pic:cNvPicPr>
                      <a:picLocks noChangeAspect="1" noChangeArrowheads="1"/>
                    </pic:cNvPicPr>
                  </pic:nvPicPr>
                  <pic:blipFill>
                    <a:blip r:embed="rId7" cstate="print"/>
                    <a:srcRect/>
                    <a:stretch>
                      <a:fillRect/>
                    </a:stretch>
                  </pic:blipFill>
                  <pic:spPr>
                    <a:xfrm>
                      <a:off x="0" y="0"/>
                      <a:ext cx="2376170" cy="2305050"/>
                    </a:xfrm>
                    <a:prstGeom prst="rect">
                      <a:avLst/>
                    </a:prstGeom>
                    <a:noFill/>
                    <a:ln w="9525" cmpd="sng">
                      <a:noFill/>
                      <a:miter lim="800000"/>
                      <a:headEnd/>
                      <a:tailEnd/>
                    </a:ln>
                    <a:effectLst/>
                  </pic:spPr>
                </pic:pic>
              </a:graphicData>
            </a:graphic>
          </wp:inline>
        </w:drawing>
      </w:r>
    </w:p>
    <w:p>
      <w:pPr>
        <w:pageBreakBefore w:val="0"/>
        <w:kinsoku/>
        <w:wordWrap/>
        <w:topLinePunct w:val="0"/>
        <w:bidi w:val="0"/>
        <w:adjustRightInd w:val="0"/>
        <w:snapToGrid w:val="0"/>
        <w:spacing w:afterAutospacing="0" w:line="360" w:lineRule="auto"/>
        <w:ind w:firstLine="161"/>
        <w:jc w:val="both"/>
        <w:textAlignment w:val="auto"/>
        <w:rPr>
          <w:rFonts w:hint="eastAsia" w:ascii="宋体" w:hAnsi="宋体" w:eastAsia="宋体" w:cs="宋体"/>
          <w:b/>
          <w:color w:val="auto"/>
          <w:sz w:val="32"/>
          <w:szCs w:val="32"/>
          <w:highlight w:val="none"/>
        </w:rPr>
      </w:pPr>
    </w:p>
    <w:p>
      <w:pPr>
        <w:pageBreakBefore w:val="0"/>
        <w:kinsoku/>
        <w:wordWrap/>
        <w:topLinePunct w:val="0"/>
        <w:bidi w:val="0"/>
        <w:adjustRightInd w:val="0"/>
        <w:snapToGrid w:val="0"/>
        <w:spacing w:afterAutospacing="0" w:line="360" w:lineRule="auto"/>
        <w:ind w:firstLine="161"/>
        <w:jc w:val="center"/>
        <w:textAlignment w:val="auto"/>
        <w:rPr>
          <w:rFonts w:hint="eastAsia" w:ascii="宋体" w:hAnsi="宋体" w:eastAsia="宋体" w:cs="宋体"/>
          <w:b/>
          <w:color w:val="auto"/>
          <w:sz w:val="32"/>
          <w:highlight w:val="none"/>
          <w:lang w:val="en-US" w:eastAsia="zh-CN"/>
        </w:rPr>
      </w:pPr>
      <w:r>
        <w:rPr>
          <w:rFonts w:hint="eastAsia" w:ascii="宋体" w:hAnsi="宋体" w:eastAsia="宋体" w:cs="宋体"/>
          <w:b/>
          <w:bCs/>
          <w:color w:val="auto"/>
          <w:sz w:val="32"/>
          <w:szCs w:val="32"/>
          <w:highlight w:val="none"/>
        </w:rPr>
        <w:t>项目编号：SDLD2019CS043</w:t>
      </w:r>
    </w:p>
    <w:p>
      <w:pPr>
        <w:pageBreakBefore w:val="0"/>
        <w:kinsoku/>
        <w:wordWrap/>
        <w:topLinePunct w:val="0"/>
        <w:bidi w:val="0"/>
        <w:adjustRightInd w:val="0"/>
        <w:snapToGrid w:val="0"/>
        <w:spacing w:afterAutospacing="0" w:line="360" w:lineRule="auto"/>
        <w:jc w:val="left"/>
        <w:textAlignment w:val="auto"/>
        <w:rPr>
          <w:rFonts w:hint="eastAsia" w:ascii="宋体" w:hAnsi="宋体" w:eastAsia="宋体" w:cs="宋体"/>
          <w:b/>
          <w:color w:val="auto"/>
          <w:sz w:val="36"/>
          <w:szCs w:val="36"/>
          <w:highlight w:val="none"/>
        </w:rPr>
      </w:pPr>
    </w:p>
    <w:p>
      <w:pPr>
        <w:pStyle w:val="2"/>
        <w:rPr>
          <w:rFonts w:hint="eastAsia"/>
        </w:rPr>
      </w:pPr>
    </w:p>
    <w:p>
      <w:pPr>
        <w:pageBreakBefore w:val="0"/>
        <w:kinsoku/>
        <w:wordWrap/>
        <w:topLinePunct w:val="0"/>
        <w:bidi w:val="0"/>
        <w:adjustRightInd w:val="0"/>
        <w:snapToGrid w:val="0"/>
        <w:spacing w:afterAutospacing="0" w:line="360" w:lineRule="auto"/>
        <w:ind w:left="3215" w:leftChars="642" w:hanging="1931" w:hangingChars="601"/>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采购人：济南高新技术产业开发区临港街道办事处</w:t>
      </w:r>
    </w:p>
    <w:p>
      <w:pPr>
        <w:pageBreakBefore w:val="0"/>
        <w:kinsoku/>
        <w:wordWrap/>
        <w:topLinePunct w:val="0"/>
        <w:bidi w:val="0"/>
        <w:adjustRightInd w:val="0"/>
        <w:snapToGrid w:val="0"/>
        <w:spacing w:afterAutospacing="0" w:line="360" w:lineRule="auto"/>
        <w:ind w:left="3207" w:leftChars="1282" w:hanging="643" w:hangingChars="200"/>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（章锦街道办事处）</w:t>
      </w:r>
    </w:p>
    <w:p>
      <w:pPr>
        <w:pageBreakBefore w:val="0"/>
        <w:kinsoku/>
        <w:wordWrap/>
        <w:topLinePunct w:val="0"/>
        <w:bidi w:val="0"/>
        <w:adjustRightInd w:val="0"/>
        <w:snapToGrid w:val="0"/>
        <w:spacing w:afterAutospacing="0" w:line="360" w:lineRule="auto"/>
        <w:ind w:left="3215" w:leftChars="642" w:hanging="1931" w:hangingChars="601"/>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采购代理单位：山东蓝盾招标代理有限公司</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〇</w:t>
      </w:r>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eastAsia="zh-CN"/>
        </w:rPr>
        <w:t>九</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eastAsia="zh-CN"/>
        </w:rPr>
        <w:t>十一</w:t>
      </w:r>
      <w:r>
        <w:rPr>
          <w:rFonts w:hint="eastAsia" w:ascii="宋体" w:hAnsi="宋体" w:eastAsia="宋体" w:cs="宋体"/>
          <w:b/>
          <w:color w:val="auto"/>
          <w:sz w:val="32"/>
          <w:szCs w:val="32"/>
          <w:highlight w:val="none"/>
        </w:rPr>
        <w:t>月</w:t>
      </w:r>
    </w:p>
    <w:p>
      <w:pPr>
        <w:pStyle w:val="2"/>
        <w:rPr>
          <w:rFonts w:hint="eastAsia"/>
        </w:rPr>
      </w:pPr>
    </w:p>
    <w:p>
      <w:pPr>
        <w:pStyle w:val="13"/>
        <w:pageBreakBefore w:val="0"/>
        <w:kinsoku/>
        <w:wordWrap/>
        <w:topLinePunct w:val="0"/>
        <w:bidi w:val="0"/>
        <w:adjustRightInd w:val="0"/>
        <w:snapToGrid w:val="0"/>
        <w:spacing w:before="0" w:afterAutospacing="0" w:line="360" w:lineRule="auto"/>
        <w:textAlignment w:val="auto"/>
        <w:rPr>
          <w:rFonts w:hint="eastAsia" w:ascii="宋体" w:hAnsi="宋体" w:eastAsia="宋体" w:cs="宋体"/>
          <w:lang w:eastAsia="zh-CN"/>
        </w:rPr>
        <w:sectPr>
          <w:headerReference r:id="rId3" w:type="default"/>
          <w:footerReference r:id="rId4" w:type="default"/>
          <w:pgSz w:w="11907" w:h="16840"/>
          <w:pgMar w:top="1247" w:right="882" w:bottom="1134" w:left="1418" w:header="851" w:footer="720" w:gutter="0"/>
          <w:pgNumType w:fmt="decimal" w:start="1"/>
          <w:cols w:space="720" w:num="1"/>
        </w:sectPr>
      </w:pPr>
    </w:p>
    <w:p>
      <w:pPr>
        <w:pStyle w:val="27"/>
        <w:pageBreakBefore w:val="0"/>
        <w:tabs>
          <w:tab w:val="right" w:leader="dot" w:pos="9607"/>
        </w:tabs>
        <w:kinsoku/>
        <w:wordWrap/>
        <w:topLinePunct w:val="0"/>
        <w:bidi w:val="0"/>
        <w:adjustRightInd w:val="0"/>
        <w:snapToGrid w:val="0"/>
        <w:spacing w:afterAutospacing="0" w:line="360" w:lineRule="auto"/>
        <w:jc w:val="center"/>
        <w:textAlignment w:val="auto"/>
        <w:rPr>
          <w:rFonts w:hint="eastAsia" w:ascii="宋体" w:hAnsi="宋体" w:eastAsia="宋体" w:cs="宋体"/>
          <w:b/>
          <w:color w:val="auto"/>
          <w:sz w:val="36"/>
          <w:szCs w:val="36"/>
          <w:highlight w:val="none"/>
        </w:rPr>
      </w:pPr>
      <w:bookmarkStart w:id="0" w:name="_Toc23491"/>
      <w:bookmarkStart w:id="1" w:name="_Toc11161"/>
      <w:bookmarkStart w:id="2" w:name="_Toc1034"/>
      <w:bookmarkStart w:id="3" w:name="_Toc25549"/>
      <w:bookmarkStart w:id="4" w:name="_Toc17167"/>
      <w:bookmarkStart w:id="5" w:name="_Toc18592"/>
      <w:bookmarkStart w:id="6" w:name="_Toc17428"/>
      <w:bookmarkStart w:id="7" w:name="_Toc372"/>
      <w:bookmarkStart w:id="8" w:name="_Toc757"/>
      <w:bookmarkStart w:id="9" w:name="_Toc21188"/>
      <w:bookmarkStart w:id="10" w:name="_Toc4472"/>
      <w:bookmarkStart w:id="11" w:name="_Toc28219"/>
      <w:bookmarkStart w:id="12" w:name="_Toc6567"/>
      <w:bookmarkStart w:id="13" w:name="_Toc5056"/>
      <w:bookmarkStart w:id="14" w:name="_Toc10842"/>
      <w:bookmarkStart w:id="15" w:name="_Toc183264282"/>
      <w:bookmarkStart w:id="16" w:name="_Toc181180296"/>
      <w:r>
        <w:rPr>
          <w:rFonts w:hint="eastAsia" w:ascii="宋体" w:hAnsi="宋体" w:eastAsia="宋体" w:cs="宋体"/>
          <w:b/>
          <w:color w:val="auto"/>
          <w:sz w:val="36"/>
          <w:szCs w:val="36"/>
          <w:highlight w:val="none"/>
        </w:rPr>
        <w:t>目    录</w:t>
      </w:r>
      <w:bookmarkStart w:id="332" w:name="_GoBack"/>
      <w:bookmarkEnd w:id="332"/>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"_Toc30227"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_Toc30227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"_Toc23570"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 xml:space="preserve">第二部分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_Toc23570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"_Toc17414"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项目基本情况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_Toc17414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"_Toc6787"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 xml:space="preserve">第四部分  </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_Toc6787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"_Toc5426"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第五部分  合同格式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_Toc5426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"_Toc28451"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报价函部分格式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_Toc28451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"_Toc30217"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第七部分  附件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_Toc30217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"_Toc22216"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第八部分  报价文件商务部分格式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_Toc22216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"_Toc17578"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第九部分  报价文件技术部分格式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"_Toc10522"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第十部分 评分办法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_Toc10522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"_Toc19046"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第十一部分 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_Toc19046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4"/>
        <w:pageBreakBefore w:val="0"/>
        <w:kinsoku/>
        <w:wordWrap/>
        <w:topLinePunct w:val="0"/>
        <w:bidi w:val="0"/>
        <w:adjustRightInd w:val="0"/>
        <w:snapToGrid w:val="0"/>
        <w:spacing w:afterAutospacing="0" w:line="36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pStyle w:val="64"/>
        <w:pageBreakBefore w:val="0"/>
        <w:kinsoku/>
        <w:wordWrap/>
        <w:topLinePunct w:val="0"/>
        <w:bidi w:val="0"/>
        <w:adjustRightInd w:val="0"/>
        <w:snapToGrid w:val="0"/>
        <w:spacing w:afterAutospacing="0" w:line="360" w:lineRule="auto"/>
        <w:textAlignment w:val="auto"/>
        <w:outlineLvl w:val="0"/>
        <w:rPr>
          <w:rFonts w:hint="eastAsia" w:ascii="宋体" w:hAnsi="宋体" w:eastAsia="宋体" w:cs="宋体"/>
          <w:color w:val="auto"/>
          <w:szCs w:val="36"/>
          <w:highlight w:val="none"/>
        </w:rPr>
      </w:pPr>
    </w:p>
    <w:p>
      <w:pPr>
        <w:pStyle w:val="64"/>
        <w:pageBreakBefore w:val="0"/>
        <w:kinsoku/>
        <w:wordWrap/>
        <w:topLinePunct w:val="0"/>
        <w:bidi w:val="0"/>
        <w:adjustRightInd w:val="0"/>
        <w:snapToGrid w:val="0"/>
        <w:spacing w:afterAutospacing="0" w:line="360" w:lineRule="auto"/>
        <w:textAlignment w:val="auto"/>
        <w:outlineLvl w:val="0"/>
        <w:rPr>
          <w:rFonts w:hint="eastAsia" w:ascii="宋体" w:hAnsi="宋体" w:eastAsia="宋体" w:cs="宋体"/>
          <w:color w:val="auto"/>
          <w:szCs w:val="36"/>
          <w:highlight w:val="none"/>
        </w:rPr>
      </w:pPr>
    </w:p>
    <w:p>
      <w:pPr>
        <w:pStyle w:val="64"/>
        <w:pageBreakBefore w:val="0"/>
        <w:kinsoku/>
        <w:wordWrap/>
        <w:topLinePunct w:val="0"/>
        <w:bidi w:val="0"/>
        <w:adjustRightInd w:val="0"/>
        <w:snapToGrid w:val="0"/>
        <w:spacing w:afterAutospacing="0" w:line="360" w:lineRule="auto"/>
        <w:textAlignment w:val="auto"/>
        <w:outlineLvl w:val="0"/>
        <w:rPr>
          <w:rFonts w:hint="eastAsia" w:ascii="宋体" w:hAnsi="宋体" w:eastAsia="宋体" w:cs="宋体"/>
          <w:color w:val="auto"/>
          <w:szCs w:val="36"/>
          <w:highlight w:val="none"/>
        </w:rPr>
      </w:pPr>
    </w:p>
    <w:p>
      <w:pPr>
        <w:pStyle w:val="64"/>
        <w:pageBreakBefore w:val="0"/>
        <w:kinsoku/>
        <w:wordWrap/>
        <w:topLinePunct w:val="0"/>
        <w:bidi w:val="0"/>
        <w:adjustRightInd w:val="0"/>
        <w:snapToGrid w:val="0"/>
        <w:spacing w:afterAutospacing="0" w:line="360" w:lineRule="auto"/>
        <w:textAlignment w:val="auto"/>
        <w:outlineLvl w:val="0"/>
        <w:rPr>
          <w:rFonts w:hint="eastAsia" w:ascii="宋体" w:hAnsi="宋体" w:eastAsia="宋体" w:cs="宋体"/>
          <w:color w:val="auto"/>
          <w:szCs w:val="36"/>
          <w:highlight w:val="none"/>
        </w:rPr>
        <w:sectPr>
          <w:pgSz w:w="11906" w:h="16838"/>
          <w:pgMar w:top="1440" w:right="1134" w:bottom="1440" w:left="1134" w:header="851" w:footer="992" w:gutter="0"/>
          <w:cols w:space="720" w:num="1"/>
          <w:docGrid w:type="lines" w:linePitch="0" w:charSpace="0"/>
        </w:sectPr>
      </w:pPr>
    </w:p>
    <w:p>
      <w:pPr>
        <w:pStyle w:val="4"/>
        <w:keepNext/>
        <w:keepLines/>
        <w:pageBreakBefore w:val="0"/>
        <w:widowControl/>
        <w:kinsoku/>
        <w:wordWrap/>
        <w:overflowPunct/>
        <w:topLinePunct w:val="0"/>
        <w:autoSpaceDE/>
        <w:autoSpaceDN/>
        <w:bidi w:val="0"/>
        <w:adjustRightInd w:val="0"/>
        <w:snapToGrid w:val="0"/>
        <w:spacing w:before="0" w:after="0" w:afterAutospacing="0" w:line="360" w:lineRule="auto"/>
        <w:jc w:val="center"/>
        <w:textAlignment w:val="auto"/>
        <w:rPr>
          <w:rFonts w:hint="eastAsia" w:ascii="宋体" w:hAnsi="宋体" w:eastAsia="宋体" w:cs="宋体"/>
          <w:color w:val="auto"/>
          <w:sz w:val="40"/>
          <w:szCs w:val="40"/>
          <w:highlight w:val="none"/>
        </w:rPr>
      </w:pPr>
      <w:bookmarkStart w:id="17" w:name="_Toc30227"/>
      <w:r>
        <w:rPr>
          <w:rFonts w:hint="eastAsia" w:ascii="宋体" w:hAnsi="宋体" w:eastAsia="宋体" w:cs="宋体"/>
          <w:color w:val="auto"/>
          <w:sz w:val="40"/>
          <w:szCs w:val="40"/>
          <w:highlight w:val="none"/>
        </w:rPr>
        <w:t>第一部分  竞争性磋商公告</w:t>
      </w:r>
      <w:bookmarkEnd w:id="0"/>
      <w:bookmarkEnd w:id="1"/>
      <w:bookmarkEnd w:id="2"/>
      <w:bookmarkEnd w:id="3"/>
      <w:bookmarkEnd w:id="4"/>
      <w:bookmarkEnd w:id="5"/>
      <w:bookmarkEnd w:id="6"/>
      <w:bookmarkEnd w:id="7"/>
      <w:bookmarkEnd w:id="17"/>
    </w:p>
    <w:bookmarkEnd w:id="8"/>
    <w:bookmarkEnd w:id="9"/>
    <w:bookmarkEnd w:id="10"/>
    <w:bookmarkEnd w:id="11"/>
    <w:bookmarkEnd w:id="12"/>
    <w:bookmarkEnd w:id="13"/>
    <w:bookmarkEnd w:id="14"/>
    <w:p>
      <w:pPr>
        <w:pStyle w:val="5"/>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Times New Roman" w:hAnsi="Times New Roman"/>
          <w:b/>
          <w:bCs/>
          <w:kern w:val="2"/>
          <w:sz w:val="30"/>
          <w:szCs w:val="32"/>
          <w:highlight w:val="none"/>
          <w:lang w:val="en-US" w:eastAsia="zh-CN" w:bidi="ar-SA"/>
        </w:rPr>
      </w:pPr>
      <w:r>
        <w:rPr>
          <w:rFonts w:hint="eastAsia" w:ascii="Times New Roman" w:hAnsi="Times New Roman"/>
          <w:b/>
          <w:bCs/>
          <w:kern w:val="2"/>
          <w:sz w:val="30"/>
          <w:szCs w:val="32"/>
          <w:highlight w:val="none"/>
          <w:lang w:val="en-US" w:eastAsia="zh-CN" w:bidi="ar-SA"/>
        </w:rPr>
        <w:t>济南高新技术产业开发区临港街道办事处（章锦街道办事处）</w:t>
      </w:r>
    </w:p>
    <w:p>
      <w:pPr>
        <w:pStyle w:val="5"/>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Times New Roman" w:hAnsi="Times New Roman" w:eastAsia="宋体"/>
          <w:b/>
          <w:bCs/>
          <w:kern w:val="2"/>
          <w:sz w:val="30"/>
          <w:szCs w:val="32"/>
          <w:highlight w:val="none"/>
          <w:lang w:val="en-US" w:eastAsia="zh-CN" w:bidi="ar-SA"/>
        </w:rPr>
      </w:pPr>
      <w:r>
        <w:rPr>
          <w:rFonts w:hint="eastAsia" w:ascii="Times New Roman" w:hAnsi="Times New Roman"/>
          <w:b/>
          <w:bCs/>
          <w:kern w:val="2"/>
          <w:sz w:val="30"/>
          <w:szCs w:val="32"/>
          <w:highlight w:val="none"/>
          <w:lang w:val="en-US" w:eastAsia="zh-CN" w:bidi="ar-SA"/>
        </w:rPr>
        <w:t>东岸嘉园社区党群服务中心改造提升项目</w:t>
      </w:r>
      <w:r>
        <w:rPr>
          <w:rFonts w:hint="eastAsia"/>
          <w:b/>
          <w:bCs/>
          <w:kern w:val="2"/>
          <w:sz w:val="30"/>
          <w:szCs w:val="32"/>
          <w:highlight w:val="none"/>
          <w:lang w:val="en-US" w:eastAsia="zh-CN" w:bidi="ar-SA"/>
        </w:rPr>
        <w:t>竞争性磋商</w:t>
      </w:r>
      <w:r>
        <w:rPr>
          <w:rFonts w:hint="eastAsia" w:ascii="Times New Roman" w:hAnsi="Times New Roman" w:eastAsia="宋体"/>
          <w:b/>
          <w:bCs/>
          <w:kern w:val="2"/>
          <w:sz w:val="30"/>
          <w:szCs w:val="32"/>
          <w:highlight w:val="none"/>
          <w:lang w:val="en-US" w:eastAsia="zh-CN" w:bidi="ar-SA"/>
        </w:rPr>
        <w:t>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一、采购人</w:t>
      </w:r>
      <w:r>
        <w:rPr>
          <w:rFonts w:hint="eastAsia" w:ascii="宋体" w:hAnsi="宋体" w:eastAsia="宋体" w:cs="宋体"/>
          <w:sz w:val="24"/>
          <w:szCs w:val="24"/>
        </w:rPr>
        <w:t>：济南高新技术产业开发区临港街道办事处（章锦街道办事处）</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地址：济南市历城区港西路2099号港盛大厦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cs="宋体"/>
          <w:sz w:val="24"/>
          <w:szCs w:val="24"/>
          <w:lang w:val="zh-CN" w:eastAsia="zh-CN"/>
        </w:rPr>
        <w:t>秦老师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电话：</w:t>
      </w:r>
      <w:r>
        <w:rPr>
          <w:rFonts w:hint="eastAsia" w:ascii="宋体" w:hAnsi="宋体" w:cs="宋体"/>
          <w:sz w:val="24"/>
          <w:szCs w:val="24"/>
          <w:lang w:val="en-US" w:eastAsia="zh-CN"/>
        </w:rPr>
        <w:t>0531-88695912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采购代理机构</w:t>
      </w:r>
      <w:r>
        <w:rPr>
          <w:rFonts w:hint="eastAsia" w:ascii="宋体" w:hAnsi="宋体" w:eastAsia="宋体" w:cs="宋体"/>
          <w:sz w:val="24"/>
          <w:szCs w:val="24"/>
        </w:rPr>
        <w:t>：山东蓝盾</w:t>
      </w:r>
      <w:r>
        <w:rPr>
          <w:rFonts w:hint="eastAsia" w:ascii="宋体" w:hAnsi="宋体" w:cs="宋体"/>
          <w:sz w:val="24"/>
          <w:szCs w:val="24"/>
          <w:lang w:eastAsia="zh-CN"/>
        </w:rPr>
        <w:t>招标代理</w:t>
      </w:r>
      <w:r>
        <w:rPr>
          <w:rFonts w:hint="eastAsia" w:ascii="宋体" w:hAnsi="宋体" w:eastAsia="宋体" w:cs="宋体"/>
          <w:sz w:val="24"/>
          <w:szCs w:val="24"/>
        </w:rPr>
        <w:t>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地址：</w:t>
      </w:r>
      <w:r>
        <w:rPr>
          <w:sz w:val="24"/>
          <w:szCs w:val="24"/>
        </w:rPr>
        <w:t>济南市工业南路</w:t>
      </w:r>
      <w:r>
        <w:rPr>
          <w:spacing w:val="-60"/>
          <w:sz w:val="24"/>
          <w:szCs w:val="24"/>
        </w:rPr>
        <w:t xml:space="preserve"> </w:t>
      </w:r>
      <w:r>
        <w:rPr>
          <w:sz w:val="24"/>
          <w:szCs w:val="24"/>
        </w:rPr>
        <w:t>59</w:t>
      </w:r>
      <w:r>
        <w:rPr>
          <w:spacing w:val="-60"/>
          <w:sz w:val="24"/>
          <w:szCs w:val="24"/>
        </w:rPr>
        <w:t xml:space="preserve"> </w:t>
      </w:r>
      <w:r>
        <w:rPr>
          <w:sz w:val="24"/>
          <w:szCs w:val="24"/>
        </w:rPr>
        <w:t>号中铁财智中心</w:t>
      </w:r>
      <w:r>
        <w:rPr>
          <w:spacing w:val="-60"/>
          <w:sz w:val="24"/>
          <w:szCs w:val="24"/>
        </w:rPr>
        <w:t xml:space="preserve"> </w:t>
      </w:r>
      <w:r>
        <w:rPr>
          <w:sz w:val="24"/>
          <w:szCs w:val="24"/>
        </w:rPr>
        <w:t>6</w:t>
      </w:r>
      <w:r>
        <w:rPr>
          <w:spacing w:val="-60"/>
          <w:sz w:val="24"/>
          <w:szCs w:val="24"/>
        </w:rPr>
        <w:t xml:space="preserve"> </w:t>
      </w:r>
      <w:r>
        <w:rPr>
          <w:sz w:val="24"/>
          <w:szCs w:val="24"/>
        </w:rPr>
        <w:t>号楼</w:t>
      </w:r>
      <w:r>
        <w:rPr>
          <w:spacing w:val="-60"/>
          <w:sz w:val="24"/>
          <w:szCs w:val="24"/>
        </w:rPr>
        <w:t xml:space="preserve"> </w:t>
      </w:r>
      <w:r>
        <w:rPr>
          <w:sz w:val="24"/>
          <w:szCs w:val="24"/>
        </w:rPr>
        <w:t>15</w:t>
      </w:r>
      <w:r>
        <w:rPr>
          <w:spacing w:val="-60"/>
          <w:sz w:val="24"/>
          <w:szCs w:val="24"/>
        </w:rPr>
        <w:t xml:space="preserve"> </w:t>
      </w:r>
      <w:r>
        <w:rPr>
          <w:sz w:val="24"/>
          <w:szCs w:val="24"/>
        </w:rPr>
        <w:t>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cs="宋体"/>
          <w:sz w:val="24"/>
          <w:szCs w:val="24"/>
          <w:lang w:val="zh-CN"/>
        </w:rPr>
        <w:t>李同同</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联系方式：</w:t>
      </w:r>
      <w:r>
        <w:rPr>
          <w:rFonts w:hint="eastAsia" w:ascii="宋体" w:hAnsi="宋体" w:eastAsia="宋体" w:cs="宋体"/>
          <w:sz w:val="24"/>
          <w:szCs w:val="24"/>
        </w:rPr>
        <w:t>0531-88809762-801</w:t>
      </w:r>
      <w:r>
        <w:rPr>
          <w:rFonts w:hint="eastAsia" w:ascii="宋体" w:hAnsi="宋体" w:eastAsia="宋体" w:cs="宋体"/>
          <w:sz w:val="24"/>
          <w:szCs w:val="24"/>
          <w:lang w:val="en-US" w:eastAsia="zh-CN"/>
        </w:rPr>
        <w:t>7</w:t>
      </w:r>
      <w:r>
        <w:rPr>
          <w:rFonts w:hint="eastAsia" w:ascii="宋体" w:hAnsi="宋体" w:cs="宋体"/>
          <w:sz w:val="24"/>
          <w:szCs w:val="24"/>
          <w:lang w:val="en-US" w:eastAsia="zh-CN"/>
        </w:rPr>
        <w:t xml:space="preserve">  18596098629</w:t>
      </w:r>
    </w:p>
    <w:p>
      <w:pPr>
        <w:keepNext w:val="0"/>
        <w:keepLines w:val="0"/>
        <w:pageBreakBefore w:val="0"/>
        <w:widowControl w:val="0"/>
        <w:kinsoku/>
        <w:wordWrap/>
        <w:overflowPunct/>
        <w:topLinePunct w:val="0"/>
        <w:autoSpaceDE/>
        <w:autoSpaceDN/>
        <w:bidi w:val="0"/>
        <w:adjustRightInd w:val="0"/>
        <w:snapToGrid w:val="0"/>
        <w:spacing w:line="360" w:lineRule="auto"/>
        <w:ind w:left="1680" w:hanging="1680" w:hangingChars="700"/>
        <w:textAlignment w:val="auto"/>
        <w:rPr>
          <w:rFonts w:hint="eastAsia"/>
          <w:sz w:val="24"/>
          <w:szCs w:val="24"/>
          <w:lang w:val="zh-CN" w:eastAsia="zh-CN"/>
        </w:rPr>
      </w:pPr>
      <w:r>
        <w:rPr>
          <w:rFonts w:hint="eastAsia"/>
          <w:sz w:val="24"/>
          <w:szCs w:val="24"/>
        </w:rPr>
        <w:t>二</w:t>
      </w:r>
      <w:r>
        <w:rPr>
          <w:rFonts w:hint="eastAsia"/>
          <w:sz w:val="24"/>
          <w:szCs w:val="24"/>
          <w:lang w:eastAsia="zh-CN"/>
        </w:rPr>
        <w:t>、</w:t>
      </w:r>
      <w:r>
        <w:rPr>
          <w:rFonts w:hint="eastAsia"/>
          <w:sz w:val="24"/>
          <w:szCs w:val="24"/>
        </w:rPr>
        <w:t>项目名称：济南高新技术产业开发区临港街道办事处（章锦街道办事处）东岸嘉园社区党群服务中心改造提升项目</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olor w:val="000000"/>
          <w:sz w:val="24"/>
          <w:szCs w:val="24"/>
          <w:highlight w:val="yellow"/>
          <w:lang w:val="en-US" w:eastAsia="zh-CN"/>
        </w:rPr>
      </w:pPr>
      <w:r>
        <w:rPr>
          <w:rFonts w:hint="eastAsia" w:ascii="宋体" w:hAnsi="宋体" w:eastAsia="宋体" w:cs="宋体"/>
          <w:sz w:val="24"/>
          <w:szCs w:val="24"/>
          <w:highlight w:val="none"/>
          <w:lang w:eastAsia="zh-CN"/>
        </w:rPr>
        <w:t>项目编号：</w:t>
      </w:r>
      <w:r>
        <w:rPr>
          <w:rFonts w:hint="eastAsia" w:ascii="宋体" w:hAnsi="宋体"/>
          <w:color w:val="000000"/>
          <w:sz w:val="24"/>
          <w:szCs w:val="24"/>
          <w:highlight w:val="none"/>
        </w:rPr>
        <w:t>SDLD2019CS0</w:t>
      </w:r>
      <w:r>
        <w:rPr>
          <w:rFonts w:hint="eastAsia" w:ascii="宋体" w:hAnsi="宋体"/>
          <w:color w:val="000000"/>
          <w:sz w:val="24"/>
          <w:szCs w:val="24"/>
          <w:highlight w:val="none"/>
          <w:lang w:val="en-US" w:eastAsia="zh-CN"/>
        </w:rPr>
        <w:t>43</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sz w:val="24"/>
          <w:szCs w:val="24"/>
        </w:rPr>
        <w:t>分包情况:</w:t>
      </w:r>
    </w:p>
    <w:tbl>
      <w:tblPr>
        <w:tblStyle w:val="37"/>
        <w:tblW w:w="10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731"/>
        <w:gridCol w:w="754"/>
        <w:gridCol w:w="5539"/>
        <w:gridCol w:w="1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标包</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项目</w:t>
            </w:r>
            <w:r>
              <w:rPr>
                <w:rFonts w:hint="eastAsia" w:ascii="宋体" w:hAnsi="宋体" w:eastAsia="宋体" w:cs="宋体"/>
                <w:kern w:val="0"/>
                <w:sz w:val="24"/>
                <w:szCs w:val="24"/>
              </w:rPr>
              <w:t>名称</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5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供应商</w:t>
            </w:r>
            <w:r>
              <w:rPr>
                <w:rFonts w:hint="eastAsia" w:ascii="宋体" w:hAnsi="宋体" w:eastAsia="宋体" w:cs="宋体"/>
                <w:kern w:val="0"/>
                <w:sz w:val="24"/>
                <w:szCs w:val="24"/>
              </w:rPr>
              <w:t>资格要求</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sz w:val="24"/>
                <w:szCs w:val="24"/>
              </w:rPr>
              <w:t>济南高新技术产业开发区临港街道办事处（章锦街道办事处）东岸嘉园社区党群服务中心改造提升项目</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5539" w:type="dxa"/>
            <w:tcBorders>
              <w:top w:val="single" w:color="auto" w:sz="4" w:space="0"/>
              <w:left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adjustRightInd w:val="0"/>
              <w:snapToGrid w:val="0"/>
              <w:spacing w:line="360" w:lineRule="auto"/>
              <w:jc w:val="left"/>
              <w:textAlignment w:val="auto"/>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具备《政府采购法》第二十二条规定的条件；</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lang w:eastAsia="zh-CN"/>
              </w:rPr>
              <w:t>供应商</w:t>
            </w:r>
            <w:r>
              <w:rPr>
                <w:rFonts w:hint="eastAsia" w:ascii="宋体" w:hAnsi="宋体" w:cs="宋体"/>
                <w:kern w:val="0"/>
                <w:sz w:val="24"/>
              </w:rPr>
              <w:t>须具备独立法人资格，并在人员、设备、资金等方面具备较强的履约能力；</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lang w:eastAsia="zh-CN"/>
              </w:rPr>
              <w:t>供应商</w:t>
            </w:r>
            <w:r>
              <w:rPr>
                <w:rFonts w:hint="eastAsia" w:ascii="宋体" w:hAnsi="宋体" w:cs="宋体"/>
                <w:kern w:val="0"/>
                <w:sz w:val="24"/>
              </w:rPr>
              <w:t>须具备建筑工程施工总承包叁级及以上资质或建筑装修装饰工程专业承包贰级及以上资质；</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具有有效的安全生产许可证；</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项目经理具有</w:t>
            </w:r>
            <w:r>
              <w:rPr>
                <w:rFonts w:hint="eastAsia" w:ascii="宋体" w:hAnsi="宋体" w:cs="宋体"/>
                <w:kern w:val="0"/>
                <w:sz w:val="24"/>
                <w:lang w:eastAsia="zh-CN"/>
              </w:rPr>
              <w:t>建筑工程类</w:t>
            </w:r>
            <w:r>
              <w:rPr>
                <w:rFonts w:hint="eastAsia" w:ascii="宋体" w:hAnsi="宋体" w:cs="宋体"/>
                <w:kern w:val="0"/>
                <w:sz w:val="24"/>
              </w:rPr>
              <w:t>贰级及以上建造师证书、有效的安全生产考核合格证书（B类）</w:t>
            </w:r>
            <w:r>
              <w:rPr>
                <w:rFonts w:hint="eastAsia" w:ascii="宋体" w:hAnsi="宋体" w:cs="宋体"/>
                <w:kern w:val="0"/>
                <w:sz w:val="24"/>
                <w:lang w:eastAsia="zh-CN"/>
              </w:rPr>
              <w:t>。</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投标人应未被列入“信用中国”（www.creditchina.gov.cn）信用记录失信被执行人、重大税收违法案件当事人名单。</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lang w:eastAsia="zh-CN"/>
              </w:rPr>
            </w:pPr>
            <w:r>
              <w:rPr>
                <w:rFonts w:hint="eastAsia" w:ascii="宋体" w:hAnsi="宋体" w:cs="宋体"/>
                <w:kern w:val="0"/>
                <w:sz w:val="24"/>
                <w:lang w:val="en-US" w:eastAsia="zh-CN"/>
              </w:rPr>
              <w:t>7、</w:t>
            </w:r>
            <w:r>
              <w:rPr>
                <w:rFonts w:hint="eastAsia" w:ascii="宋体" w:hAnsi="宋体" w:cs="宋体"/>
                <w:kern w:val="0"/>
                <w:sz w:val="24"/>
              </w:rPr>
              <w:t>本次招标不接受联合体投标</w:t>
            </w:r>
            <w:r>
              <w:rPr>
                <w:rFonts w:hint="eastAsia" w:ascii="宋体" w:hAnsi="宋体" w:cs="宋体"/>
                <w:kern w:val="0"/>
                <w:sz w:val="24"/>
                <w:lang w:eastAsia="zh-CN"/>
              </w:rPr>
              <w:t>。</w:t>
            </w:r>
          </w:p>
          <w:p>
            <w:pPr>
              <w:keepNext w:val="0"/>
              <w:keepLines w:val="0"/>
              <w:pageBreakBefore w:val="0"/>
              <w:widowControl/>
              <w:kinsoku/>
              <w:overflowPunct/>
              <w:topLinePunct w:val="0"/>
              <w:autoSpaceDE/>
              <w:autoSpaceDN/>
              <w:bidi w:val="0"/>
              <w:adjustRightInd w:val="0"/>
              <w:snapToGrid w:val="0"/>
              <w:spacing w:line="360" w:lineRule="auto"/>
              <w:jc w:val="left"/>
              <w:textAlignment w:val="auto"/>
              <w:rPr>
                <w:rFonts w:hint="default" w:ascii="宋体" w:hAnsi="宋体" w:cs="宋体"/>
                <w:kern w:val="0"/>
                <w:sz w:val="24"/>
                <w:lang w:val="en-US" w:eastAsia="zh-CN"/>
              </w:rPr>
            </w:pPr>
            <w:r>
              <w:rPr>
                <w:rFonts w:hint="eastAsia" w:ascii="宋体" w:hAnsi="宋体" w:cs="宋体"/>
                <w:kern w:val="0"/>
                <w:sz w:val="24"/>
                <w:lang w:val="en-US" w:eastAsia="zh-CN"/>
              </w:rPr>
              <w:t>8</w:t>
            </w:r>
            <w:r>
              <w:rPr>
                <w:rFonts w:hint="eastAsia" w:ascii="宋体" w:hAnsi="宋体" w:cs="宋体"/>
                <w:kern w:val="0"/>
                <w:sz w:val="24"/>
              </w:rPr>
              <w:t>、法律法规的其他要求规定。</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default" w:ascii="宋体" w:hAnsi="宋体" w:cs="宋体"/>
                <w:kern w:val="0"/>
                <w:sz w:val="24"/>
                <w:lang w:val="en-US" w:eastAsia="zh-CN"/>
              </w:rPr>
            </w:pPr>
            <w:r>
              <w:rPr>
                <w:rFonts w:hint="eastAsia" w:ascii="宋体" w:hAnsi="宋体" w:cs="宋体"/>
                <w:kern w:val="0"/>
                <w:sz w:val="24"/>
                <w:lang w:val="en-US" w:eastAsia="zh-CN"/>
              </w:rPr>
              <w:t>30.72万元</w:t>
            </w:r>
          </w:p>
        </w:tc>
      </w:tr>
    </w:tbl>
    <w:p>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z w:val="24"/>
          <w:szCs w:val="24"/>
        </w:rPr>
        <w:t>、获取</w:t>
      </w:r>
      <w:r>
        <w:rPr>
          <w:rFonts w:hint="eastAsia" w:ascii="宋体" w:hAnsi="宋体" w:cs="宋体"/>
          <w:sz w:val="24"/>
          <w:szCs w:val="24"/>
          <w:lang w:eastAsia="zh-CN"/>
        </w:rPr>
        <w:t>竞争性磋商文件</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w:t>
      </w:r>
      <w:r>
        <w:rPr>
          <w:rFonts w:hint="eastAsia" w:ascii="宋体" w:hAnsi="宋体" w:eastAsia="宋体" w:cs="宋体"/>
          <w:sz w:val="24"/>
          <w:szCs w:val="24"/>
          <w:highlight w:val="none"/>
        </w:rPr>
        <w:t>间：</w:t>
      </w:r>
      <w:r>
        <w:rPr>
          <w:rFonts w:hint="eastAsia" w:ascii="宋体" w:hAnsi="宋体" w:eastAsia="宋体" w:cs="宋体"/>
          <w:color w:val="auto"/>
          <w:sz w:val="24"/>
          <w:szCs w:val="24"/>
          <w:highlight w:val="none"/>
        </w:rPr>
        <w:t>2019年</w:t>
      </w:r>
      <w:r>
        <w:rPr>
          <w:rFonts w:hint="eastAsia" w:ascii="宋体" w:hAnsi="宋体" w:cs="宋体"/>
          <w:color w:val="auto"/>
          <w:sz w:val="24"/>
          <w:szCs w:val="24"/>
          <w:highlight w:val="none"/>
          <w:lang w:val="en-US" w:eastAsia="zh-CN"/>
        </w:rPr>
        <w:t xml:space="preserve"> 11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15 </w:t>
      </w:r>
      <w:r>
        <w:rPr>
          <w:rFonts w:hint="eastAsia" w:ascii="宋体" w:hAnsi="宋体" w:eastAsia="宋体" w:cs="宋体"/>
          <w:color w:val="auto"/>
          <w:sz w:val="24"/>
          <w:szCs w:val="24"/>
          <w:highlight w:val="none"/>
        </w:rPr>
        <w:t>日9时00分至2019年</w:t>
      </w:r>
      <w:r>
        <w:rPr>
          <w:rFonts w:hint="eastAsia" w:ascii="宋体" w:hAnsi="宋体" w:cs="宋体"/>
          <w:color w:val="auto"/>
          <w:sz w:val="24"/>
          <w:szCs w:val="24"/>
          <w:highlight w:val="none"/>
          <w:lang w:val="en-US" w:eastAsia="zh-CN"/>
        </w:rPr>
        <w:t xml:space="preserve"> 11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21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16 </w:t>
      </w:r>
      <w:r>
        <w:rPr>
          <w:rFonts w:hint="eastAsia" w:ascii="宋体" w:hAnsi="宋体" w:eastAsia="宋体" w:cs="宋体"/>
          <w:color w:val="auto"/>
          <w:sz w:val="24"/>
          <w:szCs w:val="24"/>
          <w:highlight w:val="none"/>
        </w:rPr>
        <w:t>时00分</w:t>
      </w:r>
      <w:r>
        <w:rPr>
          <w:rFonts w:hint="eastAsia" w:ascii="宋体" w:hAnsi="宋体" w:eastAsia="宋体" w:cs="宋体"/>
          <w:sz w:val="24"/>
          <w:szCs w:val="24"/>
          <w:highlight w:val="none"/>
        </w:rPr>
        <w:t>（北京时</w:t>
      </w:r>
      <w:r>
        <w:rPr>
          <w:rFonts w:hint="eastAsia" w:ascii="宋体" w:hAnsi="宋体" w:cs="宋体"/>
          <w:sz w:val="24"/>
          <w:szCs w:val="24"/>
          <w:highlight w:val="none"/>
          <w:lang w:eastAsia="zh-CN"/>
        </w:rPr>
        <w:t>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2.地点：</w:t>
      </w:r>
      <w:r>
        <w:rPr>
          <w:sz w:val="24"/>
          <w:szCs w:val="24"/>
        </w:rPr>
        <w:t>济南市工业南路</w:t>
      </w:r>
      <w:r>
        <w:rPr>
          <w:spacing w:val="-60"/>
          <w:sz w:val="24"/>
          <w:szCs w:val="24"/>
        </w:rPr>
        <w:t xml:space="preserve"> </w:t>
      </w:r>
      <w:r>
        <w:rPr>
          <w:sz w:val="24"/>
          <w:szCs w:val="24"/>
        </w:rPr>
        <w:t>59</w:t>
      </w:r>
      <w:r>
        <w:rPr>
          <w:spacing w:val="-60"/>
          <w:sz w:val="24"/>
          <w:szCs w:val="24"/>
        </w:rPr>
        <w:t xml:space="preserve"> </w:t>
      </w:r>
      <w:r>
        <w:rPr>
          <w:sz w:val="24"/>
          <w:szCs w:val="24"/>
        </w:rPr>
        <w:t>号中铁财智中心</w:t>
      </w:r>
      <w:r>
        <w:rPr>
          <w:spacing w:val="-60"/>
          <w:sz w:val="24"/>
          <w:szCs w:val="24"/>
        </w:rPr>
        <w:t xml:space="preserve"> </w:t>
      </w:r>
      <w:r>
        <w:rPr>
          <w:sz w:val="24"/>
          <w:szCs w:val="24"/>
        </w:rPr>
        <w:t>6</w:t>
      </w:r>
      <w:r>
        <w:rPr>
          <w:spacing w:val="-60"/>
          <w:sz w:val="24"/>
          <w:szCs w:val="24"/>
        </w:rPr>
        <w:t xml:space="preserve"> </w:t>
      </w:r>
      <w:r>
        <w:rPr>
          <w:sz w:val="24"/>
          <w:szCs w:val="24"/>
        </w:rPr>
        <w:t>号楼</w:t>
      </w:r>
      <w:r>
        <w:rPr>
          <w:spacing w:val="-60"/>
          <w:sz w:val="24"/>
          <w:szCs w:val="24"/>
        </w:rPr>
        <w:t xml:space="preserve"> </w:t>
      </w:r>
      <w:r>
        <w:rPr>
          <w:sz w:val="24"/>
          <w:szCs w:val="24"/>
        </w:rPr>
        <w:t>15</w:t>
      </w:r>
      <w:r>
        <w:rPr>
          <w:spacing w:val="-60"/>
          <w:sz w:val="24"/>
          <w:szCs w:val="24"/>
        </w:rPr>
        <w:t xml:space="preserve"> </w:t>
      </w:r>
      <w:r>
        <w:rPr>
          <w:sz w:val="24"/>
          <w:szCs w:val="24"/>
        </w:rPr>
        <w:t>层</w:t>
      </w:r>
      <w:r>
        <w:rPr>
          <w:rFonts w:hint="eastAsia"/>
          <w:sz w:val="24"/>
          <w:szCs w:val="24"/>
          <w:lang w:eastAsia="zh-CN"/>
        </w:rPr>
        <w:t>财务部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cs="宋体"/>
          <w:kern w:val="0"/>
          <w:sz w:val="24"/>
          <w:lang w:bidi="ar"/>
        </w:rPr>
      </w:pPr>
      <w:r>
        <w:rPr>
          <w:rFonts w:hint="eastAsia" w:ascii="宋体" w:hAnsi="宋体" w:eastAsia="宋体" w:cs="宋体"/>
          <w:sz w:val="24"/>
          <w:szCs w:val="24"/>
        </w:rPr>
        <w:t>3.方式：</w:t>
      </w:r>
      <w:r>
        <w:rPr>
          <w:rFonts w:hint="eastAsia" w:ascii="宋体" w:hAnsi="宋体" w:cs="宋体"/>
          <w:kern w:val="0"/>
          <w:sz w:val="24"/>
        </w:rPr>
        <w:t>报名时须提供营业执照（副本）</w:t>
      </w:r>
      <w:r>
        <w:rPr>
          <w:rFonts w:hint="eastAsia" w:ascii="宋体" w:hAnsi="宋体" w:cs="宋体"/>
          <w:kern w:val="0"/>
          <w:sz w:val="24"/>
          <w:lang w:eastAsia="zh-CN"/>
        </w:rPr>
        <w:t>；</w:t>
      </w:r>
      <w:r>
        <w:rPr>
          <w:rFonts w:hint="eastAsia" w:ascii="宋体" w:hAnsi="宋体" w:cs="宋体"/>
          <w:kern w:val="0"/>
          <w:sz w:val="24"/>
        </w:rPr>
        <w:t>施工总承包叁级及以上资质或建筑装修装饰工程专业承包</w:t>
      </w:r>
      <w:r>
        <w:rPr>
          <w:rFonts w:hint="eastAsia" w:ascii="宋体" w:hAnsi="宋体" w:cs="宋体"/>
          <w:kern w:val="0"/>
          <w:sz w:val="24"/>
          <w:lang w:eastAsia="zh-CN"/>
        </w:rPr>
        <w:t>贰</w:t>
      </w:r>
      <w:r>
        <w:rPr>
          <w:rFonts w:hint="eastAsia" w:ascii="宋体" w:hAnsi="宋体" w:cs="宋体"/>
          <w:kern w:val="0"/>
          <w:sz w:val="24"/>
        </w:rPr>
        <w:t>级及以上资质</w:t>
      </w:r>
      <w:r>
        <w:rPr>
          <w:rFonts w:hint="eastAsia" w:ascii="宋体" w:hAnsi="宋体" w:cs="宋体"/>
          <w:kern w:val="0"/>
          <w:sz w:val="24"/>
          <w:lang w:eastAsia="zh-CN"/>
        </w:rPr>
        <w:t>证书；</w:t>
      </w:r>
      <w:r>
        <w:rPr>
          <w:rFonts w:hint="eastAsia" w:ascii="宋体" w:hAnsi="宋体" w:cs="宋体"/>
          <w:kern w:val="0"/>
          <w:sz w:val="24"/>
        </w:rPr>
        <w:t>具有有效的安全生产许可证</w:t>
      </w:r>
      <w:r>
        <w:rPr>
          <w:rFonts w:hint="eastAsia" w:ascii="宋体" w:hAnsi="宋体" w:cs="宋体"/>
          <w:kern w:val="0"/>
          <w:sz w:val="24"/>
          <w:lang w:eastAsia="zh-CN"/>
        </w:rPr>
        <w:t>；</w:t>
      </w:r>
      <w:r>
        <w:rPr>
          <w:rFonts w:hint="eastAsia" w:ascii="宋体" w:hAnsi="宋体" w:cs="宋体"/>
          <w:kern w:val="0"/>
          <w:sz w:val="24"/>
        </w:rPr>
        <w:t>项目经理具有</w:t>
      </w:r>
      <w:r>
        <w:rPr>
          <w:rFonts w:hint="eastAsia" w:ascii="宋体" w:hAnsi="宋体" w:cs="宋体"/>
          <w:kern w:val="0"/>
          <w:sz w:val="24"/>
          <w:lang w:eastAsia="zh-CN"/>
        </w:rPr>
        <w:t>建筑</w:t>
      </w:r>
      <w:r>
        <w:rPr>
          <w:rFonts w:hint="eastAsia" w:ascii="宋体" w:hAnsi="宋体" w:cs="宋体"/>
          <w:kern w:val="0"/>
          <w:sz w:val="24"/>
        </w:rPr>
        <w:t>工程</w:t>
      </w:r>
      <w:r>
        <w:rPr>
          <w:rFonts w:hint="eastAsia" w:ascii="宋体" w:hAnsi="宋体" w:cs="宋体"/>
          <w:kern w:val="0"/>
          <w:sz w:val="24"/>
          <w:lang w:eastAsia="zh-CN"/>
        </w:rPr>
        <w:t>类</w:t>
      </w:r>
      <w:r>
        <w:rPr>
          <w:rFonts w:hint="eastAsia" w:ascii="宋体" w:hAnsi="宋体" w:cs="宋体"/>
          <w:kern w:val="0"/>
          <w:sz w:val="24"/>
        </w:rPr>
        <w:t>贰级及以上建造师证书</w:t>
      </w:r>
      <w:r>
        <w:rPr>
          <w:rFonts w:hint="eastAsia" w:ascii="宋体" w:hAnsi="宋体" w:cs="宋体"/>
          <w:kern w:val="0"/>
          <w:sz w:val="24"/>
          <w:lang w:eastAsia="zh-CN"/>
        </w:rPr>
        <w:t>；</w:t>
      </w:r>
      <w:r>
        <w:rPr>
          <w:rFonts w:hint="eastAsia" w:ascii="宋体" w:hAnsi="宋体" w:cs="宋体"/>
          <w:kern w:val="0"/>
          <w:sz w:val="24"/>
        </w:rPr>
        <w:t>有效的安全生产考核合格证书（B类）</w:t>
      </w:r>
      <w:r>
        <w:rPr>
          <w:rFonts w:hint="eastAsia" w:ascii="宋体" w:hAnsi="宋体" w:cs="宋体"/>
          <w:kern w:val="0"/>
          <w:sz w:val="24"/>
          <w:lang w:eastAsia="zh-CN"/>
        </w:rPr>
        <w:t>；</w:t>
      </w:r>
      <w:r>
        <w:rPr>
          <w:rFonts w:hint="eastAsia" w:ascii="宋体" w:hAnsi="宋体" w:cs="宋体"/>
          <w:kern w:val="0"/>
          <w:sz w:val="24"/>
        </w:rPr>
        <w:t>信用中国（截图打印并加盖公章），法定代表人证明书（或委托的代理人持授权委托书及代理人身份证原件）</w:t>
      </w:r>
      <w:r>
        <w:rPr>
          <w:rFonts w:hint="eastAsia" w:ascii="宋体" w:hAnsi="宋体" w:cs="宋体"/>
          <w:kern w:val="0"/>
          <w:sz w:val="24"/>
          <w:lang w:eastAsia="zh-CN"/>
        </w:rPr>
        <w:t>。</w:t>
      </w:r>
      <w:r>
        <w:rPr>
          <w:rFonts w:hint="eastAsia" w:ascii="宋体" w:hAnsi="宋体" w:cs="宋体"/>
          <w:kern w:val="0"/>
          <w:sz w:val="24"/>
        </w:rPr>
        <w:t>以上证件</w:t>
      </w:r>
      <w:r>
        <w:rPr>
          <w:rFonts w:hint="eastAsia" w:ascii="宋体" w:hAnsi="宋体" w:cs="宋体"/>
          <w:kern w:val="0"/>
          <w:sz w:val="24"/>
          <w:lang w:eastAsia="zh-CN"/>
        </w:rPr>
        <w:t>须提供加盖公章的</w:t>
      </w:r>
      <w:r>
        <w:rPr>
          <w:rFonts w:hint="eastAsia" w:ascii="宋体" w:hAnsi="宋体" w:cs="宋体"/>
          <w:kern w:val="0"/>
          <w:sz w:val="24"/>
        </w:rPr>
        <w:t>复印件</w:t>
      </w:r>
      <w:r>
        <w:rPr>
          <w:rFonts w:hint="eastAsia" w:ascii="宋体" w:hAnsi="宋体" w:cs="宋体"/>
          <w:kern w:val="0"/>
          <w:sz w:val="24"/>
          <w:lang w:eastAsia="zh-CN"/>
        </w:rPr>
        <w:t>一套</w:t>
      </w:r>
      <w:r>
        <w:rPr>
          <w:rFonts w:hint="eastAsia" w:ascii="宋体" w:hAnsi="宋体" w:cs="宋体"/>
          <w:kern w:val="0"/>
          <w:sz w:val="24"/>
        </w:rPr>
        <w:t>。报名时提交的资料查验不代表资格审查的最终通过或合格。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4.售价：</w:t>
      </w:r>
      <w:r>
        <w:rPr>
          <w:rFonts w:hint="eastAsia" w:ascii="宋体" w:hAnsi="宋体" w:eastAsia="宋体" w:cs="宋体"/>
          <w:sz w:val="24"/>
          <w:szCs w:val="24"/>
          <w:lang w:val="en-US" w:eastAsia="zh-CN"/>
        </w:rPr>
        <w:t>5</w:t>
      </w:r>
      <w:r>
        <w:rPr>
          <w:rFonts w:hint="eastAsia" w:ascii="宋体" w:hAnsi="宋体" w:eastAsia="宋体" w:cs="宋体"/>
          <w:sz w:val="24"/>
          <w:szCs w:val="24"/>
        </w:rPr>
        <w:t>00元/份，</w:t>
      </w:r>
      <w:r>
        <w:rPr>
          <w:rFonts w:hint="eastAsia" w:ascii="宋体" w:hAnsi="宋体" w:eastAsia="宋体" w:cs="宋体"/>
          <w:sz w:val="24"/>
          <w:szCs w:val="24"/>
          <w:lang w:eastAsia="zh-CN"/>
        </w:rPr>
        <w:t>现金支付，</w:t>
      </w:r>
      <w:r>
        <w:rPr>
          <w:rFonts w:hint="eastAsia" w:ascii="宋体" w:hAnsi="宋体" w:eastAsia="宋体" w:cs="宋体"/>
          <w:sz w:val="24"/>
          <w:szCs w:val="24"/>
        </w:rPr>
        <w:t>售后不退。</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color w:val="auto"/>
          <w:sz w:val="24"/>
          <w:szCs w:val="24"/>
          <w:highlight w:val="none"/>
        </w:rPr>
        <w:t>公告期限：2019年</w:t>
      </w:r>
      <w:r>
        <w:rPr>
          <w:rFonts w:hint="eastAsia" w:ascii="宋体" w:hAnsi="宋体" w:cs="宋体"/>
          <w:color w:val="auto"/>
          <w:sz w:val="24"/>
          <w:szCs w:val="24"/>
          <w:highlight w:val="none"/>
          <w:lang w:val="en-US" w:eastAsia="zh-CN"/>
        </w:rPr>
        <w:t xml:space="preserve"> 11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15 </w:t>
      </w:r>
      <w:r>
        <w:rPr>
          <w:rFonts w:hint="eastAsia" w:ascii="宋体" w:hAnsi="宋体" w:eastAsia="宋体" w:cs="宋体"/>
          <w:color w:val="auto"/>
          <w:sz w:val="24"/>
          <w:szCs w:val="24"/>
          <w:highlight w:val="none"/>
        </w:rPr>
        <w:t>日至2019年</w:t>
      </w:r>
      <w:r>
        <w:rPr>
          <w:rFonts w:hint="eastAsia" w:ascii="宋体" w:hAnsi="宋体" w:cs="宋体"/>
          <w:color w:val="auto"/>
          <w:sz w:val="24"/>
          <w:szCs w:val="24"/>
          <w:highlight w:val="none"/>
          <w:lang w:val="en-US" w:eastAsia="zh-CN"/>
        </w:rPr>
        <w:t xml:space="preserve"> 11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21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、递交</w:t>
      </w:r>
      <w:r>
        <w:rPr>
          <w:rFonts w:hint="eastAsia" w:ascii="宋体" w:hAnsi="宋体" w:cs="宋体"/>
          <w:sz w:val="24"/>
          <w:szCs w:val="24"/>
          <w:highlight w:val="none"/>
          <w:lang w:eastAsia="zh-CN"/>
        </w:rPr>
        <w:t>报价文件</w:t>
      </w:r>
      <w:r>
        <w:rPr>
          <w:rFonts w:hint="eastAsia" w:ascii="宋体" w:hAnsi="宋体" w:eastAsia="宋体" w:cs="宋体"/>
          <w:sz w:val="24"/>
          <w:szCs w:val="24"/>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lang w:eastAsia="zh-CN"/>
        </w:rPr>
        <w:t>详见竞争性磋商文件</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456"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六、磋商时间及地点</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456"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1.时间：</w:t>
      </w:r>
      <w:r>
        <w:rPr>
          <w:rFonts w:hint="eastAsia" w:ascii="宋体" w:hAnsi="宋体" w:eastAsia="宋体" w:cs="宋体"/>
          <w:color w:val="auto"/>
          <w:sz w:val="24"/>
          <w:szCs w:val="24"/>
          <w:highlight w:val="none"/>
          <w:u w:val="single"/>
        </w:rPr>
        <w:t>201</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分（北京时间）</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456" w:leftChars="228"/>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2.地点</w:t>
      </w:r>
      <w:r>
        <w:rPr>
          <w:rFonts w:hint="eastAsia" w:ascii="宋体" w:hAnsi="宋体" w:eastAsia="宋体" w:cs="宋体"/>
          <w:color w:val="auto"/>
          <w:sz w:val="24"/>
          <w:szCs w:val="24"/>
          <w:highlight w:val="none"/>
          <w:lang w:val="zh-CN"/>
        </w:rPr>
        <w:t>：</w:t>
      </w:r>
      <w:r>
        <w:rPr>
          <w:sz w:val="24"/>
          <w:szCs w:val="24"/>
        </w:rPr>
        <w:t>济南市工业南路</w:t>
      </w:r>
      <w:r>
        <w:rPr>
          <w:spacing w:val="-60"/>
          <w:sz w:val="24"/>
          <w:szCs w:val="24"/>
        </w:rPr>
        <w:t xml:space="preserve"> </w:t>
      </w:r>
      <w:r>
        <w:rPr>
          <w:sz w:val="24"/>
          <w:szCs w:val="24"/>
        </w:rPr>
        <w:t>59</w:t>
      </w:r>
      <w:r>
        <w:rPr>
          <w:spacing w:val="-60"/>
          <w:sz w:val="24"/>
          <w:szCs w:val="24"/>
        </w:rPr>
        <w:t xml:space="preserve"> </w:t>
      </w:r>
      <w:r>
        <w:rPr>
          <w:sz w:val="24"/>
          <w:szCs w:val="24"/>
        </w:rPr>
        <w:t>号中铁财智中心</w:t>
      </w:r>
      <w:r>
        <w:rPr>
          <w:spacing w:val="-60"/>
          <w:sz w:val="24"/>
          <w:szCs w:val="24"/>
        </w:rPr>
        <w:t xml:space="preserve"> </w:t>
      </w:r>
      <w:r>
        <w:rPr>
          <w:sz w:val="24"/>
          <w:szCs w:val="24"/>
        </w:rPr>
        <w:t>6</w:t>
      </w:r>
      <w:r>
        <w:rPr>
          <w:spacing w:val="-60"/>
          <w:sz w:val="24"/>
          <w:szCs w:val="24"/>
        </w:rPr>
        <w:t xml:space="preserve"> </w:t>
      </w:r>
      <w:r>
        <w:rPr>
          <w:sz w:val="24"/>
          <w:szCs w:val="24"/>
        </w:rPr>
        <w:t>号楼</w:t>
      </w:r>
      <w:r>
        <w:rPr>
          <w:spacing w:val="-60"/>
          <w:sz w:val="24"/>
          <w:szCs w:val="24"/>
        </w:rPr>
        <w:t xml:space="preserve"> </w:t>
      </w:r>
      <w:r>
        <w:rPr>
          <w:sz w:val="24"/>
          <w:szCs w:val="24"/>
        </w:rPr>
        <w:t>15</w:t>
      </w:r>
      <w:r>
        <w:rPr>
          <w:spacing w:val="-60"/>
          <w:sz w:val="24"/>
          <w:szCs w:val="24"/>
        </w:rPr>
        <w:t xml:space="preserve"> </w:t>
      </w:r>
      <w:r>
        <w:rPr>
          <w:sz w:val="24"/>
          <w:szCs w:val="24"/>
        </w:rPr>
        <w:t>层</w:t>
      </w:r>
      <w:r>
        <w:rPr>
          <w:rFonts w:hint="eastAsia"/>
          <w:sz w:val="24"/>
          <w:szCs w:val="24"/>
          <w:lang w:eastAsia="zh-CN"/>
        </w:rPr>
        <w:t>会议室</w:t>
      </w:r>
    </w:p>
    <w:p>
      <w:pPr>
        <w:keepNext w:val="0"/>
        <w:keepLines w:val="0"/>
        <w:pageBreakBefore w:val="0"/>
        <w:widowControl/>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七、采购项目联系方式</w:t>
      </w:r>
    </w:p>
    <w:p>
      <w:pPr>
        <w:keepNext w:val="0"/>
        <w:keepLines w:val="0"/>
        <w:pageBreakBefore w:val="0"/>
        <w:widowControl/>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联系人：</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zh-CN"/>
        </w:rPr>
        <w:t>李同同</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联系方式：</w:t>
      </w:r>
      <w:r>
        <w:rPr>
          <w:rFonts w:hint="eastAsia" w:ascii="宋体" w:hAnsi="宋体" w:eastAsia="宋体" w:cs="宋体"/>
          <w:color w:val="auto"/>
          <w:sz w:val="24"/>
          <w:szCs w:val="24"/>
          <w:highlight w:val="none"/>
          <w:u w:val="single"/>
          <w:lang w:val="zh-CN"/>
        </w:rPr>
        <w:t xml:space="preserve"> 185960986</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zh-CN" w:eastAsia="zh-CN"/>
        </w:rPr>
        <w:t>0531-88809762-8017</w:t>
      </w:r>
    </w:p>
    <w:p>
      <w:pPr>
        <w:keepNext w:val="0"/>
        <w:keepLines w:val="0"/>
        <w:pageBreakBefore w:val="0"/>
        <w:widowControl/>
        <w:numPr>
          <w:ilvl w:val="0"/>
          <w:numId w:val="1"/>
        </w:numPr>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采购项目的用途、数量、简要技术要求等</w:t>
      </w:r>
    </w:p>
    <w:p>
      <w:pPr>
        <w:keepNext w:val="0"/>
        <w:keepLines w:val="0"/>
        <w:pageBreakBefore w:val="0"/>
        <w:widowControl/>
        <w:kinsoku/>
        <w:wordWrap/>
        <w:overflowPunct/>
        <w:topLinePunct w:val="0"/>
        <w:autoSpaceDE/>
        <w:autoSpaceDN/>
        <w:bidi w:val="0"/>
        <w:adjustRightInd w:val="0"/>
        <w:snapToGrid w:val="0"/>
        <w:spacing w:afterAutospacing="0" w:line="360" w:lineRule="auto"/>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详见竞争性磋商文件</w:t>
      </w:r>
    </w:p>
    <w:p>
      <w:pPr>
        <w:keepNext w:val="0"/>
        <w:keepLines w:val="0"/>
        <w:pageBreakBefore w:val="0"/>
        <w:widowControl/>
        <w:numPr>
          <w:ilvl w:val="0"/>
          <w:numId w:val="1"/>
        </w:numPr>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采购项目需要落实的政府采购政策</w:t>
      </w:r>
    </w:p>
    <w:p>
      <w:pPr>
        <w:keepNext w:val="0"/>
        <w:keepLines w:val="0"/>
        <w:pageBreakBefore w:val="0"/>
        <w:widowControl/>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详见竞争性磋商文件</w:t>
      </w:r>
    </w:p>
    <w:p>
      <w:pPr>
        <w:keepNext w:val="0"/>
        <w:keepLines w:val="0"/>
        <w:pageBreakBefore w:val="0"/>
        <w:widowControl/>
        <w:kinsoku/>
        <w:wordWrap/>
        <w:overflowPunct/>
        <w:topLinePunct w:val="0"/>
        <w:autoSpaceDE/>
        <w:autoSpaceDN/>
        <w:bidi w:val="0"/>
        <w:adjustRightInd w:val="0"/>
        <w:snapToGrid w:val="0"/>
        <w:spacing w:afterAutospacing="0"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Autospacing="0" w:line="360" w:lineRule="auto"/>
        <w:jc w:val="righ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 布 人：山东蓝盾招标代理有限公司</w:t>
      </w:r>
    </w:p>
    <w:p>
      <w:pPr>
        <w:keepNext w:val="0"/>
        <w:keepLines w:val="0"/>
        <w:pageBreakBefore w:val="0"/>
        <w:widowControl/>
        <w:kinsoku/>
        <w:wordWrap/>
        <w:overflowPunct/>
        <w:topLinePunct w:val="0"/>
        <w:autoSpaceDE/>
        <w:autoSpaceDN/>
        <w:bidi w:val="0"/>
        <w:adjustRightInd w:val="0"/>
        <w:snapToGrid w:val="0"/>
        <w:spacing w:afterAutospacing="0" w:line="360" w:lineRule="auto"/>
        <w:ind w:firstLine="5280" w:firstLineChars="2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发布时间：</w:t>
      </w:r>
      <w:r>
        <w:rPr>
          <w:rFonts w:hint="eastAsia" w:ascii="宋体" w:hAnsi="宋体" w:eastAsia="宋体" w:cs="宋体"/>
          <w:color w:val="auto"/>
          <w:sz w:val="24"/>
          <w:szCs w:val="24"/>
          <w:highlight w:val="none"/>
          <w:u w:val="single"/>
        </w:rPr>
        <w:t>201</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日</w:t>
      </w:r>
      <w:bookmarkStart w:id="18" w:name="_Toc5178"/>
      <w:bookmarkStart w:id="19" w:name="_Toc23570"/>
      <w:bookmarkStart w:id="20" w:name="_Toc19754"/>
      <w:bookmarkStart w:id="21" w:name="_Toc8134"/>
      <w:bookmarkStart w:id="22" w:name="_Toc12262"/>
      <w:bookmarkStart w:id="23" w:name="_Toc21062"/>
      <w:bookmarkStart w:id="24" w:name="_Toc27223"/>
      <w:bookmarkStart w:id="25" w:name="_Toc6000"/>
      <w:bookmarkStart w:id="26" w:name="_Toc11981"/>
      <w:bookmarkStart w:id="27" w:name="_Toc11964"/>
      <w:bookmarkStart w:id="28" w:name="_Toc29265"/>
      <w:bookmarkStart w:id="29" w:name="_Toc28014"/>
      <w:bookmarkStart w:id="30" w:name="_Toc25360"/>
    </w:p>
    <w:p>
      <w:pPr>
        <w:pageBreakBefore w:val="0"/>
        <w:widowControl/>
        <w:kinsoku/>
        <w:wordWrap/>
        <w:overflowPunct/>
        <w:topLinePunct w:val="0"/>
        <w:autoSpaceDE/>
        <w:autoSpaceDN/>
        <w:bidi w:val="0"/>
        <w:adjustRightInd w:val="0"/>
        <w:snapToGrid w:val="0"/>
        <w:spacing w:afterAutospacing="0" w:line="360" w:lineRule="auto"/>
        <w:ind w:firstLine="11485" w:firstLineChars="2600"/>
        <w:jc w:val="both"/>
        <w:textAlignment w:val="auto"/>
        <w:rPr>
          <w:rStyle w:val="45"/>
          <w:rFonts w:hint="eastAsia" w:ascii="宋体" w:hAnsi="宋体" w:eastAsia="宋体" w:cs="宋体"/>
          <w:color w:val="auto"/>
          <w:highlight w:val="none"/>
        </w:rPr>
      </w:pPr>
      <w:r>
        <w:rPr>
          <w:rStyle w:val="45"/>
          <w:rFonts w:hint="eastAsia" w:ascii="宋体" w:hAnsi="宋体" w:eastAsia="宋体" w:cs="宋体"/>
          <w:color w:val="auto"/>
          <w:highlight w:val="none"/>
        </w:rPr>
        <w:br w:type="page"/>
      </w:r>
    </w:p>
    <w:p>
      <w:pPr>
        <w:pageBreakBefore w:val="0"/>
        <w:kinsoku/>
        <w:wordWrap/>
        <w:topLinePunct w:val="0"/>
        <w:bidi w:val="0"/>
        <w:adjustRightInd w:val="0"/>
        <w:snapToGrid w:val="0"/>
        <w:spacing w:afterAutospacing="0" w:line="360" w:lineRule="auto"/>
        <w:jc w:val="center"/>
        <w:textAlignment w:val="auto"/>
        <w:outlineLvl w:val="0"/>
        <w:rPr>
          <w:rStyle w:val="45"/>
          <w:rFonts w:hint="eastAsia" w:ascii="宋体" w:hAnsi="宋体" w:eastAsia="宋体" w:cs="宋体"/>
          <w:color w:val="auto"/>
          <w:highlight w:val="none"/>
        </w:rPr>
      </w:pPr>
      <w:r>
        <w:rPr>
          <w:rStyle w:val="45"/>
          <w:rFonts w:hint="eastAsia" w:ascii="宋体" w:hAnsi="宋体" w:eastAsia="宋体" w:cs="宋体"/>
          <w:color w:val="auto"/>
          <w:highlight w:val="none"/>
        </w:rPr>
        <w:t xml:space="preserve">第二部分  </w:t>
      </w:r>
      <w:r>
        <w:rPr>
          <w:rStyle w:val="45"/>
          <w:rFonts w:hint="eastAsia" w:ascii="宋体" w:hAnsi="宋体" w:eastAsia="宋体" w:cs="宋体"/>
          <w:color w:val="auto"/>
          <w:highlight w:val="none"/>
          <w:lang w:eastAsia="zh-CN"/>
        </w:rPr>
        <w:t>供应商</w:t>
      </w:r>
      <w:r>
        <w:rPr>
          <w:rStyle w:val="45"/>
          <w:rFonts w:hint="eastAsia" w:ascii="宋体" w:hAnsi="宋体" w:eastAsia="宋体" w:cs="宋体"/>
          <w:color w:val="auto"/>
          <w:highlight w:val="none"/>
        </w:rPr>
        <w:t>须知</w:t>
      </w:r>
      <w:bookmarkEnd w:id="18"/>
      <w:bookmarkEnd w:id="19"/>
      <w:bookmarkEnd w:id="20"/>
      <w:bookmarkEnd w:id="21"/>
      <w:bookmarkEnd w:id="22"/>
      <w:bookmarkEnd w:id="23"/>
    </w:p>
    <w:p>
      <w:pPr>
        <w:pageBreakBefore w:val="0"/>
        <w:kinsoku/>
        <w:wordWrap/>
        <w:topLinePunct w:val="0"/>
        <w:bidi w:val="0"/>
        <w:adjustRightInd w:val="0"/>
        <w:snapToGrid w:val="0"/>
        <w:spacing w:afterAutospacing="0" w:line="360" w:lineRule="auto"/>
        <w:jc w:val="center"/>
        <w:textAlignment w:val="auto"/>
        <w:outlineLvl w:val="1"/>
        <w:rPr>
          <w:rFonts w:hint="eastAsia" w:ascii="宋体" w:hAnsi="宋体" w:eastAsia="宋体" w:cs="宋体"/>
          <w:b/>
          <w:color w:val="auto"/>
          <w:sz w:val="32"/>
          <w:szCs w:val="32"/>
          <w:highlight w:val="none"/>
        </w:rPr>
      </w:pPr>
      <w:bookmarkStart w:id="31" w:name="_Toc31665"/>
      <w:r>
        <w:rPr>
          <w:rFonts w:hint="eastAsia" w:ascii="宋体" w:hAnsi="宋体" w:eastAsia="宋体" w:cs="宋体"/>
          <w:b/>
          <w:color w:val="auto"/>
          <w:sz w:val="32"/>
          <w:szCs w:val="32"/>
          <w:highlight w:val="none"/>
        </w:rPr>
        <w:t>前 附 表</w:t>
      </w:r>
      <w:bookmarkEnd w:id="31"/>
    </w:p>
    <w:tbl>
      <w:tblPr>
        <w:tblStyle w:val="37"/>
        <w:tblW w:w="99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5"/>
        <w:gridCol w:w="1793"/>
        <w:gridCol w:w="73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 w:hRule="atLeast"/>
          <w:jc w:val="center"/>
        </w:trPr>
        <w:tc>
          <w:tcPr>
            <w:tcW w:w="865" w:type="dxa"/>
            <w:tcBorders>
              <w:bottom w:val="single" w:color="auto" w:sz="8"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1793" w:type="dxa"/>
            <w:tcBorders>
              <w:left w:val="single" w:color="auto" w:sz="4" w:space="0"/>
              <w:bottom w:val="single" w:color="auto" w:sz="8"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内容</w:t>
            </w:r>
          </w:p>
        </w:tc>
        <w:tc>
          <w:tcPr>
            <w:tcW w:w="7314" w:type="dxa"/>
            <w:tcBorders>
              <w:bottom w:val="single" w:color="auto" w:sz="8"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说明与要求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 w:hRule="atLeast"/>
          <w:jc w:val="center"/>
        </w:trPr>
        <w:tc>
          <w:tcPr>
            <w:tcW w:w="865" w:type="dxa"/>
            <w:tcBorders>
              <w:bottom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p>
        </w:tc>
        <w:tc>
          <w:tcPr>
            <w:tcW w:w="1793" w:type="dxa"/>
            <w:tcBorders>
              <w:left w:val="single" w:color="auto" w:sz="4" w:space="0"/>
              <w:bottom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工程名称</w:t>
            </w:r>
          </w:p>
        </w:tc>
        <w:tc>
          <w:tcPr>
            <w:tcW w:w="7314" w:type="dxa"/>
            <w:tcBorders>
              <w:bottom w:val="single" w:color="auto" w:sz="4" w:space="0"/>
            </w:tcBorders>
            <w:vAlign w:val="center"/>
          </w:tcPr>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sz w:val="24"/>
                <w:szCs w:val="24"/>
              </w:rPr>
              <w:t>济南高新技术产业开发区临港街道办事处（章锦街道办事处）东岸嘉园社区党群服务中心改造提升项目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865" w:type="dxa"/>
            <w:tcBorders>
              <w:bottom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p>
        </w:tc>
        <w:tc>
          <w:tcPr>
            <w:tcW w:w="1793" w:type="dxa"/>
            <w:tcBorders>
              <w:left w:val="single" w:color="auto" w:sz="4" w:space="0"/>
              <w:bottom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建设地点</w:t>
            </w:r>
          </w:p>
        </w:tc>
        <w:tc>
          <w:tcPr>
            <w:tcW w:w="7314" w:type="dxa"/>
            <w:tcBorders>
              <w:bottom w:val="single" w:color="auto" w:sz="4" w:space="0"/>
            </w:tcBorders>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lang w:eastAsia="zh-CN"/>
              </w:rPr>
            </w:pPr>
            <w:r>
              <w:rPr>
                <w:rFonts w:hint="eastAsia" w:ascii="宋体" w:hAnsi="宋体" w:cs="宋体"/>
                <w:color w:val="auto"/>
                <w:spacing w:val="6"/>
                <w:sz w:val="24"/>
                <w:szCs w:val="24"/>
                <w:highlight w:val="none"/>
                <w:lang w:eastAsia="zh-CN"/>
              </w:rPr>
              <w:t>甲方指定地点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8" w:hRule="atLeast"/>
          <w:jc w:val="center"/>
        </w:trPr>
        <w:tc>
          <w:tcPr>
            <w:tcW w:w="865" w:type="dxa"/>
            <w:tcBorders>
              <w:top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1793" w:type="dxa"/>
            <w:tcBorders>
              <w:top w:val="single" w:color="auto" w:sz="4" w:space="0"/>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项目概况</w:t>
            </w:r>
          </w:p>
        </w:tc>
        <w:tc>
          <w:tcPr>
            <w:tcW w:w="7314" w:type="dxa"/>
            <w:tcBorders>
              <w:top w:val="single" w:color="auto" w:sz="4" w:space="0"/>
            </w:tcBorders>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本项目为</w:t>
            </w:r>
            <w:r>
              <w:rPr>
                <w:rFonts w:hint="eastAsia" w:ascii="宋体" w:hAnsi="宋体" w:eastAsia="宋体" w:cs="宋体"/>
                <w:sz w:val="24"/>
                <w:szCs w:val="24"/>
              </w:rPr>
              <w:t>济南高新技术产业开发区临港街道办事处（章锦街道办事处）东岸嘉园社区党群服务中心改造提升项目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具体详见工程量清单。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p>
        </w:tc>
        <w:tc>
          <w:tcPr>
            <w:tcW w:w="1793" w:type="dxa"/>
            <w:tcBorders>
              <w:left w:val="single" w:color="auto" w:sz="4" w:space="0"/>
            </w:tcBorders>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7314" w:type="dxa"/>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1793" w:type="dxa"/>
            <w:tcBorders>
              <w:left w:val="single" w:color="auto" w:sz="4" w:space="0"/>
            </w:tcBorders>
            <w:vAlign w:val="center"/>
          </w:tcPr>
          <w:p>
            <w:pPr>
              <w:pStyle w:val="50"/>
              <w:pageBreakBefore w:val="0"/>
              <w:kinsoku/>
              <w:wordWrap/>
              <w:topLinePunct w:val="0"/>
              <w:bidi w:val="0"/>
              <w:adjustRightInd w:val="0"/>
              <w:snapToGrid w:val="0"/>
              <w:spacing w:afterAutospacing="0" w:line="360" w:lineRule="auto"/>
              <w:ind w:left="1260" w:hanging="1260" w:hangingChars="50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p>
        </w:tc>
        <w:tc>
          <w:tcPr>
            <w:tcW w:w="7314" w:type="dxa"/>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年，符合国家相关质量标准。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报价方式</w:t>
            </w:r>
          </w:p>
        </w:tc>
        <w:tc>
          <w:tcPr>
            <w:tcW w:w="7314" w:type="dxa"/>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工程量清单报价</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w:t>
            </w:r>
          </w:p>
        </w:tc>
        <w:tc>
          <w:tcPr>
            <w:tcW w:w="1793" w:type="dxa"/>
            <w:tcBorders>
              <w:left w:val="single" w:color="auto" w:sz="4" w:space="0"/>
            </w:tcBorders>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7314" w:type="dxa"/>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cs="宋体"/>
                <w:b/>
                <w:bCs/>
                <w:color w:val="auto"/>
                <w:spacing w:val="6"/>
                <w:sz w:val="24"/>
                <w:szCs w:val="24"/>
                <w:highlight w:val="none"/>
                <w:lang w:val="en-US" w:eastAsia="zh-CN"/>
              </w:rPr>
              <w:t xml:space="preserve"> 10 </w:t>
            </w:r>
            <w:r>
              <w:rPr>
                <w:rFonts w:hint="eastAsia" w:ascii="宋体" w:hAnsi="宋体" w:eastAsia="宋体" w:cs="宋体"/>
                <w:b/>
                <w:bCs/>
                <w:color w:val="auto"/>
                <w:spacing w:val="6"/>
                <w:sz w:val="24"/>
                <w:szCs w:val="24"/>
                <w:highlight w:val="none"/>
              </w:rPr>
              <w:t>日历天，以甲方开工令为准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w:t>
            </w:r>
          </w:p>
        </w:tc>
        <w:tc>
          <w:tcPr>
            <w:tcW w:w="1793" w:type="dxa"/>
            <w:tcBorders>
              <w:left w:val="single" w:color="auto" w:sz="4" w:space="0"/>
            </w:tcBorders>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资要求</w:t>
            </w:r>
          </w:p>
        </w:tc>
        <w:tc>
          <w:tcPr>
            <w:tcW w:w="7314" w:type="dxa"/>
            <w:vAlign w:val="top"/>
          </w:tcPr>
          <w:p>
            <w:pPr>
              <w:keepNext w:val="0"/>
              <w:keepLines w:val="0"/>
              <w:pageBreakBefore w:val="0"/>
              <w:widowControl/>
              <w:kinsoku/>
              <w:overflowPunct/>
              <w:topLinePunct w:val="0"/>
              <w:autoSpaceDE/>
              <w:autoSpaceDN/>
              <w:bidi w:val="0"/>
              <w:adjustRightInd w:val="0"/>
              <w:snapToGrid w:val="0"/>
              <w:spacing w:line="360" w:lineRule="auto"/>
              <w:jc w:val="left"/>
              <w:textAlignment w:val="auto"/>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具备《政府采购法》第二十二条规定的条件；</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lang w:eastAsia="zh-CN"/>
              </w:rPr>
              <w:t>供应商</w:t>
            </w:r>
            <w:r>
              <w:rPr>
                <w:rFonts w:hint="eastAsia" w:ascii="宋体" w:hAnsi="宋体" w:cs="宋体"/>
                <w:kern w:val="0"/>
                <w:sz w:val="24"/>
              </w:rPr>
              <w:t>须具备独立法人资格，并在人员、设备、资金等方面具备较强的履约能力；</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lang w:eastAsia="zh-CN"/>
              </w:rPr>
              <w:t>供应商</w:t>
            </w:r>
            <w:r>
              <w:rPr>
                <w:rFonts w:hint="eastAsia" w:ascii="宋体" w:hAnsi="宋体" w:cs="宋体"/>
                <w:kern w:val="0"/>
                <w:sz w:val="24"/>
              </w:rPr>
              <w:t>须具备建筑工程施工总承包叁级及以上资质或建筑装修装饰工程专业承包贰级及以上资质；</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具有有效的安全生产许可证；</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项目经理具有</w:t>
            </w:r>
            <w:r>
              <w:rPr>
                <w:rFonts w:hint="eastAsia" w:ascii="宋体" w:hAnsi="宋体" w:cs="宋体"/>
                <w:kern w:val="0"/>
                <w:sz w:val="24"/>
                <w:lang w:eastAsia="zh-CN"/>
              </w:rPr>
              <w:t>建筑工程类</w:t>
            </w:r>
            <w:r>
              <w:rPr>
                <w:rFonts w:hint="eastAsia" w:ascii="宋体" w:hAnsi="宋体" w:cs="宋体"/>
                <w:kern w:val="0"/>
                <w:sz w:val="24"/>
              </w:rPr>
              <w:t>贰级及以上建造师证书、有效的安全生产考核合格证书（B类）</w:t>
            </w:r>
            <w:r>
              <w:rPr>
                <w:rFonts w:hint="eastAsia" w:ascii="宋体" w:hAnsi="宋体" w:cs="宋体"/>
                <w:kern w:val="0"/>
                <w:sz w:val="24"/>
                <w:lang w:eastAsia="zh-CN"/>
              </w:rPr>
              <w:t>。</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投标人应未被列入“信用中国”（www.creditchina.gov.cn）信用记录失信被执行人、重大税收违法案件当事人名单。</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leftChars="0"/>
              <w:jc w:val="left"/>
              <w:textAlignment w:val="auto"/>
              <w:rPr>
                <w:rFonts w:hint="eastAsia" w:ascii="宋体" w:hAnsi="宋体" w:cs="宋体"/>
                <w:kern w:val="0"/>
                <w:sz w:val="24"/>
                <w:lang w:eastAsia="zh-CN"/>
              </w:rPr>
            </w:pPr>
            <w:r>
              <w:rPr>
                <w:rFonts w:hint="eastAsia" w:ascii="宋体" w:hAnsi="宋体" w:cs="宋体"/>
                <w:kern w:val="0"/>
                <w:sz w:val="24"/>
                <w:lang w:val="en-US" w:eastAsia="zh-CN"/>
              </w:rPr>
              <w:t>7、</w:t>
            </w:r>
            <w:r>
              <w:rPr>
                <w:rFonts w:hint="eastAsia" w:ascii="宋体" w:hAnsi="宋体" w:cs="宋体"/>
                <w:kern w:val="0"/>
                <w:sz w:val="24"/>
              </w:rPr>
              <w:t>本次招标不接受联合体投标</w:t>
            </w:r>
            <w:r>
              <w:rPr>
                <w:rFonts w:hint="eastAsia" w:ascii="宋体" w:hAnsi="宋体" w:cs="宋体"/>
                <w:kern w:val="0"/>
                <w:sz w:val="24"/>
                <w:lang w:eastAsia="zh-CN"/>
              </w:rPr>
              <w:t>。</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kern w:val="2"/>
                <w:sz w:val="24"/>
                <w:szCs w:val="24"/>
              </w:rPr>
            </w:pPr>
            <w:r>
              <w:rPr>
                <w:rFonts w:hint="eastAsia" w:ascii="宋体" w:hAnsi="宋体" w:cs="宋体"/>
                <w:kern w:val="0"/>
                <w:sz w:val="24"/>
                <w:lang w:val="en-US" w:eastAsia="zh-CN"/>
              </w:rPr>
              <w:t>8</w:t>
            </w:r>
            <w:r>
              <w:rPr>
                <w:rFonts w:hint="eastAsia" w:ascii="宋体" w:hAnsi="宋体" w:cs="宋体"/>
                <w:kern w:val="0"/>
                <w:sz w:val="24"/>
              </w:rPr>
              <w:t>、法律法规的其他要求规定。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9</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资格审查方式</w:t>
            </w:r>
          </w:p>
        </w:tc>
        <w:tc>
          <w:tcPr>
            <w:tcW w:w="7314" w:type="dxa"/>
            <w:vAlign w:val="center"/>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资格后审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资金来源</w:t>
            </w:r>
          </w:p>
        </w:tc>
        <w:tc>
          <w:tcPr>
            <w:tcW w:w="7314" w:type="dxa"/>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财政资金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11</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验收方式</w:t>
            </w:r>
          </w:p>
        </w:tc>
        <w:tc>
          <w:tcPr>
            <w:tcW w:w="7314" w:type="dxa"/>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自行组织验收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12</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有效期</w:t>
            </w:r>
          </w:p>
        </w:tc>
        <w:tc>
          <w:tcPr>
            <w:tcW w:w="7314" w:type="dxa"/>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公开报价后</w:t>
            </w:r>
            <w:r>
              <w:rPr>
                <w:rFonts w:hint="eastAsia" w:ascii="宋体" w:hAnsi="宋体" w:eastAsia="宋体" w:cs="宋体"/>
                <w:color w:val="auto"/>
                <w:spacing w:val="6"/>
                <w:sz w:val="24"/>
                <w:szCs w:val="24"/>
                <w:highlight w:val="none"/>
                <w:u w:val="single"/>
              </w:rPr>
              <w:t>90</w:t>
            </w:r>
            <w:r>
              <w:rPr>
                <w:rFonts w:hint="eastAsia" w:ascii="宋体" w:hAnsi="宋体" w:eastAsia="宋体" w:cs="宋体"/>
                <w:color w:val="auto"/>
                <w:spacing w:val="6"/>
                <w:sz w:val="24"/>
                <w:szCs w:val="24"/>
                <w:highlight w:val="none"/>
              </w:rPr>
              <w:t>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7"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13</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7314" w:type="dxa"/>
            <w:vAlign w:val="center"/>
          </w:tcPr>
          <w:p>
            <w:pPr>
              <w:pageBreakBefore w:val="0"/>
              <w:kinsoku/>
              <w:wordWrap/>
              <w:topLinePunct w:val="0"/>
              <w:bidi w:val="0"/>
              <w:adjustRightInd w:val="0"/>
              <w:snapToGrid w:val="0"/>
              <w:spacing w:afterAutospacing="0"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1、自行踏勘现场。</w:t>
            </w:r>
          </w:p>
          <w:p>
            <w:pPr>
              <w:pageBreakBefore w:val="0"/>
              <w:kinsoku/>
              <w:wordWrap/>
              <w:topLinePunct w:val="0"/>
              <w:bidi w:val="0"/>
              <w:adjustRightInd w:val="0"/>
              <w:snapToGrid w:val="0"/>
              <w:spacing w:afterAutospacing="0"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2、踏勘现场要求：</w:t>
            </w:r>
          </w:p>
          <w:p>
            <w:pPr>
              <w:pageBreakBefore w:val="0"/>
              <w:kinsoku/>
              <w:wordWrap/>
              <w:topLinePunct w:val="0"/>
              <w:bidi w:val="0"/>
              <w:adjustRightInd w:val="0"/>
              <w:snapToGrid w:val="0"/>
              <w:spacing w:afterAutospacing="0"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（1）供应商踏勘现场发生的费用自理。</w:t>
            </w:r>
          </w:p>
          <w:p>
            <w:pPr>
              <w:pageBreakBefore w:val="0"/>
              <w:kinsoku/>
              <w:wordWrap/>
              <w:topLinePunct w:val="0"/>
              <w:bidi w:val="0"/>
              <w:adjustRightInd w:val="0"/>
              <w:snapToGrid w:val="0"/>
              <w:spacing w:afterAutospacing="0"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（2）供应商自行负责在踏勘现场中所发生的人员伤亡和财产损失。</w:t>
            </w:r>
          </w:p>
          <w:p>
            <w:pPr>
              <w:pageBreakBefore w:val="0"/>
              <w:kinsoku/>
              <w:wordWrap/>
              <w:topLinePunct w:val="0"/>
              <w:bidi w:val="0"/>
              <w:adjustRightInd w:val="0"/>
              <w:snapToGrid w:val="0"/>
              <w:spacing w:afterAutospacing="0"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（3）采购人在踏勘现场中介绍的本项目情况和相关的周边环境情况，供应商在编制报价文件时参考，采购人不对供应商据此作出的判断和决策负责。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4"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val="en-US" w:eastAsia="zh-CN"/>
              </w:rPr>
              <w:t>4</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报价文件份数</w:t>
            </w:r>
          </w:p>
        </w:tc>
        <w:tc>
          <w:tcPr>
            <w:tcW w:w="7314" w:type="dxa"/>
            <w:vAlign w:val="center"/>
          </w:tcPr>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正本一份，副本</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磋商会议开始</w:t>
            </w:r>
            <w:r>
              <w:rPr>
                <w:rFonts w:hint="eastAsia" w:ascii="宋体" w:hAnsi="宋体" w:eastAsia="宋体" w:cs="宋体"/>
                <w:sz w:val="24"/>
                <w:szCs w:val="24"/>
                <w:highlight w:val="none"/>
              </w:rPr>
              <w:t>后不退还）。</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报价文件</w:t>
            </w:r>
            <w:r>
              <w:rPr>
                <w:rFonts w:hint="eastAsia" w:ascii="宋体" w:hAnsi="宋体" w:eastAsia="宋体" w:cs="宋体"/>
                <w:sz w:val="24"/>
                <w:szCs w:val="24"/>
                <w:highlight w:val="none"/>
              </w:rPr>
              <w:t>电子版U盘一份（内容包含</w:t>
            </w:r>
            <w:r>
              <w:rPr>
                <w:rFonts w:hint="eastAsia" w:ascii="宋体" w:hAnsi="宋体" w:cs="宋体"/>
                <w:sz w:val="24"/>
                <w:szCs w:val="24"/>
                <w:highlight w:val="none"/>
                <w:lang w:eastAsia="zh-CN"/>
              </w:rPr>
              <w:t>报价文件</w:t>
            </w:r>
            <w:r>
              <w:rPr>
                <w:rFonts w:hint="eastAsia" w:ascii="宋体" w:hAnsi="宋体" w:eastAsia="宋体" w:cs="宋体"/>
                <w:sz w:val="24"/>
                <w:szCs w:val="24"/>
                <w:highlight w:val="none"/>
              </w:rPr>
              <w:t>所有内容，</w:t>
            </w:r>
            <w:r>
              <w:rPr>
                <w:rFonts w:hint="eastAsia" w:ascii="宋体" w:hAnsi="宋体" w:cs="宋体"/>
                <w:sz w:val="24"/>
                <w:szCs w:val="24"/>
                <w:highlight w:val="none"/>
                <w:lang w:eastAsia="zh-CN"/>
              </w:rPr>
              <w:t>为</w:t>
            </w:r>
            <w:r>
              <w:rPr>
                <w:rFonts w:hint="eastAsia" w:ascii="宋体" w:hAnsi="宋体" w:cs="宋体"/>
                <w:sz w:val="24"/>
                <w:szCs w:val="24"/>
                <w:highlight w:val="none"/>
                <w:lang w:val="en-US" w:eastAsia="zh-CN"/>
              </w:rPr>
              <w:t>world/excel格式，</w:t>
            </w:r>
            <w:r>
              <w:rPr>
                <w:rFonts w:hint="eastAsia" w:ascii="宋体" w:hAnsi="宋体" w:cs="宋体"/>
                <w:sz w:val="24"/>
                <w:szCs w:val="24"/>
                <w:highlight w:val="none"/>
                <w:lang w:eastAsia="zh-CN"/>
              </w:rPr>
              <w:t>磋商会议开始</w:t>
            </w:r>
            <w:r>
              <w:rPr>
                <w:rFonts w:hint="eastAsia" w:ascii="宋体" w:hAnsi="宋体" w:eastAsia="宋体" w:cs="宋体"/>
                <w:sz w:val="24"/>
                <w:szCs w:val="24"/>
                <w:highlight w:val="none"/>
              </w:rPr>
              <w:t>后不退还）。</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报价一览表</w:t>
            </w:r>
            <w:r>
              <w:rPr>
                <w:rFonts w:hint="eastAsia" w:ascii="宋体" w:hAnsi="宋体" w:eastAsia="宋体" w:cs="宋体"/>
                <w:sz w:val="24"/>
                <w:szCs w:val="24"/>
                <w:highlight w:val="none"/>
              </w:rPr>
              <w:t>三份（单独密封）</w:t>
            </w:r>
            <w:r>
              <w:rPr>
                <w:rFonts w:hint="eastAsia" w:ascii="宋体" w:hAnsi="宋体" w:cs="宋体"/>
                <w:sz w:val="24"/>
                <w:szCs w:val="24"/>
                <w:highlight w:val="none"/>
                <w:lang w:eastAsia="zh-CN"/>
              </w:rPr>
              <w:t>。</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资质文件复印件加盖单位公章一份</w:t>
            </w:r>
            <w:r>
              <w:rPr>
                <w:rFonts w:hint="eastAsia" w:ascii="宋体" w:hAnsi="宋体" w:eastAsia="宋体" w:cs="宋体"/>
                <w:sz w:val="24"/>
                <w:szCs w:val="24"/>
                <w:highlight w:val="none"/>
                <w:lang w:eastAsia="zh-CN"/>
              </w:rPr>
              <w:t>，单独</w:t>
            </w:r>
            <w:r>
              <w:rPr>
                <w:rFonts w:hint="eastAsia" w:ascii="宋体" w:hAnsi="宋体" w:eastAsia="宋体" w:cs="宋体"/>
                <w:color w:val="auto"/>
                <w:spacing w:val="6"/>
                <w:sz w:val="24"/>
                <w:szCs w:val="24"/>
                <w:highlight w:val="none"/>
                <w:lang w:eastAsia="zh-CN"/>
              </w:rPr>
              <w:t>胶装，</w:t>
            </w:r>
            <w:r>
              <w:rPr>
                <w:rFonts w:hint="eastAsia" w:ascii="宋体" w:hAnsi="宋体" w:cs="宋体"/>
                <w:color w:val="auto"/>
                <w:spacing w:val="6"/>
                <w:sz w:val="24"/>
                <w:szCs w:val="24"/>
                <w:highlight w:val="none"/>
                <w:lang w:eastAsia="zh-CN"/>
              </w:rPr>
              <w:t>单独</w:t>
            </w:r>
            <w:r>
              <w:rPr>
                <w:rFonts w:hint="eastAsia" w:ascii="宋体" w:hAnsi="宋体" w:eastAsia="宋体" w:cs="宋体"/>
                <w:color w:val="auto"/>
                <w:spacing w:val="6"/>
                <w:sz w:val="24"/>
                <w:szCs w:val="24"/>
                <w:highlight w:val="none"/>
              </w:rPr>
              <w:t>密封。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6"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15</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装订方式</w:t>
            </w:r>
          </w:p>
        </w:tc>
        <w:tc>
          <w:tcPr>
            <w:tcW w:w="7314" w:type="dxa"/>
            <w:vAlign w:val="center"/>
          </w:tcPr>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胶装（否则按</w:t>
            </w:r>
            <w:r>
              <w:rPr>
                <w:rFonts w:hint="eastAsia" w:ascii="宋体" w:hAnsi="宋体" w:cs="宋体"/>
                <w:color w:val="auto"/>
                <w:spacing w:val="6"/>
                <w:sz w:val="24"/>
                <w:szCs w:val="24"/>
                <w:highlight w:val="none"/>
                <w:lang w:eastAsia="zh-CN"/>
              </w:rPr>
              <w:t>无效报价</w:t>
            </w:r>
            <w:r>
              <w:rPr>
                <w:rFonts w:hint="eastAsia" w:ascii="宋体" w:hAnsi="宋体" w:eastAsia="宋体" w:cs="宋体"/>
                <w:color w:val="auto"/>
                <w:spacing w:val="6"/>
                <w:sz w:val="24"/>
                <w:szCs w:val="24"/>
                <w:highlight w:val="none"/>
              </w:rPr>
              <w:t>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5"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16</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314" w:type="dxa"/>
            <w:vAlign w:val="center"/>
          </w:tcPr>
          <w:p>
            <w:pPr>
              <w:pageBreakBefore w:val="0"/>
              <w:kinsoku/>
              <w:wordWrap/>
              <w:topLinePunct w:val="0"/>
              <w:bidi w:val="0"/>
              <w:adjustRightInd w:val="0"/>
              <w:snapToGrid w:val="0"/>
              <w:spacing w:afterAutospacing="0" w:line="360" w:lineRule="auto"/>
              <w:jc w:val="both"/>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签订合同后进场十日内付工程款的30%，工程竣工验收后付至合同额的70%，审计结束后付至审计值的95%，余5%作为质保金,质保期两年</w:t>
            </w:r>
            <w:r>
              <w:rPr>
                <w:rFonts w:hint="eastAsia" w:ascii="宋体" w:hAnsi="宋体" w:eastAsia="宋体" w:cs="宋体"/>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24"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17</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提出疑问</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时间及方式</w:t>
            </w:r>
          </w:p>
        </w:tc>
        <w:tc>
          <w:tcPr>
            <w:tcW w:w="7314" w:type="dxa"/>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z w:val="24"/>
                <w:szCs w:val="24"/>
                <w:highlight w:val="none"/>
              </w:rPr>
              <w:t>时  间：</w:t>
            </w:r>
            <w:r>
              <w:rPr>
                <w:rFonts w:hint="eastAsia" w:ascii="宋体" w:hAnsi="宋体" w:eastAsia="宋体" w:cs="宋体"/>
                <w:color w:val="auto"/>
                <w:spacing w:val="6"/>
                <w:sz w:val="24"/>
                <w:szCs w:val="24"/>
                <w:highlight w:val="none"/>
                <w:u w:val="single"/>
              </w:rPr>
              <w:t>201</w:t>
            </w:r>
            <w:r>
              <w:rPr>
                <w:rFonts w:hint="eastAsia" w:ascii="宋体" w:hAnsi="宋体" w:eastAsia="宋体" w:cs="宋体"/>
                <w:color w:val="auto"/>
                <w:spacing w:val="6"/>
                <w:sz w:val="24"/>
                <w:szCs w:val="24"/>
                <w:highlight w:val="none"/>
                <w:u w:val="single"/>
                <w:lang w:val="en-US" w:eastAsia="zh-CN"/>
              </w:rPr>
              <w:t>9</w:t>
            </w:r>
            <w:r>
              <w:rPr>
                <w:rFonts w:hint="eastAsia" w:ascii="宋体" w:hAnsi="宋体" w:eastAsia="宋体" w:cs="宋体"/>
                <w:color w:val="auto"/>
                <w:spacing w:val="6"/>
                <w:sz w:val="24"/>
                <w:szCs w:val="24"/>
                <w:highlight w:val="none"/>
                <w:u w:val="single"/>
              </w:rPr>
              <w:t>年</w:t>
            </w:r>
            <w:r>
              <w:rPr>
                <w:rFonts w:hint="eastAsia" w:ascii="宋体" w:hAnsi="宋体" w:cs="宋体"/>
                <w:color w:val="auto"/>
                <w:spacing w:val="6"/>
                <w:sz w:val="24"/>
                <w:szCs w:val="24"/>
                <w:highlight w:val="none"/>
                <w:u w:val="single"/>
                <w:lang w:val="en-US" w:eastAsia="zh-CN"/>
              </w:rPr>
              <w:t>11</w:t>
            </w:r>
            <w:r>
              <w:rPr>
                <w:rFonts w:hint="eastAsia" w:ascii="宋体" w:hAnsi="宋体" w:eastAsia="宋体" w:cs="宋体"/>
                <w:color w:val="auto"/>
                <w:spacing w:val="6"/>
                <w:sz w:val="24"/>
                <w:szCs w:val="24"/>
                <w:highlight w:val="none"/>
                <w:u w:val="single"/>
              </w:rPr>
              <w:t>月</w:t>
            </w:r>
            <w:r>
              <w:rPr>
                <w:rFonts w:hint="eastAsia" w:ascii="宋体" w:hAnsi="宋体" w:cs="宋体"/>
                <w:color w:val="auto"/>
                <w:spacing w:val="6"/>
                <w:sz w:val="24"/>
                <w:szCs w:val="24"/>
                <w:highlight w:val="none"/>
                <w:u w:val="single"/>
                <w:lang w:val="en-US" w:eastAsia="zh-CN"/>
              </w:rPr>
              <w:t>21</w:t>
            </w:r>
            <w:r>
              <w:rPr>
                <w:rFonts w:hint="eastAsia" w:ascii="宋体" w:hAnsi="宋体" w:eastAsia="宋体" w:cs="宋体"/>
                <w:color w:val="auto"/>
                <w:spacing w:val="6"/>
                <w:sz w:val="24"/>
                <w:szCs w:val="24"/>
                <w:highlight w:val="none"/>
                <w:u w:val="single"/>
              </w:rPr>
              <w:t>日</w:t>
            </w:r>
            <w:r>
              <w:rPr>
                <w:rFonts w:hint="eastAsia" w:ascii="宋体" w:hAnsi="宋体" w:cs="宋体"/>
                <w:color w:val="auto"/>
                <w:spacing w:val="6"/>
                <w:sz w:val="24"/>
                <w:szCs w:val="24"/>
                <w:highlight w:val="none"/>
                <w:u w:val="single"/>
                <w:lang w:eastAsia="zh-CN"/>
              </w:rPr>
              <w:t>下</w:t>
            </w:r>
            <w:r>
              <w:rPr>
                <w:rFonts w:hint="eastAsia" w:ascii="宋体" w:hAnsi="宋体" w:eastAsia="宋体" w:cs="宋体"/>
                <w:color w:val="auto"/>
                <w:spacing w:val="6"/>
                <w:sz w:val="24"/>
                <w:szCs w:val="24"/>
                <w:highlight w:val="none"/>
                <w:u w:val="single"/>
              </w:rPr>
              <w:t>午</w:t>
            </w:r>
            <w:r>
              <w:rPr>
                <w:rFonts w:hint="eastAsia" w:ascii="宋体" w:hAnsi="宋体" w:cs="宋体"/>
                <w:color w:val="auto"/>
                <w:spacing w:val="6"/>
                <w:sz w:val="24"/>
                <w:szCs w:val="24"/>
                <w:highlight w:val="none"/>
                <w:u w:val="single"/>
                <w:lang w:val="en-US" w:eastAsia="zh-CN"/>
              </w:rPr>
              <w:t>17时</w:t>
            </w:r>
            <w:r>
              <w:rPr>
                <w:rFonts w:hint="eastAsia" w:ascii="宋体" w:hAnsi="宋体" w:eastAsia="宋体" w:cs="宋体"/>
                <w:color w:val="auto"/>
                <w:spacing w:val="6"/>
                <w:sz w:val="24"/>
                <w:szCs w:val="24"/>
                <w:highlight w:val="none"/>
                <w:u w:val="single"/>
              </w:rPr>
              <w:t>前（北京时间）</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方  式:</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"mailto:投标人可提交纸质文件至济南市高新区工业南路59号中铁财智中心6号楼15楼，同时，发送一份质疑文件的电子文档至ldzb002@163.com并电话通知查收"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可提交纸质文件至济南市高新区工业南路59号中铁财智中心6号楼15楼，同时，发送一份质疑文件的电子文档至</w:t>
            </w:r>
            <w:r>
              <w:rPr>
                <w:rFonts w:hint="eastAsia" w:ascii="宋体" w:hAnsi="宋体" w:eastAsia="宋体" w:cs="宋体"/>
                <w:sz w:val="24"/>
                <w:szCs w:val="24"/>
                <w:highlight w:val="none"/>
                <w:lang w:val="en-US" w:eastAsia="zh-CN"/>
              </w:rPr>
              <w:t>sdldzbdl@163.com</w:t>
            </w:r>
            <w:r>
              <w:rPr>
                <w:rFonts w:hint="eastAsia" w:ascii="宋体" w:hAnsi="宋体" w:eastAsia="宋体" w:cs="宋体"/>
                <w:color w:val="auto"/>
                <w:sz w:val="24"/>
                <w:szCs w:val="24"/>
                <w:highlight w:val="none"/>
              </w:rPr>
              <w:t>并电话通知查收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联系电话：</w:t>
            </w:r>
            <w:r>
              <w:rPr>
                <w:rFonts w:hint="eastAsia" w:ascii="宋体" w:hAnsi="宋体" w:eastAsia="宋体" w:cs="宋体"/>
                <w:color w:val="auto"/>
                <w:sz w:val="24"/>
                <w:szCs w:val="24"/>
                <w:highlight w:val="none"/>
              </w:rPr>
              <w:t>0531-88809762。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2"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18</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答疑时间</w:t>
            </w:r>
          </w:p>
        </w:tc>
        <w:tc>
          <w:tcPr>
            <w:tcW w:w="7314" w:type="dxa"/>
            <w:tcBorders>
              <w:bottom w:val="single" w:color="auto" w:sz="4" w:space="0"/>
            </w:tcBorders>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下</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13：00</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rPr>
              <w:t>北京时间）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2" w:hRule="atLeast"/>
          <w:jc w:val="center"/>
        </w:trPr>
        <w:tc>
          <w:tcPr>
            <w:tcW w:w="865" w:type="dxa"/>
            <w:vMerge w:val="restart"/>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19</w:t>
            </w:r>
          </w:p>
        </w:tc>
        <w:tc>
          <w:tcPr>
            <w:tcW w:w="1793" w:type="dxa"/>
            <w:vMerge w:val="restart"/>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递交报价文件截止时间、地点</w:t>
            </w:r>
          </w:p>
        </w:tc>
        <w:tc>
          <w:tcPr>
            <w:tcW w:w="7314" w:type="dxa"/>
            <w:tcBorders>
              <w:bottom w:val="single" w:color="auto" w:sz="4" w:space="0"/>
            </w:tcBorders>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201</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上午</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pacing w:val="6"/>
                <w:sz w:val="24"/>
                <w:szCs w:val="24"/>
                <w:highlight w:val="none"/>
              </w:rPr>
              <w:t>北京时间）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865" w:type="dxa"/>
            <w:vMerge w:val="continue"/>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p>
        </w:tc>
        <w:tc>
          <w:tcPr>
            <w:tcW w:w="1793" w:type="dxa"/>
            <w:vMerge w:val="continue"/>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p>
        </w:tc>
        <w:tc>
          <w:tcPr>
            <w:tcW w:w="7314" w:type="dxa"/>
            <w:tcBorders>
              <w:top w:val="single" w:color="auto" w:sz="4" w:space="0"/>
              <w:bottom w:val="single" w:color="auto" w:sz="4" w:space="0"/>
            </w:tcBorders>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点</w:t>
            </w:r>
            <w:r>
              <w:rPr>
                <w:rFonts w:hint="eastAsia" w:ascii="宋体" w:hAnsi="宋体" w:eastAsia="宋体" w:cs="宋体"/>
                <w:color w:val="auto"/>
                <w:spacing w:val="6"/>
                <w:sz w:val="24"/>
                <w:szCs w:val="24"/>
                <w:highlight w:val="none"/>
              </w:rPr>
              <w:t>：</w:t>
            </w:r>
            <w:r>
              <w:rPr>
                <w:rFonts w:hint="eastAsia" w:ascii="宋体" w:hAnsi="宋体" w:cs="宋体"/>
                <w:color w:val="auto"/>
                <w:sz w:val="24"/>
                <w:szCs w:val="24"/>
                <w:highlight w:val="none"/>
                <w:lang w:val="en-US" w:eastAsia="zh-CN"/>
              </w:rPr>
              <w:t>济南市工业南路59号中铁财智中心6号楼15层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0"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w:t>
            </w:r>
          </w:p>
        </w:tc>
        <w:tc>
          <w:tcPr>
            <w:tcW w:w="1793" w:type="dxa"/>
            <w:tcBorders>
              <w:left w:val="single" w:color="auto" w:sz="4" w:space="0"/>
            </w:tcBorders>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办法</w:t>
            </w:r>
          </w:p>
        </w:tc>
        <w:tc>
          <w:tcPr>
            <w:tcW w:w="7314" w:type="dxa"/>
            <w:tcBorders>
              <w:top w:val="single" w:color="auto" w:sz="4" w:space="0"/>
              <w:bottom w:val="single" w:color="auto" w:sz="4" w:space="0"/>
            </w:tcBorders>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采用综合评分法，</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根据竞争性磋商文件中确定的评分办法综合评定各报价人提交的报价文件，</w:t>
            </w:r>
            <w:r>
              <w:rPr>
                <w:rFonts w:hint="eastAsia" w:ascii="宋体" w:hAnsi="宋体" w:cs="宋体"/>
                <w:color w:val="auto"/>
                <w:sz w:val="24"/>
                <w:szCs w:val="24"/>
                <w:highlight w:val="none"/>
                <w:lang w:eastAsia="zh-CN"/>
              </w:rPr>
              <w:t>采购人授权磋商小组直接确定得分最高的供应商为成交供应商</w:t>
            </w:r>
            <w:r>
              <w:rPr>
                <w:rFonts w:hint="eastAsia" w:ascii="宋体" w:hAnsi="宋体" w:eastAsia="宋体" w:cs="宋体"/>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65" w:type="dxa"/>
            <w:vAlign w:val="center"/>
          </w:tcPr>
          <w:p>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spacing w:val="6"/>
                <w:szCs w:val="24"/>
                <w:lang w:val="en-US" w:eastAsia="zh-CN"/>
              </w:rPr>
              <w:t>21</w:t>
            </w:r>
          </w:p>
        </w:tc>
        <w:tc>
          <w:tcPr>
            <w:tcW w:w="1793" w:type="dxa"/>
            <w:tcBorders>
              <w:left w:val="single" w:color="auto" w:sz="4" w:space="0"/>
            </w:tcBorders>
            <w:vAlign w:val="center"/>
          </w:tcPr>
          <w:p>
            <w:pPr>
              <w:pStyle w:val="50"/>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szCs w:val="24"/>
              </w:rPr>
              <w:t>磋商保证金</w:t>
            </w:r>
          </w:p>
        </w:tc>
        <w:tc>
          <w:tcPr>
            <w:tcW w:w="7314" w:type="dxa"/>
            <w:tcBorders>
              <w:top w:val="single" w:color="auto" w:sz="4" w:space="0"/>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缴纳：</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以采用支票、汇票、电汇、本票或者金融机构、担保机构出具的</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保函等非现金形式提交，供应商须在</w:t>
            </w:r>
            <w:r>
              <w:rPr>
                <w:rFonts w:hint="eastAsia" w:ascii="宋体" w:hAnsi="宋体" w:eastAsia="宋体" w:cs="宋体"/>
                <w:spacing w:val="6"/>
                <w:sz w:val="24"/>
                <w:szCs w:val="24"/>
                <w:lang w:val="en-US" w:eastAsia="zh-CN"/>
              </w:rPr>
              <w:t>2019年11月26日16:00前</w:t>
            </w:r>
            <w:r>
              <w:rPr>
                <w:rFonts w:hint="eastAsia" w:ascii="宋体" w:hAnsi="宋体" w:eastAsia="宋体" w:cs="宋体"/>
                <w:spacing w:val="6"/>
                <w:sz w:val="24"/>
                <w:szCs w:val="24"/>
              </w:rPr>
              <w:t>提交磋商保证金。</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保证金金额：人民币：</w:t>
            </w:r>
            <w:r>
              <w:rPr>
                <w:rFonts w:hint="eastAsia" w:ascii="宋体" w:hAnsi="宋体" w:eastAsia="宋体" w:cs="宋体"/>
                <w:spacing w:val="6"/>
                <w:sz w:val="24"/>
                <w:szCs w:val="24"/>
                <w:highlight w:val="none"/>
                <w:u w:val="single"/>
                <w:lang w:val="en-US" w:eastAsia="zh-CN"/>
              </w:rPr>
              <w:t>6000</w:t>
            </w:r>
            <w:r>
              <w:rPr>
                <w:rFonts w:hint="eastAsia" w:ascii="宋体" w:hAnsi="宋体" w:eastAsia="宋体" w:cs="宋体"/>
                <w:spacing w:val="6"/>
                <w:sz w:val="24"/>
                <w:szCs w:val="24"/>
                <w:highlight w:val="none"/>
                <w:u w:val="single"/>
              </w:rPr>
              <w:t>.00元</w:t>
            </w:r>
            <w:r>
              <w:rPr>
                <w:rFonts w:hint="eastAsia" w:ascii="宋体" w:hAnsi="宋体" w:eastAsia="宋体" w:cs="宋体"/>
                <w:spacing w:val="6"/>
                <w:sz w:val="24"/>
                <w:szCs w:val="24"/>
              </w:rPr>
              <w:t xml:space="preserve"> 大写：</w:t>
            </w:r>
            <w:r>
              <w:rPr>
                <w:rFonts w:hint="eastAsia" w:ascii="宋体" w:hAnsi="宋体" w:eastAsia="宋体" w:cs="宋体"/>
                <w:spacing w:val="6"/>
                <w:sz w:val="24"/>
                <w:szCs w:val="24"/>
                <w:u w:val="single"/>
                <w:lang w:eastAsia="zh-CN"/>
              </w:rPr>
              <w:t>陆仟</w:t>
            </w:r>
            <w:r>
              <w:rPr>
                <w:rFonts w:hint="eastAsia" w:ascii="宋体" w:hAnsi="宋体" w:eastAsia="宋体" w:cs="宋体"/>
                <w:spacing w:val="6"/>
                <w:sz w:val="24"/>
                <w:szCs w:val="24"/>
                <w:u w:val="single"/>
              </w:rPr>
              <w:t>元整</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(1)若采用电汇或支票，供应商应将磋商保证金由供应商的基</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本账户转入指定账户，接收账户如下：</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单位名称：山东蓝盾招标代理有限公司</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开户银行：中国农业银行股份有限公司济南会展中心分理处</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帐号：15132401040008055</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磋商保证金必须由供应商基本账户支出。</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未按规定交纳报价保证金的供应商，其响应文件不予接收。</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①磋商保证金必须由报价单位的基本账户支出</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②保证金递交时间以代理公司实际到账时间为准。</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③磋商保证金须在规定的时间内提交，否则视为无效报价。供应商须在备注栏注明“【项目名称（简写）/包号】磋商保证金”。</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(2)以专业担保机构出具的担保函的形式交纳磋商保证金（格</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式见附件）供应商须在保证金截止时间前发送担保函扫描件</w:t>
            </w:r>
          </w:p>
          <w:p>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pacing w:val="6"/>
                <w:sz w:val="24"/>
                <w:szCs w:val="24"/>
              </w:rPr>
            </w:pPr>
            <w:r>
              <w:rPr>
                <w:rFonts w:hint="eastAsia" w:ascii="宋体" w:hAnsi="宋体" w:eastAsia="宋体" w:cs="宋体"/>
                <w:sz w:val="24"/>
                <w:szCs w:val="24"/>
              </w:rPr>
              <w:t>sdldzbdl@163.com</w:t>
            </w:r>
            <w:r>
              <w:rPr>
                <w:rFonts w:hint="eastAsia" w:ascii="宋体" w:hAnsi="宋体" w:eastAsia="宋体" w:cs="宋体"/>
                <w:spacing w:val="6"/>
                <w:sz w:val="24"/>
                <w:szCs w:val="24"/>
              </w:rPr>
              <w:t>邮箱,逾期视为自动放弃报价资格。</w:t>
            </w:r>
          </w:p>
          <w:p>
            <w:pPr>
              <w:pStyle w:val="13"/>
              <w:keepNext w:val="0"/>
              <w:keepLines w:val="0"/>
              <w:pageBreakBefore w:val="0"/>
              <w:kinsoku/>
              <w:wordWrap/>
              <w:overflowPunct/>
              <w:topLinePunct w:val="0"/>
              <w:bidi w:val="0"/>
              <w:adjustRightInd w:val="0"/>
              <w:snapToGrid w:val="0"/>
              <w:spacing w:before="0" w:line="360" w:lineRule="auto"/>
              <w:ind w:left="0"/>
              <w:textAlignment w:val="auto"/>
              <w:rPr>
                <w:rFonts w:hint="eastAsia" w:ascii="宋体" w:hAnsi="宋体" w:eastAsia="宋体" w:cs="宋体"/>
                <w:sz w:val="24"/>
                <w:szCs w:val="24"/>
              </w:rPr>
            </w:pPr>
            <w:r>
              <w:rPr>
                <w:rFonts w:hint="eastAsia" w:ascii="宋体" w:hAnsi="宋体" w:eastAsia="宋体" w:cs="宋体"/>
                <w:b/>
                <w:bCs/>
                <w:spacing w:val="6"/>
                <w:sz w:val="24"/>
                <w:szCs w:val="24"/>
              </w:rPr>
              <w:t>退还：在书面合同签订后5日内向成交供应商和未成交的供应商退还磋商保证金。</w:t>
            </w:r>
          </w:p>
          <w:p>
            <w:pPr>
              <w:pStyle w:val="50"/>
              <w:keepNext w:val="0"/>
              <w:keepLines w:val="0"/>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b/>
                <w:bCs/>
                <w:sz w:val="24"/>
                <w:szCs w:val="24"/>
              </w:rPr>
              <w:t>保证金退还流程：请携带供应商对采购代理公司开的退保证金收据（加盖财务章）及开户许可证复印件加盖公章到公司财务部办理。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865"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2</w:t>
            </w:r>
            <w:r>
              <w:rPr>
                <w:rFonts w:hint="eastAsia" w:ascii="宋体" w:hAnsi="宋体" w:cs="宋体"/>
                <w:color w:val="auto"/>
                <w:spacing w:val="6"/>
                <w:sz w:val="24"/>
                <w:szCs w:val="24"/>
                <w:highlight w:val="none"/>
                <w:lang w:val="en-US" w:eastAsia="zh-CN"/>
              </w:rPr>
              <w:t>2</w:t>
            </w:r>
          </w:p>
        </w:tc>
        <w:tc>
          <w:tcPr>
            <w:tcW w:w="9107" w:type="dxa"/>
            <w:gridSpan w:val="2"/>
            <w:tcBorders>
              <w:left w:val="single" w:color="auto" w:sz="4" w:space="0"/>
            </w:tcBorders>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本项目招标控制价：</w:t>
            </w:r>
            <w:r>
              <w:rPr>
                <w:rFonts w:hint="eastAsia" w:ascii="宋体" w:hAnsi="宋体" w:cs="宋体"/>
                <w:b/>
                <w:bCs/>
                <w:kern w:val="0"/>
                <w:sz w:val="24"/>
                <w:lang w:val="en-US" w:eastAsia="zh-CN"/>
              </w:rPr>
              <w:t>30.72</w:t>
            </w:r>
            <w:r>
              <w:rPr>
                <w:rFonts w:hint="eastAsia" w:ascii="宋体" w:hAnsi="宋体" w:eastAsia="宋体" w:cs="宋体"/>
                <w:b/>
                <w:bCs/>
                <w:color w:val="auto"/>
                <w:sz w:val="24"/>
                <w:szCs w:val="24"/>
                <w:highlight w:val="none"/>
              </w:rPr>
              <w:t>万元，报价若超出此价格作</w:t>
            </w:r>
            <w:r>
              <w:rPr>
                <w:rFonts w:hint="eastAsia" w:ascii="宋体" w:hAnsi="宋体" w:cs="宋体"/>
                <w:b/>
                <w:bCs/>
                <w:color w:val="auto"/>
                <w:sz w:val="24"/>
                <w:szCs w:val="24"/>
                <w:highlight w:val="none"/>
                <w:lang w:eastAsia="zh-CN"/>
              </w:rPr>
              <w:t>无效报价</w:t>
            </w:r>
            <w:r>
              <w:rPr>
                <w:rFonts w:hint="eastAsia" w:ascii="宋体" w:hAnsi="宋体" w:eastAsia="宋体" w:cs="宋体"/>
                <w:b/>
                <w:bCs/>
                <w:color w:val="auto"/>
                <w:sz w:val="24"/>
                <w:szCs w:val="24"/>
                <w:highlight w:val="none"/>
              </w:rPr>
              <w:t>处理。</w:t>
            </w:r>
          </w:p>
        </w:tc>
      </w:tr>
      <w:bookmarkEnd w:id="15"/>
      <w:bookmarkEnd w:id="16"/>
      <w:bookmarkEnd w:id="24"/>
      <w:bookmarkEnd w:id="25"/>
      <w:bookmarkEnd w:id="26"/>
      <w:bookmarkEnd w:id="27"/>
      <w:bookmarkEnd w:id="28"/>
      <w:bookmarkEnd w:id="29"/>
      <w:bookmarkEnd w:id="30"/>
    </w:tbl>
    <w:p>
      <w:pPr>
        <w:rPr>
          <w:rFonts w:hint="eastAsia" w:ascii="宋体" w:hAnsi="宋体" w:eastAsia="宋体" w:cs="宋体"/>
          <w:b/>
          <w:color w:val="auto"/>
          <w:sz w:val="24"/>
          <w:szCs w:val="24"/>
          <w:highlight w:val="none"/>
        </w:rPr>
      </w:pPr>
      <w:bookmarkStart w:id="32" w:name="_Toc2014"/>
      <w:bookmarkStart w:id="33" w:name="_Toc32407"/>
      <w:bookmarkStart w:id="34" w:name="_Toc27371"/>
      <w:bookmarkStart w:id="35" w:name="_Toc12792"/>
      <w:bookmarkStart w:id="36" w:name="_Toc4771"/>
      <w:bookmarkStart w:id="37" w:name="_Toc10961"/>
      <w:bookmarkStart w:id="38" w:name="_Toc26461"/>
      <w:bookmarkStart w:id="39" w:name="_Toc26023"/>
      <w:bookmarkStart w:id="40" w:name="_Toc183264284"/>
      <w:bookmarkStart w:id="41" w:name="_Toc7029"/>
      <w:bookmarkStart w:id="42" w:name="_Toc9010"/>
      <w:bookmarkStart w:id="43" w:name="_Toc27171"/>
      <w:bookmarkStart w:id="44" w:name="_Toc4157"/>
      <w:r>
        <w:rPr>
          <w:rFonts w:hint="eastAsia" w:ascii="宋体" w:hAnsi="宋体" w:eastAsia="宋体" w:cs="宋体"/>
          <w:b/>
          <w:color w:val="auto"/>
          <w:sz w:val="24"/>
          <w:szCs w:val="24"/>
          <w:highlight w:val="none"/>
        </w:rPr>
        <w:br w:type="page"/>
      </w:r>
    </w:p>
    <w:p>
      <w:pPr>
        <w:pStyle w:val="76"/>
        <w:pageBreakBefore w:val="0"/>
        <w:kinsoku/>
        <w:wordWrap/>
        <w:topLinePunct w:val="0"/>
        <w:bidi w:val="0"/>
        <w:adjustRightInd w:val="0"/>
        <w:snapToGrid w:val="0"/>
        <w:spacing w:afterAutospacing="0" w:line="360" w:lineRule="auto"/>
        <w:ind w:firstLine="496" w:firstLineChars="196"/>
        <w:jc w:val="both"/>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bookmarkEnd w:id="32"/>
      <w:bookmarkEnd w:id="33"/>
      <w:bookmarkEnd w:id="34"/>
      <w:bookmarkEnd w:id="35"/>
      <w:bookmarkEnd w:id="36"/>
      <w:bookmarkEnd w:id="37"/>
      <w:bookmarkEnd w:id="38"/>
      <w:bookmarkEnd w:id="39"/>
      <w:bookmarkEnd w:id="40"/>
      <w:bookmarkEnd w:id="41"/>
      <w:bookmarkEnd w:id="42"/>
      <w:bookmarkEnd w:id="43"/>
      <w:bookmarkEnd w:id="44"/>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本竞争性磋商文件仅适用于本次竞争性磋商资格公告中所叙述的项目。通过竞争性磋商方式择优选择成交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w:t>
      </w:r>
    </w:p>
    <w:p>
      <w:pPr>
        <w:pStyle w:val="76"/>
        <w:pageBreakBefore w:val="0"/>
        <w:kinsoku/>
        <w:wordWrap/>
        <w:topLinePunct w:val="0"/>
        <w:bidi w:val="0"/>
        <w:adjustRightInd w:val="0"/>
        <w:snapToGrid w:val="0"/>
        <w:spacing w:afterAutospacing="0" w:line="360" w:lineRule="auto"/>
        <w:ind w:firstLine="506" w:firstLineChars="200"/>
        <w:jc w:val="both"/>
        <w:textAlignment w:val="auto"/>
        <w:outlineLvl w:val="1"/>
        <w:rPr>
          <w:rFonts w:hint="eastAsia" w:ascii="宋体" w:hAnsi="宋体" w:eastAsia="宋体" w:cs="宋体"/>
          <w:b/>
          <w:color w:val="auto"/>
          <w:sz w:val="24"/>
          <w:szCs w:val="24"/>
          <w:highlight w:val="none"/>
        </w:rPr>
      </w:pPr>
      <w:bookmarkStart w:id="45" w:name="_Toc6021"/>
      <w:bookmarkStart w:id="46" w:name="_Toc27128"/>
      <w:bookmarkStart w:id="47" w:name="_Toc17524"/>
      <w:bookmarkStart w:id="48" w:name="_Toc3281"/>
      <w:bookmarkStart w:id="49" w:name="_Toc30575"/>
      <w:bookmarkStart w:id="50" w:name="_Toc6263"/>
      <w:bookmarkStart w:id="51" w:name="_Toc15358"/>
      <w:bookmarkStart w:id="52" w:name="_Toc16181"/>
      <w:bookmarkStart w:id="53" w:name="_Toc12571"/>
      <w:bookmarkStart w:id="54" w:name="_Toc16665"/>
      <w:bookmarkStart w:id="55" w:name="_Toc183264285"/>
      <w:bookmarkStart w:id="56" w:name="_Toc6859"/>
      <w:bookmarkStart w:id="57" w:name="_Toc2971"/>
      <w:r>
        <w:rPr>
          <w:rFonts w:hint="eastAsia" w:ascii="宋体" w:hAnsi="宋体" w:eastAsia="宋体" w:cs="宋体"/>
          <w:b/>
          <w:color w:val="auto"/>
          <w:sz w:val="24"/>
          <w:szCs w:val="24"/>
          <w:highlight w:val="none"/>
        </w:rPr>
        <w:t>二、定义</w:t>
      </w:r>
      <w:bookmarkEnd w:id="45"/>
      <w:bookmarkEnd w:id="46"/>
      <w:bookmarkEnd w:id="47"/>
      <w:bookmarkEnd w:id="48"/>
      <w:bookmarkEnd w:id="49"/>
      <w:bookmarkEnd w:id="50"/>
      <w:bookmarkEnd w:id="51"/>
      <w:bookmarkEnd w:id="52"/>
      <w:bookmarkEnd w:id="53"/>
      <w:bookmarkEnd w:id="54"/>
      <w:bookmarkEnd w:id="55"/>
      <w:bookmarkEnd w:id="56"/>
      <w:bookmarkEnd w:id="57"/>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u w:val="single"/>
        </w:rPr>
      </w:pPr>
      <w:bookmarkStart w:id="58" w:name="_Toc16016"/>
      <w:bookmarkStart w:id="59" w:name="_Toc32753"/>
      <w:bookmarkStart w:id="60" w:name="_Toc26902"/>
      <w:bookmarkStart w:id="61" w:name="_Toc29647"/>
      <w:bookmarkStart w:id="62" w:name="_Toc5398"/>
      <w:bookmarkStart w:id="63" w:name="_Toc22833"/>
      <w:bookmarkStart w:id="64" w:name="_Toc5891"/>
      <w:bookmarkStart w:id="65" w:name="_Toc8147"/>
      <w:bookmarkStart w:id="66" w:name="_Toc3285"/>
      <w:bookmarkStart w:id="67" w:name="_Toc17271"/>
      <w:bookmarkStart w:id="68" w:name="_Toc12343"/>
      <w:bookmarkStart w:id="69" w:name="_Toc8149"/>
      <w:bookmarkStart w:id="70" w:name="_Toc183264286"/>
      <w:r>
        <w:rPr>
          <w:rFonts w:hint="eastAsia" w:ascii="宋体" w:hAnsi="宋体" w:eastAsia="宋体" w:cs="宋体"/>
          <w:color w:val="auto"/>
          <w:sz w:val="24"/>
          <w:szCs w:val="24"/>
          <w:highlight w:val="none"/>
        </w:rPr>
        <w:t>1.“采购人”系指</w:t>
      </w:r>
      <w:r>
        <w:rPr>
          <w:rFonts w:hint="eastAsia" w:ascii="宋体" w:hAnsi="宋体" w:eastAsia="宋体" w:cs="宋体"/>
          <w:color w:val="auto"/>
          <w:sz w:val="24"/>
          <w:szCs w:val="24"/>
          <w:highlight w:val="none"/>
          <w:u w:val="single"/>
        </w:rPr>
        <w:t>济南高新技术产业开发区临港街道办事处（章锦街道办事处）</w:t>
      </w:r>
      <w:r>
        <w:rPr>
          <w:rFonts w:hint="eastAsia" w:ascii="宋体" w:hAnsi="宋体" w:eastAsia="宋体" w:cs="宋体"/>
          <w:color w:val="auto"/>
          <w:sz w:val="24"/>
          <w:szCs w:val="24"/>
          <w:highlight w:val="none"/>
        </w:rPr>
        <w:t>。</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2.“采购代理机构”系指</w:t>
      </w:r>
      <w:r>
        <w:rPr>
          <w:rFonts w:hint="eastAsia" w:ascii="宋体" w:hAnsi="宋体" w:eastAsia="宋体" w:cs="宋体"/>
          <w:color w:val="auto"/>
          <w:sz w:val="24"/>
          <w:szCs w:val="24"/>
          <w:highlight w:val="none"/>
          <w:u w:val="single"/>
        </w:rPr>
        <w:t xml:space="preserve"> 山东蓝盾招标代理有限公司</w:t>
      </w:r>
      <w:r>
        <w:rPr>
          <w:rFonts w:hint="eastAsia" w:ascii="宋体" w:hAnsi="宋体" w:eastAsia="宋体" w:cs="宋体"/>
          <w:color w:val="auto"/>
          <w:sz w:val="24"/>
          <w:szCs w:val="24"/>
          <w:highlight w:val="none"/>
        </w:rPr>
        <w:t>。</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”系指</w:t>
      </w:r>
      <w:r>
        <w:rPr>
          <w:rFonts w:hint="eastAsia" w:ascii="宋体" w:hAnsi="宋体" w:eastAsia="宋体" w:cs="宋体"/>
          <w:color w:val="auto"/>
          <w:sz w:val="24"/>
          <w:szCs w:val="24"/>
          <w:highlight w:val="none"/>
          <w:u w:val="single"/>
        </w:rPr>
        <w:t>响应磋商并进行报价竞争的单位。</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系指由磋商小组评审确定的取得与采购人签订合同资格的</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w:t>
      </w:r>
    </w:p>
    <w:p>
      <w:pPr>
        <w:pStyle w:val="50"/>
        <w:pageBreakBefore w:val="0"/>
        <w:kinsoku/>
        <w:wordWrap/>
        <w:topLinePunct w:val="0"/>
        <w:bidi w:val="0"/>
        <w:adjustRightInd w:val="0"/>
        <w:snapToGrid w:val="0"/>
        <w:spacing w:afterAutospacing="0" w:line="360" w:lineRule="auto"/>
        <w:ind w:firstLine="506"/>
        <w:textAlignment w:val="auto"/>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三、踏勘现场</w:t>
      </w:r>
      <w:bookmarkEnd w:id="58"/>
      <w:bookmarkEnd w:id="59"/>
      <w:bookmarkEnd w:id="60"/>
      <w:bookmarkEnd w:id="61"/>
      <w:bookmarkEnd w:id="62"/>
      <w:bookmarkEnd w:id="63"/>
      <w:bookmarkEnd w:id="64"/>
      <w:bookmarkEnd w:id="65"/>
      <w:bookmarkEnd w:id="66"/>
      <w:bookmarkEnd w:id="67"/>
      <w:bookmarkEnd w:id="68"/>
      <w:bookmarkEnd w:id="69"/>
    </w:p>
    <w:p>
      <w:pPr>
        <w:pageBreakBefore w:val="0"/>
        <w:kinsoku/>
        <w:wordWrap/>
        <w:topLinePunct w:val="0"/>
        <w:bidi w:val="0"/>
        <w:adjustRightInd w:val="0"/>
        <w:snapToGrid w:val="0"/>
        <w:spacing w:afterAutospacing="0" w:line="360" w:lineRule="auto"/>
        <w:ind w:firstLine="480" w:firstLineChars="200"/>
        <w:jc w:val="both"/>
        <w:textAlignment w:val="auto"/>
        <w:rPr>
          <w:rFonts w:hint="default" w:ascii="宋体" w:hAnsi="宋体" w:eastAsia="宋体" w:cs="宋体"/>
          <w:color w:val="auto"/>
          <w:sz w:val="24"/>
          <w:szCs w:val="24"/>
          <w:highlight w:val="none"/>
          <w:lang w:val="en-US"/>
        </w:rPr>
      </w:pPr>
      <w:bookmarkStart w:id="71" w:name="_Toc21426"/>
      <w:bookmarkStart w:id="72" w:name="_Toc18930"/>
      <w:bookmarkStart w:id="73" w:name="_Toc29039"/>
      <w:bookmarkStart w:id="74" w:name="_Toc9113"/>
      <w:bookmarkStart w:id="75" w:name="_Toc27146"/>
      <w:bookmarkStart w:id="76" w:name="_Toc19012"/>
      <w:bookmarkStart w:id="77" w:name="_Toc3602"/>
      <w:bookmarkStart w:id="78" w:name="_Toc18544"/>
      <w:bookmarkStart w:id="79" w:name="_Toc1476"/>
      <w:bookmarkStart w:id="80" w:name="_Toc28078"/>
      <w:bookmarkStart w:id="81" w:name="_Toc29646"/>
      <w:bookmarkStart w:id="82" w:name="_Toc26716"/>
      <w:r>
        <w:rPr>
          <w:rFonts w:hint="default" w:ascii="宋体" w:hAnsi="宋体" w:eastAsia="宋体" w:cs="宋体"/>
          <w:color w:val="auto"/>
          <w:sz w:val="24"/>
          <w:szCs w:val="24"/>
          <w:highlight w:val="none"/>
          <w:lang w:val="en-US"/>
        </w:rPr>
        <w:t>1、自行踏勘现场。</w:t>
      </w:r>
    </w:p>
    <w:p>
      <w:pPr>
        <w:pageBreakBefore w:val="0"/>
        <w:kinsoku/>
        <w:wordWrap/>
        <w:topLinePunct w:val="0"/>
        <w:bidi w:val="0"/>
        <w:adjustRightInd w:val="0"/>
        <w:snapToGrid w:val="0"/>
        <w:spacing w:afterAutospacing="0" w:line="360" w:lineRule="auto"/>
        <w:ind w:firstLine="480" w:firstLineChars="200"/>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2、踏勘现场要求：</w:t>
      </w:r>
    </w:p>
    <w:p>
      <w:pPr>
        <w:pageBreakBefore w:val="0"/>
        <w:kinsoku/>
        <w:wordWrap/>
        <w:topLinePunct w:val="0"/>
        <w:bidi w:val="0"/>
        <w:adjustRightInd w:val="0"/>
        <w:snapToGrid w:val="0"/>
        <w:spacing w:afterAutospacing="0" w:line="360" w:lineRule="auto"/>
        <w:ind w:firstLine="480" w:firstLineChars="200"/>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（1）供应商踏勘现场发生的费用自理。</w:t>
      </w:r>
    </w:p>
    <w:p>
      <w:pPr>
        <w:pageBreakBefore w:val="0"/>
        <w:kinsoku/>
        <w:wordWrap/>
        <w:topLinePunct w:val="0"/>
        <w:bidi w:val="0"/>
        <w:adjustRightInd w:val="0"/>
        <w:snapToGrid w:val="0"/>
        <w:spacing w:afterAutospacing="0" w:line="360" w:lineRule="auto"/>
        <w:ind w:firstLine="480" w:firstLineChars="200"/>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（2）供应商自行负责在踏勘现场中所发生的人员伤亡和财产损失。</w:t>
      </w:r>
    </w:p>
    <w:p>
      <w:pPr>
        <w:pStyle w:val="76"/>
        <w:pageBreakBefore w:val="0"/>
        <w:kinsoku/>
        <w:wordWrap/>
        <w:topLinePunct w:val="0"/>
        <w:bidi w:val="0"/>
        <w:adjustRightInd w:val="0"/>
        <w:snapToGrid w:val="0"/>
        <w:spacing w:afterAutospacing="0" w:line="360" w:lineRule="auto"/>
        <w:ind w:firstLine="504" w:firstLineChars="200"/>
        <w:jc w:val="both"/>
        <w:textAlignment w:val="auto"/>
        <w:outlineLvl w:val="1"/>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（3）采购人在踏勘现场中介绍的本项目情况和相关的周边环境情况，供应商在编制报价文件时参考，采购人不对供应商据此作出的判断和决策负责。</w:t>
      </w:r>
    </w:p>
    <w:p>
      <w:pPr>
        <w:pStyle w:val="76"/>
        <w:pageBreakBefore w:val="0"/>
        <w:kinsoku/>
        <w:wordWrap/>
        <w:topLinePunct w:val="0"/>
        <w:bidi w:val="0"/>
        <w:adjustRightInd w:val="0"/>
        <w:snapToGrid w:val="0"/>
        <w:spacing w:afterAutospacing="0" w:line="360" w:lineRule="auto"/>
        <w:ind w:firstLine="506" w:firstLineChars="200"/>
        <w:jc w:val="both"/>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四、竞争性磋商文件说明</w:t>
      </w:r>
      <w:bookmarkEnd w:id="70"/>
      <w:bookmarkEnd w:id="71"/>
      <w:bookmarkEnd w:id="72"/>
      <w:bookmarkEnd w:id="73"/>
      <w:bookmarkEnd w:id="74"/>
      <w:bookmarkEnd w:id="75"/>
      <w:bookmarkEnd w:id="76"/>
      <w:bookmarkEnd w:id="77"/>
      <w:bookmarkEnd w:id="78"/>
      <w:bookmarkEnd w:id="79"/>
      <w:bookmarkEnd w:id="80"/>
      <w:bookmarkEnd w:id="81"/>
      <w:bookmarkEnd w:id="82"/>
    </w:p>
    <w:p>
      <w:pPr>
        <w:pStyle w:val="90"/>
        <w:pageBreakBefore w:val="0"/>
        <w:kinsoku/>
        <w:wordWrap/>
        <w:topLinePunct w:val="0"/>
        <w:bidi w:val="0"/>
        <w:adjustRightInd w:val="0"/>
        <w:snapToGrid w:val="0"/>
        <w:spacing w:afterAutospacing="0" w:line="360" w:lineRule="auto"/>
        <w:ind w:firstLine="504"/>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（一）竞争性磋商文件的组成</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第一部分 竞争性磋商公告</w:t>
      </w:r>
      <w:r>
        <w:rPr>
          <w:rFonts w:hint="eastAsia" w:ascii="宋体" w:hAnsi="宋体" w:eastAsia="宋体" w:cs="宋体"/>
          <w:color w:val="auto"/>
          <w:szCs w:val="24"/>
          <w:highlight w:val="none"/>
        </w:rPr>
        <w:tab/>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第二部分 </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第三部分 项目基本情况 </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 xml:space="preserve">第四部分 </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、评</w:t>
      </w:r>
      <w:r>
        <w:rPr>
          <w:rFonts w:hint="eastAsia" w:ascii="宋体" w:hAnsi="宋体" w:eastAsia="宋体" w:cs="宋体"/>
          <w:color w:val="auto"/>
          <w:szCs w:val="24"/>
          <w:highlight w:val="none"/>
          <w:lang w:eastAsia="zh-CN"/>
        </w:rPr>
        <w:t>审</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成交</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第五部分 合同格式</w:t>
      </w:r>
    </w:p>
    <w:p>
      <w:pPr>
        <w:pStyle w:val="27"/>
        <w:pageBreakBefore w:val="0"/>
        <w:tabs>
          <w:tab w:val="right" w:leader="dot" w:pos="9607"/>
        </w:tabs>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"_Toc27984"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报价函部分格式</w:t>
      </w:r>
      <w:r>
        <w:rPr>
          <w:rFonts w:hint="eastAsia" w:ascii="宋体" w:hAnsi="宋体" w:eastAsia="宋体" w:cs="宋体"/>
          <w:color w:val="auto"/>
          <w:sz w:val="24"/>
          <w:szCs w:val="24"/>
          <w:highlight w:val="none"/>
        </w:rPr>
        <w:fldChar w:fldCharType="end"/>
      </w:r>
    </w:p>
    <w:p>
      <w:pPr>
        <w:pStyle w:val="27"/>
        <w:pageBreakBefore w:val="0"/>
        <w:tabs>
          <w:tab w:val="right" w:leader="dot" w:pos="9607"/>
        </w:tabs>
        <w:kinsoku/>
        <w:wordWrap/>
        <w:topLinePunct w:val="0"/>
        <w:bidi w:val="0"/>
        <w:adjustRightInd w:val="0"/>
        <w:snapToGrid w:val="0"/>
        <w:spacing w:afterAutospacing="0"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"_Toc27984"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第七部分 附件</w:t>
      </w:r>
      <w:r>
        <w:rPr>
          <w:rFonts w:hint="eastAsia" w:ascii="宋体" w:hAnsi="宋体" w:eastAsia="宋体" w:cs="宋体"/>
          <w:color w:val="auto"/>
          <w:sz w:val="24"/>
          <w:szCs w:val="24"/>
          <w:highlight w:val="none"/>
        </w:rPr>
        <w:fldChar w:fldCharType="end"/>
      </w:r>
    </w:p>
    <w:p>
      <w:pPr>
        <w:pStyle w:val="30"/>
        <w:pageBreakBefore w:val="0"/>
        <w:tabs>
          <w:tab w:val="right" w:leader="dot" w:pos="9607"/>
        </w:tabs>
        <w:kinsoku/>
        <w:wordWrap/>
        <w:topLinePunct w:val="0"/>
        <w:bidi w:val="0"/>
        <w:adjustRightInd w:val="0"/>
        <w:snapToGrid w:val="0"/>
        <w:spacing w:afterAutospacing="0" w:line="360" w:lineRule="auto"/>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"_Toc5720"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 w:val="24"/>
          <w:szCs w:val="24"/>
          <w:highlight w:val="none"/>
        </w:rPr>
        <w:t>第八部分 报价文件商务部分格式</w:t>
      </w:r>
      <w:r>
        <w:rPr>
          <w:rFonts w:hint="eastAsia" w:ascii="宋体" w:hAnsi="宋体" w:eastAsia="宋体" w:cs="宋体"/>
          <w:bCs/>
          <w:color w:val="auto"/>
          <w:kern w:val="2"/>
          <w:sz w:val="24"/>
          <w:szCs w:val="24"/>
          <w:highlight w:val="none"/>
        </w:rPr>
        <w:fldChar w:fldCharType="end"/>
      </w:r>
    </w:p>
    <w:p>
      <w:pPr>
        <w:pStyle w:val="30"/>
        <w:pageBreakBefore w:val="0"/>
        <w:tabs>
          <w:tab w:val="right" w:leader="dot" w:pos="9607"/>
        </w:tabs>
        <w:kinsoku/>
        <w:wordWrap/>
        <w:topLinePunct w:val="0"/>
        <w:bidi w:val="0"/>
        <w:adjustRightInd w:val="0"/>
        <w:snapToGrid w:val="0"/>
        <w:spacing w:afterAutospacing="0" w:line="360" w:lineRule="auto"/>
        <w:ind w:left="0" w:leftChars="0" w:firstLine="48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第九部分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"_Toc24177"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 w:val="24"/>
          <w:szCs w:val="24"/>
          <w:highlight w:val="none"/>
        </w:rPr>
        <w:t>报价文件技术部分格式</w:t>
      </w:r>
      <w:r>
        <w:rPr>
          <w:rFonts w:hint="eastAsia" w:ascii="宋体" w:hAnsi="宋体" w:eastAsia="宋体" w:cs="宋体"/>
          <w:bCs/>
          <w:color w:val="auto"/>
          <w:kern w:val="2"/>
          <w:sz w:val="24"/>
          <w:szCs w:val="24"/>
          <w:highlight w:val="none"/>
        </w:rPr>
        <w:fldChar w:fldCharType="end"/>
      </w:r>
    </w:p>
    <w:p>
      <w:pPr>
        <w:pStyle w:val="30"/>
        <w:pageBreakBefore w:val="0"/>
        <w:tabs>
          <w:tab w:val="right" w:leader="dot" w:pos="9607"/>
        </w:tabs>
        <w:kinsoku/>
        <w:wordWrap/>
        <w:topLinePunct w:val="0"/>
        <w:bidi w:val="0"/>
        <w:adjustRightInd w:val="0"/>
        <w:snapToGrid w:val="0"/>
        <w:spacing w:afterAutospacing="0" w:line="360" w:lineRule="auto"/>
        <w:ind w:left="0" w:leftChars="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"_Toc2396"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 w:val="24"/>
          <w:szCs w:val="24"/>
          <w:highlight w:val="none"/>
        </w:rPr>
        <w:t xml:space="preserve">第十部分 </w:t>
      </w:r>
      <w:r>
        <w:rPr>
          <w:rFonts w:hint="eastAsia" w:ascii="宋体" w:hAnsi="宋体" w:eastAsia="宋体" w:cs="宋体"/>
          <w:color w:val="auto"/>
          <w:spacing w:val="6"/>
          <w:sz w:val="24"/>
          <w:szCs w:val="24"/>
          <w:highlight w:val="none"/>
        </w:rPr>
        <w:t>评分标准</w:t>
      </w:r>
      <w:r>
        <w:rPr>
          <w:rFonts w:hint="eastAsia" w:ascii="宋体" w:hAnsi="宋体" w:eastAsia="宋体" w:cs="宋体"/>
          <w:color w:val="auto"/>
          <w:spacing w:val="6"/>
          <w:sz w:val="24"/>
          <w:szCs w:val="24"/>
          <w:highlight w:val="none"/>
        </w:rPr>
        <w:fldChar w:fldCharType="end"/>
      </w:r>
      <w:r>
        <w:rPr>
          <w:rFonts w:hint="eastAsia" w:ascii="宋体" w:hAnsi="宋体" w:eastAsia="宋体" w:cs="宋体"/>
          <w:color w:val="auto"/>
          <w:sz w:val="24"/>
          <w:szCs w:val="24"/>
          <w:highlight w:val="none"/>
        </w:rPr>
        <w:t xml:space="preserve">    </w:t>
      </w:r>
    </w:p>
    <w:p>
      <w:pPr>
        <w:pStyle w:val="5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（二）竞争性磋商文件的修改</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1．采购代理机构对竞争性磋商文件必须修改的内容，需在竞争性磋商文件要求提交报价文件截止时间3日前，以书面形式通知已购买竞争性磋商文件的所有</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。补充文件将作为竞争性磋商文件的组成部分，对所有</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均具有约束力。</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2．为使</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有足够的时间按竞争性磋商文件的要求修改报价文件，采购代理机构可酌情推迟报价的截止时间和日期，并将此变更书面通知上述每一</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（三）竞争性磋商文件的澄清</w:t>
      </w:r>
    </w:p>
    <w:p>
      <w:pPr>
        <w:pStyle w:val="50"/>
        <w:pageBreakBefore w:val="0"/>
        <w:kinsoku/>
        <w:wordWrap/>
        <w:topLinePunct w:val="0"/>
        <w:bidi w:val="0"/>
        <w:adjustRightInd w:val="0"/>
        <w:snapToGrid w:val="0"/>
        <w:spacing w:afterAutospacing="0" w:line="360" w:lineRule="auto"/>
        <w:ind w:left="0" w:leftChars="0" w:firstLine="478" w:firstLineChars="19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对竞争性磋商文件如有疑问可要求澄清，应在201</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年</w:t>
      </w:r>
      <w:r>
        <w:rPr>
          <w:rFonts w:hint="eastAsia" w:ascii="宋体" w:hAnsi="宋体" w:cs="宋体"/>
          <w:color w:val="auto"/>
          <w:szCs w:val="24"/>
          <w:highlight w:val="none"/>
          <w:lang w:val="en-US" w:eastAsia="zh-CN"/>
        </w:rPr>
        <w:t>11</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22</w:t>
      </w:r>
      <w:r>
        <w:rPr>
          <w:rFonts w:hint="eastAsia" w:ascii="宋体" w:hAnsi="宋体" w:eastAsia="宋体" w:cs="宋体"/>
          <w:color w:val="auto"/>
          <w:szCs w:val="24"/>
          <w:highlight w:val="none"/>
        </w:rPr>
        <w:t>日</w:t>
      </w:r>
      <w:r>
        <w:rPr>
          <w:rFonts w:hint="eastAsia" w:ascii="宋体" w:hAnsi="宋体" w:cs="宋体"/>
          <w:color w:val="auto"/>
          <w:szCs w:val="24"/>
          <w:highlight w:val="none"/>
          <w:lang w:eastAsia="zh-CN"/>
        </w:rPr>
        <w:t>下</w:t>
      </w:r>
      <w:r>
        <w:rPr>
          <w:rFonts w:hint="eastAsia" w:ascii="宋体" w:hAnsi="宋体" w:eastAsia="宋体" w:cs="宋体"/>
          <w:color w:val="auto"/>
          <w:szCs w:val="24"/>
          <w:highlight w:val="none"/>
        </w:rPr>
        <w:t>午</w:t>
      </w:r>
      <w:r>
        <w:rPr>
          <w:rFonts w:hint="eastAsia" w:ascii="宋体" w:hAnsi="宋体" w:cs="宋体"/>
          <w:color w:val="auto"/>
          <w:szCs w:val="24"/>
          <w:highlight w:val="none"/>
          <w:lang w:val="en-US" w:eastAsia="zh-CN"/>
        </w:rPr>
        <w:t>13：00</w:t>
      </w:r>
      <w:r>
        <w:rPr>
          <w:rFonts w:hint="eastAsia" w:ascii="宋体" w:hAnsi="宋体" w:eastAsia="宋体" w:cs="宋体"/>
          <w:color w:val="auto"/>
          <w:szCs w:val="24"/>
          <w:highlight w:val="none"/>
        </w:rPr>
        <w:t>前（北京时间）前以书面形式向采购代理机构提出澄清要求，</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"mailto:须将要求澄清内容发送电子邮件至sdxinglian@163.com"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须将要求澄清内容发送电子邮件至</w:t>
      </w:r>
      <w:r>
        <w:rPr>
          <w:rFonts w:hint="eastAsia" w:ascii="宋体" w:hAnsi="宋体" w:eastAsia="宋体" w:cs="宋体"/>
          <w:sz w:val="24"/>
          <w:szCs w:val="24"/>
          <w:highlight w:val="none"/>
          <w:lang w:val="en-US" w:eastAsia="zh-CN"/>
        </w:rPr>
        <w:t>sdldzbdl@163.com</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并电话通知竞争性磋商资格公告所列的联系人。采购代理机构将视情况采用适当方式予以澄清或以书面形式答复。在其认为必要时，将不标明查询来源的书面答复于报价截止时间5日前发给所有购买竞争性磋商文件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在收到该澄清文件后应于当日内，以书面形式给予确认，逾期不确认视为认同。澄清或答复作为竞争性磋商文件的组成部分，具有约束作用。在规定时间以后提出的澄清要求将不予受理。</w:t>
      </w:r>
    </w:p>
    <w:p>
      <w:pPr>
        <w:pStyle w:val="76"/>
        <w:pageBreakBefore w:val="0"/>
        <w:kinsoku/>
        <w:wordWrap/>
        <w:topLinePunct w:val="0"/>
        <w:bidi w:val="0"/>
        <w:adjustRightInd w:val="0"/>
        <w:snapToGrid w:val="0"/>
        <w:spacing w:afterAutospacing="0" w:line="360" w:lineRule="auto"/>
        <w:ind w:firstLine="506" w:firstLineChars="200"/>
        <w:jc w:val="both"/>
        <w:textAlignment w:val="auto"/>
        <w:outlineLvl w:val="1"/>
        <w:rPr>
          <w:rFonts w:hint="eastAsia" w:ascii="宋体" w:hAnsi="宋体" w:eastAsia="宋体" w:cs="宋体"/>
          <w:b/>
          <w:color w:val="auto"/>
          <w:sz w:val="24"/>
          <w:szCs w:val="24"/>
          <w:highlight w:val="none"/>
        </w:rPr>
      </w:pPr>
      <w:bookmarkStart w:id="83" w:name="_Toc23670"/>
      <w:bookmarkStart w:id="84" w:name="_Toc183264287"/>
      <w:bookmarkStart w:id="85" w:name="_Toc565"/>
      <w:bookmarkStart w:id="86" w:name="_Toc9349"/>
      <w:bookmarkStart w:id="87" w:name="_Toc23580"/>
      <w:bookmarkStart w:id="88" w:name="_Toc16021"/>
      <w:bookmarkStart w:id="89" w:name="_Toc7697"/>
      <w:bookmarkStart w:id="90" w:name="_Toc18692"/>
      <w:bookmarkStart w:id="91" w:name="_Toc17216"/>
      <w:bookmarkStart w:id="92" w:name="_Toc15739"/>
      <w:bookmarkStart w:id="93" w:name="_Toc6981"/>
      <w:bookmarkStart w:id="94" w:name="_Toc9438"/>
      <w:bookmarkStart w:id="95" w:name="_Toc23156"/>
      <w:r>
        <w:rPr>
          <w:rFonts w:hint="eastAsia" w:ascii="宋体" w:hAnsi="宋体" w:eastAsia="宋体" w:cs="宋体"/>
          <w:b/>
          <w:color w:val="auto"/>
          <w:sz w:val="24"/>
          <w:szCs w:val="24"/>
          <w:highlight w:val="none"/>
        </w:rPr>
        <w:t>五、报价文件的编写</w:t>
      </w:r>
      <w:bookmarkEnd w:id="83"/>
      <w:bookmarkEnd w:id="84"/>
      <w:bookmarkEnd w:id="85"/>
      <w:bookmarkEnd w:id="86"/>
      <w:bookmarkEnd w:id="87"/>
      <w:bookmarkEnd w:id="88"/>
      <w:bookmarkEnd w:id="89"/>
      <w:bookmarkEnd w:id="90"/>
      <w:bookmarkEnd w:id="91"/>
      <w:bookmarkEnd w:id="92"/>
      <w:bookmarkEnd w:id="93"/>
      <w:bookmarkEnd w:id="94"/>
      <w:bookmarkEnd w:id="95"/>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仔细阅读竞争性磋商文件的所有内容，按竞争性磋商文件的要求提供报价文件，并保证所提供的全部资料的真实性、准确性及完整性，以使其报价对竞争性磋商文件做出实质性响应。否则，其报价有可能被拒绝或被视为无效。</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（一）报价文件的组成</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应按竞争性磋商文件的要求编写报价文件，提交证明其有资格进行报价和有能力履行合同的文件。</w:t>
      </w:r>
    </w:p>
    <w:p>
      <w:pPr>
        <w:pageBreakBefore w:val="0"/>
        <w:kinsoku/>
        <w:wordWrap/>
        <w:topLinePunct w:val="0"/>
        <w:bidi w:val="0"/>
        <w:adjustRightInd w:val="0"/>
        <w:snapToGrid w:val="0"/>
        <w:spacing w:afterAutospacing="0" w:line="360"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报价文件由报价函部分、资格证明部分、商务部分、技术部分四部分组成</w:t>
      </w:r>
      <w:r>
        <w:rPr>
          <w:rFonts w:hint="eastAsia" w:ascii="宋体" w:hAnsi="宋体" w:eastAsia="宋体" w:cs="宋体"/>
          <w:b/>
          <w:bCs/>
          <w:color w:val="auto"/>
          <w:sz w:val="24"/>
          <w:szCs w:val="24"/>
          <w:highlight w:val="none"/>
        </w:rPr>
        <w:t>。</w:t>
      </w:r>
    </w:p>
    <w:p>
      <w:pPr>
        <w:pageBreakBefore w:val="0"/>
        <w:kinsoku/>
        <w:wordWrap/>
        <w:topLinePunct w:val="0"/>
        <w:bidi w:val="0"/>
        <w:adjustRightInd w:val="0"/>
        <w:snapToGrid w:val="0"/>
        <w:spacing w:afterAutospacing="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1.报价函部分</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1.1法定代表人或授权代理人签署的</w:t>
      </w:r>
      <w:r>
        <w:rPr>
          <w:rFonts w:hint="eastAsia" w:ascii="宋体" w:hAnsi="宋体" w:cs="宋体"/>
          <w:color w:val="auto"/>
          <w:spacing w:val="6"/>
          <w:sz w:val="24"/>
          <w:szCs w:val="24"/>
          <w:highlight w:val="none"/>
          <w:lang w:eastAsia="zh-CN"/>
        </w:rPr>
        <w:t>报价</w:t>
      </w:r>
      <w:r>
        <w:rPr>
          <w:rFonts w:hint="eastAsia" w:ascii="宋体" w:hAnsi="宋体" w:eastAsia="宋体" w:cs="宋体"/>
          <w:color w:val="auto"/>
          <w:spacing w:val="6"/>
          <w:sz w:val="24"/>
          <w:szCs w:val="24"/>
          <w:highlight w:val="none"/>
        </w:rPr>
        <w:t>函；</w:t>
      </w:r>
    </w:p>
    <w:p>
      <w:pPr>
        <w:pStyle w:val="50"/>
        <w:pageBreakBefore w:val="0"/>
        <w:kinsoku/>
        <w:wordWrap/>
        <w:topLinePunct w:val="0"/>
        <w:bidi w:val="0"/>
        <w:adjustRightInd w:val="0"/>
        <w:snapToGrid w:val="0"/>
        <w:spacing w:afterAutospacing="0" w:line="360" w:lineRule="auto"/>
        <w:ind w:firstLine="528"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1.2法定代表人身份证明书（法人签字并加盖公章，否则视为无效），法定代表人授权委托书（法人签字并加盖公章，否则视为无效）</w:t>
      </w:r>
    </w:p>
    <w:p>
      <w:pPr>
        <w:pStyle w:val="50"/>
        <w:pageBreakBefore w:val="0"/>
        <w:kinsoku/>
        <w:wordWrap/>
        <w:topLinePunct w:val="0"/>
        <w:bidi w:val="0"/>
        <w:adjustRightInd w:val="0"/>
        <w:snapToGrid w:val="0"/>
        <w:spacing w:afterAutospacing="0" w:line="360" w:lineRule="auto"/>
        <w:ind w:firstLine="528"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1.3报价一览表</w:t>
      </w:r>
    </w:p>
    <w:p>
      <w:pPr>
        <w:pageBreakBefore w:val="0"/>
        <w:tabs>
          <w:tab w:val="left" w:pos="836"/>
        </w:tabs>
        <w:kinsoku/>
        <w:wordWrap/>
        <w:topLinePunct w:val="0"/>
        <w:bidi w:val="0"/>
        <w:adjustRightInd w:val="0"/>
        <w:snapToGrid w:val="0"/>
        <w:spacing w:afterAutospacing="0" w:line="360" w:lineRule="auto"/>
        <w:ind w:firstLine="482"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b/>
          <w:color w:val="auto"/>
          <w:sz w:val="24"/>
          <w:szCs w:val="24"/>
          <w:highlight w:val="none"/>
        </w:rPr>
        <w:t>2.资格证明文件</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highlight w:val="none"/>
        </w:rPr>
      </w:pPr>
      <w:r>
        <w:rPr>
          <w:rFonts w:hint="eastAsia" w:ascii="宋体" w:hAnsi="宋体" w:eastAsia="宋体" w:cs="宋体"/>
          <w:color w:val="auto"/>
          <w:highlight w:val="none"/>
        </w:rPr>
        <w:t>(1)有关证明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法律地位的原始文件副本</w:t>
      </w:r>
    </w:p>
    <w:p>
      <w:pPr>
        <w:pStyle w:val="90"/>
        <w:pageBreakBefore w:val="0"/>
        <w:kinsoku/>
        <w:wordWrap/>
        <w:topLinePunct w:val="0"/>
        <w:bidi w:val="0"/>
        <w:adjustRightInd w:val="0"/>
        <w:snapToGrid w:val="0"/>
        <w:spacing w:afterAutospacing="0"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1）营业执照副本、税务登记证副本、组织机构代码证副本（三证合一的投</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只需提供带有统一社会信用代码的营业执照副本）；</w:t>
      </w:r>
    </w:p>
    <w:p>
      <w:pPr>
        <w:pStyle w:val="90"/>
        <w:pageBreakBefore w:val="0"/>
        <w:kinsoku/>
        <w:wordWrap/>
        <w:topLinePunct w:val="0"/>
        <w:bidi w:val="0"/>
        <w:adjustRightInd w:val="0"/>
        <w:snapToGrid w:val="0"/>
        <w:spacing w:afterAutospacing="0"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）法定代表人身份证明及身份证</w:t>
      </w:r>
      <w:r>
        <w:rPr>
          <w:rFonts w:hint="eastAsia" w:ascii="宋体" w:hAnsi="宋体" w:eastAsia="宋体" w:cs="宋体"/>
          <w:b/>
          <w:color w:val="auto"/>
          <w:highlight w:val="none"/>
          <w:lang w:eastAsia="zh-CN"/>
        </w:rPr>
        <w:t>复印件</w:t>
      </w:r>
      <w:r>
        <w:rPr>
          <w:rFonts w:hint="eastAsia" w:ascii="宋体" w:hAnsi="宋体" w:eastAsia="宋体" w:cs="宋体"/>
          <w:b/>
          <w:color w:val="auto"/>
          <w:highlight w:val="none"/>
        </w:rPr>
        <w:t>或法定代表人授权委托书及授权</w:t>
      </w:r>
      <w:r>
        <w:rPr>
          <w:rFonts w:hint="eastAsia" w:ascii="宋体" w:hAnsi="宋体" w:eastAsia="宋体" w:cs="宋体"/>
          <w:b/>
          <w:color w:val="auto"/>
          <w:highlight w:val="none"/>
          <w:lang w:eastAsia="zh-CN"/>
        </w:rPr>
        <w:t>代表</w:t>
      </w:r>
      <w:r>
        <w:rPr>
          <w:rFonts w:hint="eastAsia" w:ascii="宋体" w:hAnsi="宋体" w:eastAsia="宋体" w:cs="宋体"/>
          <w:b/>
          <w:color w:val="auto"/>
          <w:highlight w:val="none"/>
        </w:rPr>
        <w:t>身份证</w:t>
      </w:r>
      <w:r>
        <w:rPr>
          <w:rFonts w:hint="eastAsia" w:ascii="宋体" w:hAnsi="宋体" w:eastAsia="宋体" w:cs="宋体"/>
          <w:b/>
          <w:color w:val="auto"/>
          <w:highlight w:val="none"/>
          <w:lang w:eastAsia="zh-CN"/>
        </w:rPr>
        <w:t>复印件</w:t>
      </w:r>
      <w:r>
        <w:rPr>
          <w:rFonts w:hint="eastAsia" w:ascii="宋体" w:hAnsi="宋体" w:eastAsia="宋体" w:cs="宋体"/>
          <w:b/>
          <w:color w:val="auto"/>
          <w:highlight w:val="none"/>
        </w:rPr>
        <w:t>；</w:t>
      </w:r>
    </w:p>
    <w:p>
      <w:pPr>
        <w:pageBreakBefore w:val="0"/>
        <w:kinsoku/>
        <w:wordWrap/>
        <w:topLinePunct w:val="0"/>
        <w:bidi w:val="0"/>
        <w:adjustRightInd w:val="0"/>
        <w:snapToGrid w:val="0"/>
        <w:spacing w:afterAutospacing="0" w:line="360" w:lineRule="auto"/>
        <w:ind w:firstLine="402" w:firstLineChars="200"/>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w:t>
      </w:r>
      <w:r>
        <w:rPr>
          <w:rFonts w:hint="eastAsia" w:ascii="宋体" w:hAnsi="宋体" w:eastAsia="宋体" w:cs="宋体"/>
          <w:b/>
          <w:color w:val="auto"/>
          <w:spacing w:val="6"/>
          <w:sz w:val="24"/>
          <w:szCs w:val="22"/>
          <w:highlight w:val="none"/>
          <w:lang w:val="en-US" w:eastAsia="zh-CN" w:bidi="ar-SA"/>
        </w:rPr>
        <w:t>提供经会计事务所审计出具的2018年度财务报表或财务审计报告（包括资产负债表、现金流量表、利润表等材料）或基本开户银行出具的资信证明；复印件加盖公章</w:t>
      </w:r>
      <w:r>
        <w:rPr>
          <w:rFonts w:hint="eastAsia" w:ascii="宋体" w:hAnsi="宋体" w:cs="宋体"/>
          <w:b/>
          <w:color w:val="auto"/>
          <w:spacing w:val="6"/>
          <w:sz w:val="24"/>
          <w:szCs w:val="22"/>
          <w:highlight w:val="none"/>
          <w:lang w:val="en-US" w:eastAsia="zh-CN" w:bidi="ar-SA"/>
        </w:rPr>
        <w:t>.</w:t>
      </w:r>
      <w:r>
        <w:rPr>
          <w:rFonts w:hint="eastAsia" w:ascii="宋体" w:hAnsi="宋体" w:eastAsia="宋体" w:cs="宋体"/>
          <w:b/>
          <w:color w:val="auto"/>
          <w:spacing w:val="6"/>
          <w:sz w:val="24"/>
          <w:szCs w:val="22"/>
          <w:highlight w:val="none"/>
          <w:lang w:val="en-US" w:eastAsia="zh-CN" w:bidi="ar-SA"/>
        </w:rPr>
        <w:t>（2018年以后注册的公司需写说明）；</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4）供应商须具备建筑工程施工总承包叁级及以上资质或建筑装修装饰工程专业承包贰级及以上资质；具有有效的安全生产许可证；</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5）项目经理具有建筑工程类贰级及以上建造师证书、有效的安全生产考核合格证书（B类）；</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6）供应商的2019年度任意一个季度依法纳税的完税凭证，依法免税的，应提供由供应商所在地主管国税、地税部门出具的《依法纳税或依法免税证明》；</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7）供应商2019年度任意连续三个月的社会保险缴纳证明；</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8）参加政府采购活动前三年内，在经营活动中无重大违法记录的声明；</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9）供应商信用查询结果截图；</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10）供应商认为需要提交的其他证明资料。</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以上1）-</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）开标现场需</w:t>
      </w:r>
      <w:r>
        <w:rPr>
          <w:rFonts w:hint="eastAsia" w:ascii="宋体" w:hAnsi="宋体" w:eastAsia="宋体" w:cs="宋体"/>
          <w:b/>
          <w:color w:val="auto"/>
          <w:highlight w:val="none"/>
          <w:lang w:eastAsia="zh-CN"/>
        </w:rPr>
        <w:t>单独</w:t>
      </w:r>
      <w:r>
        <w:rPr>
          <w:rFonts w:hint="eastAsia" w:ascii="宋体" w:hAnsi="宋体" w:eastAsia="宋体" w:cs="宋体"/>
          <w:b/>
          <w:color w:val="auto"/>
          <w:highlight w:val="none"/>
        </w:rPr>
        <w:t>提供复印件加盖公章一套</w:t>
      </w:r>
      <w:r>
        <w:rPr>
          <w:rFonts w:hint="eastAsia" w:ascii="宋体" w:hAnsi="宋体" w:eastAsia="宋体" w:cs="宋体"/>
          <w:b/>
          <w:color w:val="auto"/>
          <w:highlight w:val="none"/>
          <w:lang w:eastAsia="zh-CN"/>
        </w:rPr>
        <w:t>（胶装）</w:t>
      </w:r>
      <w:r>
        <w:rPr>
          <w:rFonts w:hint="eastAsia" w:ascii="宋体" w:hAnsi="宋体" w:eastAsia="宋体" w:cs="宋体"/>
          <w:b/>
          <w:color w:val="auto"/>
          <w:highlight w:val="none"/>
        </w:rPr>
        <w:t>。以上证件经审查缺少任何一项或经审查不合格作无效报价处理。</w:t>
      </w:r>
    </w:p>
    <w:p>
      <w:pPr>
        <w:pStyle w:val="5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 xml:space="preserve">   3.商务部分</w:t>
      </w:r>
    </w:p>
    <w:p>
      <w:pPr>
        <w:pageBreakBefore w:val="0"/>
        <w:kinsoku/>
        <w:wordWrap/>
        <w:topLinePunct w:val="0"/>
        <w:bidi w:val="0"/>
        <w:adjustRightInd w:val="0"/>
        <w:snapToGrid w:val="0"/>
        <w:spacing w:afterAutospacing="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1、总说明</w:t>
      </w:r>
    </w:p>
    <w:p>
      <w:pPr>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工程量清单与</w:t>
      </w:r>
      <w:r>
        <w:rPr>
          <w:rFonts w:hint="eastAsia" w:ascii="宋体" w:hAnsi="宋体" w:eastAsia="宋体" w:cs="宋体"/>
          <w:color w:val="auto"/>
          <w:sz w:val="24"/>
          <w:szCs w:val="24"/>
          <w:highlight w:val="none"/>
        </w:rPr>
        <w:t>计价表</w:t>
      </w:r>
    </w:p>
    <w:p>
      <w:pPr>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、近三年完成同类业绩一览表（后附业绩合同）</w:t>
      </w:r>
    </w:p>
    <w:p>
      <w:pPr>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、商务条款偏离表；</w:t>
      </w:r>
    </w:p>
    <w:p>
      <w:pPr>
        <w:pageBreakBefore w:val="0"/>
        <w:numPr>
          <w:ilvl w:val="0"/>
          <w:numId w:val="0"/>
        </w:numPr>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认为有必要提供的其他表格及资料</w:t>
      </w:r>
    </w:p>
    <w:p>
      <w:pPr>
        <w:pStyle w:val="9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  4.技术部分（包括但不限于）</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①施工组织设计；</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(1)施工方案及技术措施；</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(2)质量保证措施和创优计划；</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(4)施工管理措施计划；</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(5)安全文明施工措施计划及安全保证措施；</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(6)季节施工措施计划；</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(7)施工环保措施计划；</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(8)减少噪音、降低环境污染、管线设施的保护加固措施等；</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(9)成品保护和工程保修工作的管理措施和承诺；</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(10)任何可能的紧急情况的处理措施、预案以及抵抗风险（包括工程施工过程中可能遇到的各种风险）的措施；</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（11）材料的质量保证措施；</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（12）施工机具配备及设备的质量保证措施；</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（13）质量通病的防治措施；</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对自身承建本工程的施工的有利条件和优势说明，有关质量、工期、文明施工、服务等方面对业主的承诺、合理化建议及优惠条件；（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自行列报）</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的服务及承诺；</w:t>
      </w:r>
    </w:p>
    <w:p>
      <w:pPr>
        <w:pageBreakBefore w:val="0"/>
        <w:tabs>
          <w:tab w:val="left" w:pos="3920"/>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认为有必要说明的其他内容。（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自行列报）</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②项目管理班子配备：</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（1）项目管理班子配备情况表、组织机构图；</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（2）项目经理简历表、近三年（201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月1日至今）负责的类似工程和规模相当的工程项目情况介绍，后附项目合同；</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（3）项目技术负责人简历表、近三年（201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月1日至今）负责的类似工程和规模相当的工程项目情况介绍，后附项目合同；</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（4）拟投入本工程的主要人员及承建类似工程情况介绍；</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（5）项目管理班子配备情况及其它辅助说明资料、施工力量部署。</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（6）技术偏离表</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（二）报价文件的编写方式</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1.报价文件按以上顺序装订成册(胶装)，并在首页编制“报价文件目录”。</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2.报价文件正本和副本</w:t>
      </w:r>
      <w:r>
        <w:rPr>
          <w:rFonts w:hint="eastAsia" w:ascii="宋体" w:hAnsi="宋体" w:eastAsia="宋体" w:cs="宋体"/>
          <w:bCs/>
          <w:color w:val="auto"/>
          <w:szCs w:val="24"/>
          <w:highlight w:val="none"/>
        </w:rPr>
        <w:t>均需采用A4纸（如有图纸除外），逐页标注页码，不得采用活页夹。</w:t>
      </w:r>
      <w:r>
        <w:rPr>
          <w:rFonts w:hint="eastAsia" w:ascii="宋体" w:hAnsi="宋体" w:eastAsia="宋体" w:cs="宋体"/>
          <w:color w:val="auto"/>
          <w:szCs w:val="24"/>
          <w:highlight w:val="none"/>
        </w:rPr>
        <w:t>否则，采购人对由于</w:t>
      </w:r>
      <w:r>
        <w:rPr>
          <w:rFonts w:hint="eastAsia" w:ascii="宋体" w:hAnsi="宋体" w:eastAsia="宋体" w:cs="宋体"/>
          <w:color w:val="auto"/>
          <w:szCs w:val="24"/>
          <w:highlight w:val="none"/>
          <w:lang w:eastAsia="zh-CN"/>
        </w:rPr>
        <w:t>报价文件</w:t>
      </w:r>
      <w:r>
        <w:rPr>
          <w:rFonts w:hint="eastAsia" w:ascii="宋体" w:hAnsi="宋体" w:eastAsia="宋体" w:cs="宋体"/>
          <w:color w:val="auto"/>
          <w:szCs w:val="24"/>
          <w:highlight w:val="none"/>
        </w:rPr>
        <w:t>装订松散而造成的丢失或其它后果不承担任何责任。并提供电子文档(U盘</w:t>
      </w:r>
      <w:r>
        <w:rPr>
          <w:rFonts w:hint="eastAsia" w:ascii="宋体" w:hAnsi="宋体" w:eastAsia="宋体" w:cs="宋体"/>
          <w:b/>
          <w:bCs/>
          <w:color w:val="auto"/>
          <w:szCs w:val="24"/>
          <w:highlight w:val="none"/>
        </w:rPr>
        <w:t>)</w:t>
      </w:r>
      <w:r>
        <w:rPr>
          <w:rFonts w:hint="eastAsia" w:ascii="宋体" w:hAnsi="宋体" w:eastAsia="宋体" w:cs="宋体"/>
          <w:color w:val="auto"/>
          <w:szCs w:val="24"/>
          <w:highlight w:val="none"/>
        </w:rPr>
        <w:t>一份，以供备份。</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3.“报价一览表”用A4幅面，竖版。</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4.</w:t>
      </w:r>
      <w:r>
        <w:rPr>
          <w:rFonts w:hint="eastAsia" w:ascii="宋体" w:hAnsi="宋体" w:eastAsia="宋体" w:cs="宋体"/>
          <w:bCs/>
          <w:color w:val="auto"/>
          <w:szCs w:val="24"/>
          <w:highlight w:val="none"/>
          <w:lang w:eastAsia="zh-CN"/>
        </w:rPr>
        <w:t>供应商</w:t>
      </w:r>
      <w:r>
        <w:rPr>
          <w:rFonts w:hint="eastAsia" w:ascii="宋体" w:hAnsi="宋体" w:eastAsia="宋体" w:cs="宋体"/>
          <w:bCs/>
          <w:color w:val="auto"/>
          <w:szCs w:val="24"/>
          <w:highlight w:val="none"/>
        </w:rPr>
        <w:t>在磋商文件中提供的一切证件的原件、复印件或影印件必须保证其真实性。如</w:t>
      </w:r>
      <w:r>
        <w:rPr>
          <w:rFonts w:hint="eastAsia" w:ascii="宋体" w:hAnsi="宋体" w:eastAsia="宋体" w:cs="宋体"/>
          <w:bCs/>
          <w:color w:val="auto"/>
          <w:szCs w:val="24"/>
          <w:highlight w:val="none"/>
          <w:lang w:eastAsia="zh-CN"/>
        </w:rPr>
        <w:t>供应商</w:t>
      </w:r>
      <w:r>
        <w:rPr>
          <w:rFonts w:hint="eastAsia" w:ascii="宋体" w:hAnsi="宋体" w:eastAsia="宋体" w:cs="宋体"/>
          <w:bCs/>
          <w:color w:val="auto"/>
          <w:szCs w:val="24"/>
          <w:highlight w:val="none"/>
        </w:rPr>
        <w:t>提交虚假资料，一经查出，</w:t>
      </w:r>
      <w:r>
        <w:rPr>
          <w:rFonts w:hint="eastAsia" w:ascii="宋体" w:hAnsi="宋体" w:eastAsia="宋体" w:cs="宋体"/>
          <w:bCs/>
          <w:color w:val="auto"/>
          <w:szCs w:val="24"/>
          <w:highlight w:val="none"/>
          <w:lang w:eastAsia="zh-CN"/>
        </w:rPr>
        <w:t>报价文件</w:t>
      </w:r>
      <w:r>
        <w:rPr>
          <w:rFonts w:hint="eastAsia" w:ascii="宋体" w:hAnsi="宋体" w:eastAsia="宋体" w:cs="宋体"/>
          <w:bCs/>
          <w:color w:val="auto"/>
          <w:szCs w:val="24"/>
          <w:highlight w:val="none"/>
        </w:rPr>
        <w:t>无效。</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pacing w:val="6"/>
          <w:sz w:val="24"/>
          <w:szCs w:val="24"/>
          <w:highlight w:val="none"/>
        </w:rPr>
        <w:t xml:space="preserve">      5.</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应认真审阅磋商文件中所有的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rPr>
        <w:t>知、合同条款、技术要求、规定格式。如果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编制的</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，实质上不响应磋商文件的要求，其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将被拒绝。</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（三）报价文件的签署</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必须按竞争性磋商文件的规定签署报价文件（正本、副本）、报价一览表</w:t>
      </w:r>
      <w:r>
        <w:rPr>
          <w:rFonts w:hint="eastAsia" w:ascii="宋体" w:hAnsi="宋体" w:cs="宋体"/>
          <w:color w:val="auto"/>
          <w:szCs w:val="24"/>
          <w:highlight w:val="none"/>
          <w:lang w:eastAsia="zh-CN"/>
        </w:rPr>
        <w:t>、资格审查文件</w:t>
      </w:r>
      <w:r>
        <w:rPr>
          <w:rFonts w:hint="eastAsia" w:ascii="宋体" w:hAnsi="宋体" w:eastAsia="宋体" w:cs="宋体"/>
          <w:color w:val="auto"/>
          <w:szCs w:val="24"/>
          <w:highlight w:val="none"/>
        </w:rPr>
        <w:t>，并在报价文件封面、报价一览表上加盖</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单位公章。</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（四）语言及计量单位</w:t>
      </w:r>
    </w:p>
    <w:p>
      <w:pPr>
        <w:pStyle w:val="50"/>
        <w:pageBreakBefore w:val="0"/>
        <w:kinsoku/>
        <w:wordWrap/>
        <w:topLinePunct w:val="0"/>
        <w:bidi w:val="0"/>
        <w:adjustRightInd w:val="0"/>
        <w:snapToGrid w:val="0"/>
        <w:spacing w:afterAutospacing="0" w:line="360" w:lineRule="auto"/>
        <w:ind w:firstLine="756" w:firstLineChars="3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和采购代理机构就本项目交换的文件和来往信函，使用中文。</w:t>
      </w:r>
    </w:p>
    <w:p>
      <w:pPr>
        <w:pStyle w:val="50"/>
        <w:pageBreakBefore w:val="0"/>
        <w:kinsoku/>
        <w:wordWrap/>
        <w:topLinePunct w:val="0"/>
        <w:bidi w:val="0"/>
        <w:adjustRightInd w:val="0"/>
        <w:snapToGrid w:val="0"/>
        <w:spacing w:afterAutospacing="0" w:line="360" w:lineRule="auto"/>
        <w:ind w:firstLine="756" w:firstLineChars="3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2.除竞争性磋商文件另有规定外，报价文件中所使用的计量单位应使用中华人民共和国法定计量单位。</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（五）报价文件及电子文档的密封和标记</w:t>
      </w:r>
    </w:p>
    <w:p>
      <w:pPr>
        <w:pStyle w:val="50"/>
        <w:pageBreakBefore w:val="0"/>
        <w:widowControl w:val="0"/>
        <w:kinsoku/>
        <w:wordWrap/>
        <w:topLinePunct w:val="0"/>
        <w:bidi w:val="0"/>
        <w:adjustRightInd w:val="0"/>
        <w:snapToGrid w:val="0"/>
        <w:spacing w:afterAutospacing="0" w:line="360" w:lineRule="auto"/>
        <w:ind w:firstLine="756" w:firstLineChars="3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应准备</w:t>
      </w:r>
      <w:r>
        <w:rPr>
          <w:rFonts w:hint="eastAsia" w:ascii="宋体" w:hAnsi="宋体" w:cs="宋体"/>
          <w:color w:val="auto"/>
          <w:szCs w:val="24"/>
          <w:highlight w:val="none"/>
          <w:u w:val="single"/>
          <w:lang w:eastAsia="zh-CN"/>
        </w:rPr>
        <w:t>四</w:t>
      </w:r>
      <w:r>
        <w:rPr>
          <w:rFonts w:hint="eastAsia" w:ascii="宋体" w:hAnsi="宋体" w:eastAsia="宋体" w:cs="宋体"/>
          <w:color w:val="auto"/>
          <w:szCs w:val="24"/>
          <w:highlight w:val="none"/>
        </w:rPr>
        <w:t>份报价文件，</w:t>
      </w:r>
      <w:r>
        <w:rPr>
          <w:rFonts w:hint="eastAsia" w:ascii="宋体" w:hAnsi="宋体" w:eastAsia="宋体" w:cs="宋体"/>
          <w:color w:val="auto"/>
          <w:szCs w:val="24"/>
          <w:highlight w:val="none"/>
          <w:u w:val="none"/>
        </w:rPr>
        <w:t>一份正本和</w:t>
      </w:r>
      <w:r>
        <w:rPr>
          <w:rFonts w:hint="eastAsia" w:ascii="宋体" w:hAnsi="宋体" w:cs="宋体"/>
          <w:color w:val="auto"/>
          <w:szCs w:val="24"/>
          <w:highlight w:val="none"/>
          <w:u w:val="none"/>
          <w:lang w:eastAsia="zh-CN"/>
        </w:rPr>
        <w:t>三</w:t>
      </w:r>
      <w:r>
        <w:rPr>
          <w:rFonts w:hint="eastAsia" w:ascii="宋体" w:hAnsi="宋体" w:eastAsia="宋体" w:cs="宋体"/>
          <w:color w:val="auto"/>
          <w:szCs w:val="24"/>
          <w:highlight w:val="none"/>
          <w:u w:val="none"/>
        </w:rPr>
        <w:t>份副本</w:t>
      </w:r>
      <w:r>
        <w:rPr>
          <w:rFonts w:hint="eastAsia" w:ascii="宋体" w:hAnsi="宋体" w:eastAsia="宋体" w:cs="宋体"/>
          <w:color w:val="auto"/>
          <w:szCs w:val="24"/>
          <w:highlight w:val="none"/>
        </w:rPr>
        <w:t>。在每一份报价文件上要明确注明“正本”或“副本”字样，一旦正本和副本有差异，以正本为准。</w:t>
      </w:r>
    </w:p>
    <w:p>
      <w:pPr>
        <w:pStyle w:val="50"/>
        <w:pageBreakBefore w:val="0"/>
        <w:kinsoku/>
        <w:wordWrap/>
        <w:topLinePunct w:val="0"/>
        <w:bidi w:val="0"/>
        <w:adjustRightInd w:val="0"/>
        <w:snapToGrid w:val="0"/>
        <w:spacing w:afterAutospacing="0" w:line="360" w:lineRule="auto"/>
        <w:ind w:firstLine="759" w:firstLineChars="300"/>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2.</w:t>
      </w:r>
      <w:r>
        <w:rPr>
          <w:rFonts w:hint="eastAsia" w:ascii="宋体" w:hAnsi="宋体" w:eastAsia="宋体" w:cs="宋体"/>
          <w:b/>
          <w:bCs/>
          <w:color w:val="auto"/>
          <w:szCs w:val="24"/>
          <w:highlight w:val="none"/>
          <w:lang w:eastAsia="zh-CN"/>
        </w:rPr>
        <w:t>供应商</w:t>
      </w:r>
      <w:r>
        <w:rPr>
          <w:rFonts w:hint="eastAsia" w:ascii="宋体" w:hAnsi="宋体" w:eastAsia="宋体" w:cs="宋体"/>
          <w:b/>
          <w:bCs/>
          <w:color w:val="auto"/>
          <w:szCs w:val="24"/>
          <w:highlight w:val="none"/>
        </w:rPr>
        <w:t>应将报价文件正本、副本、报价一览表（三份）、电子文档（U盘）</w:t>
      </w:r>
      <w:r>
        <w:rPr>
          <w:rFonts w:hint="eastAsia" w:ascii="宋体" w:hAnsi="宋体" w:cs="宋体"/>
          <w:b/>
          <w:bCs/>
          <w:color w:val="auto"/>
          <w:szCs w:val="24"/>
          <w:highlight w:val="none"/>
          <w:lang w:eastAsia="zh-CN"/>
        </w:rPr>
        <w:t>、</w:t>
      </w:r>
      <w:r>
        <w:rPr>
          <w:rFonts w:hint="eastAsia" w:ascii="宋体" w:hAnsi="宋体" w:eastAsia="宋体" w:cs="宋体"/>
          <w:b/>
          <w:bCs/>
          <w:sz w:val="24"/>
          <w:szCs w:val="24"/>
          <w:highlight w:val="none"/>
        </w:rPr>
        <w:t>加盖单位公章</w:t>
      </w:r>
      <w:r>
        <w:rPr>
          <w:rFonts w:hint="eastAsia" w:ascii="宋体" w:hAnsi="宋体" w:cs="宋体"/>
          <w:b/>
          <w:bCs/>
          <w:sz w:val="24"/>
          <w:szCs w:val="24"/>
          <w:highlight w:val="none"/>
          <w:lang w:eastAsia="zh-CN"/>
        </w:rPr>
        <w:t>的资格审查文件</w:t>
      </w:r>
      <w:r>
        <w:rPr>
          <w:rFonts w:hint="eastAsia" w:ascii="宋体" w:hAnsi="宋体" w:eastAsia="宋体" w:cs="宋体"/>
          <w:b/>
          <w:bCs/>
          <w:sz w:val="24"/>
          <w:szCs w:val="24"/>
          <w:highlight w:val="none"/>
        </w:rPr>
        <w:t>一份</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单独</w:t>
      </w:r>
      <w:r>
        <w:rPr>
          <w:rFonts w:hint="eastAsia" w:ascii="宋体" w:hAnsi="宋体" w:eastAsia="宋体" w:cs="宋体"/>
          <w:b/>
          <w:bCs/>
          <w:color w:val="auto"/>
          <w:spacing w:val="6"/>
          <w:sz w:val="24"/>
          <w:szCs w:val="24"/>
          <w:highlight w:val="none"/>
          <w:lang w:eastAsia="zh-CN"/>
        </w:rPr>
        <w:t>胶装</w:t>
      </w:r>
      <w:r>
        <w:rPr>
          <w:rFonts w:hint="eastAsia" w:ascii="宋体" w:hAnsi="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zCs w:val="24"/>
          <w:highlight w:val="none"/>
        </w:rPr>
        <w:t>分别密封</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在封口处加盖</w:t>
      </w:r>
      <w:r>
        <w:rPr>
          <w:rFonts w:hint="eastAsia" w:ascii="宋体" w:hAnsi="宋体" w:eastAsia="宋体" w:cs="宋体"/>
          <w:b/>
          <w:bCs/>
          <w:color w:val="auto"/>
          <w:szCs w:val="24"/>
          <w:highlight w:val="none"/>
          <w:lang w:eastAsia="zh-CN"/>
        </w:rPr>
        <w:t>供应商</w:t>
      </w:r>
      <w:r>
        <w:rPr>
          <w:rFonts w:hint="eastAsia" w:ascii="宋体" w:hAnsi="宋体" w:eastAsia="宋体" w:cs="宋体"/>
          <w:b/>
          <w:bCs/>
          <w:color w:val="auto"/>
          <w:szCs w:val="24"/>
          <w:highlight w:val="none"/>
        </w:rPr>
        <w:t>单位公章及法人章</w:t>
      </w:r>
      <w:r>
        <w:rPr>
          <w:rFonts w:hint="eastAsia" w:ascii="宋体" w:hAnsi="宋体" w:eastAsia="宋体" w:cs="宋体"/>
          <w:color w:val="auto"/>
          <w:szCs w:val="24"/>
          <w:highlight w:val="none"/>
        </w:rPr>
        <w:t>，并在封面明显处注明：</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（1）项目编号、项目名称；</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名称（加盖公章）、地址、电话、传真；</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（3）包封内容（正本、副本、报价一览表、电子文档）；</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（4）注明“于</w:t>
      </w:r>
      <w:r>
        <w:rPr>
          <w:rFonts w:hint="eastAsia" w:ascii="宋体" w:hAnsi="宋体" w:eastAsia="宋体" w:cs="宋体"/>
          <w:color w:val="auto"/>
          <w:szCs w:val="24"/>
          <w:highlight w:val="none"/>
          <w:u w:val="single"/>
        </w:rPr>
        <w:t xml:space="preserve">    （截止时间）    </w:t>
      </w:r>
      <w:r>
        <w:rPr>
          <w:rFonts w:hint="eastAsia" w:ascii="宋体" w:hAnsi="宋体" w:eastAsia="宋体" w:cs="宋体"/>
          <w:color w:val="auto"/>
          <w:szCs w:val="24"/>
          <w:highlight w:val="none"/>
        </w:rPr>
        <w:t>之前不准启封”字样。</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电子文档表面需贴标签：注明项目名称、</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、日期。</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（六）报价文件的递交</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1.递交报价文件的截止时间和地点</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地    点：</w:t>
      </w:r>
      <w:r>
        <w:t>济南市工业南路</w:t>
      </w:r>
      <w:r>
        <w:rPr>
          <w:spacing w:val="-60"/>
        </w:rPr>
        <w:t xml:space="preserve"> </w:t>
      </w:r>
      <w:r>
        <w:t>59</w:t>
      </w:r>
      <w:r>
        <w:rPr>
          <w:spacing w:val="-60"/>
        </w:rPr>
        <w:t xml:space="preserve"> </w:t>
      </w:r>
      <w:r>
        <w:t>号中铁财智中心</w:t>
      </w:r>
      <w:r>
        <w:rPr>
          <w:spacing w:val="-60"/>
        </w:rPr>
        <w:t xml:space="preserve"> </w:t>
      </w:r>
      <w:r>
        <w:t>6</w:t>
      </w:r>
      <w:r>
        <w:rPr>
          <w:spacing w:val="-60"/>
        </w:rPr>
        <w:t xml:space="preserve"> </w:t>
      </w:r>
      <w:r>
        <w:t>号楼</w:t>
      </w:r>
      <w:r>
        <w:rPr>
          <w:spacing w:val="-60"/>
        </w:rPr>
        <w:t xml:space="preserve"> </w:t>
      </w:r>
      <w:r>
        <w:t>15</w:t>
      </w:r>
      <w:r>
        <w:rPr>
          <w:spacing w:val="-60"/>
        </w:rPr>
        <w:t xml:space="preserve"> </w:t>
      </w:r>
      <w:r>
        <w:t>层</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截止时间：</w:t>
      </w:r>
      <w:r>
        <w:rPr>
          <w:rFonts w:hint="eastAsia" w:ascii="宋体" w:hAnsi="宋体" w:eastAsia="宋体" w:cs="宋体"/>
          <w:color w:val="auto"/>
          <w:sz w:val="24"/>
          <w:szCs w:val="24"/>
          <w:highlight w:val="none"/>
          <w:u w:val="none"/>
        </w:rPr>
        <w:t>201</w:t>
      </w:r>
      <w:r>
        <w:rPr>
          <w:rFonts w:hint="eastAsia" w:ascii="宋体" w:hAnsi="宋体" w:eastAsia="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27</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rPr>
        <w:t>时</w:t>
      </w:r>
      <w:r>
        <w:rPr>
          <w:rFonts w:hint="eastAsia" w:ascii="宋体" w:hAnsi="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rPr>
        <w:t>分</w:t>
      </w:r>
      <w:r>
        <w:rPr>
          <w:rFonts w:hint="eastAsia" w:ascii="宋体" w:hAnsi="宋体" w:eastAsia="宋体" w:cs="宋体"/>
          <w:color w:val="auto"/>
          <w:szCs w:val="24"/>
          <w:highlight w:val="none"/>
          <w:u w:val="none"/>
        </w:rPr>
        <w:t>（北京时间）</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代表必须在报价截止时间前将报价文件送达指定地点。如因竞争性磋商文件的修改推迟报价截止日期的，则按采购代理机构通知规定的时间递交。</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3.采购代理机构收到报价文件后，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在签到处进行签到。</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4.电报、电话、传真、电子邮件等形式的报价文件概不接受。</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5.对</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提交的报价文件不予退还。</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（七）迟交的报价文件</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采购代理机构将拒绝接收在报价截止时间后送达的报价文件。</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（八）报价文件的修改、补充和撤回</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在竞争性磋商文件要求提交报价文件的截止时间前，可以补充、修改或者撤回已提交的报价文件，并以书面形式通知采购代理机构。补充、修改的内容作为报价文件的组成部分。任何补充或修改的内容必须由</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的法定代表人或其授权代表签字。经法定代表人或其授权代表正式签署的修改和补充文件组成报价文件的一部分，份数和密封要求同报价文件一致。</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2.报价文件的有效期为公开报价后</w:t>
      </w:r>
      <w:r>
        <w:rPr>
          <w:rFonts w:hint="eastAsia" w:ascii="宋体" w:hAnsi="宋体" w:eastAsia="宋体" w:cs="宋体"/>
          <w:color w:val="auto"/>
          <w:szCs w:val="24"/>
          <w:highlight w:val="none"/>
          <w:u w:val="single"/>
        </w:rPr>
        <w:t>90</w:t>
      </w:r>
      <w:r>
        <w:rPr>
          <w:rFonts w:hint="eastAsia" w:ascii="宋体" w:hAnsi="宋体" w:eastAsia="宋体" w:cs="宋体"/>
          <w:color w:val="auto"/>
          <w:szCs w:val="24"/>
          <w:highlight w:val="none"/>
        </w:rPr>
        <w:t>天（日历日），在有效期内不得撤回。</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（九）报价要求</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本工程报价采用工程量清单报价。供应商应按</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中工程量清单的项目、顺序和数量进行报价，不得随意更改工程量清单的项目、顺序和数量，并在开标当日提供完整的报价。</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本次</w:t>
      </w:r>
      <w:r>
        <w:rPr>
          <w:rFonts w:hint="eastAsia" w:ascii="宋体" w:hAnsi="宋体" w:cs="宋体"/>
          <w:color w:val="auto"/>
          <w:szCs w:val="24"/>
          <w:highlight w:val="none"/>
          <w:lang w:eastAsia="zh-CN"/>
        </w:rPr>
        <w:t>报价</w:t>
      </w:r>
      <w:r>
        <w:rPr>
          <w:rFonts w:hint="eastAsia" w:ascii="宋体" w:hAnsi="宋体" w:eastAsia="宋体" w:cs="宋体"/>
          <w:color w:val="auto"/>
          <w:szCs w:val="24"/>
          <w:highlight w:val="none"/>
        </w:rPr>
        <w:t>为非一次性报价，报价币种为人民币。</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再次报价对总报价进行调整时，单价按相应比例浮动，单价浮动后所采用产品的品牌、质量等级不得变更。否则采购人有权取消</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的成交资格，因此所造成的损失由</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承担。</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报价为</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报价文件</w:t>
      </w:r>
      <w:r>
        <w:rPr>
          <w:rFonts w:hint="eastAsia" w:ascii="宋体" w:hAnsi="宋体" w:eastAsia="宋体" w:cs="宋体"/>
          <w:color w:val="auto"/>
          <w:szCs w:val="24"/>
          <w:highlight w:val="none"/>
        </w:rPr>
        <w:t>中提出的各项支付金额的总和。</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按工程量清单中列出的工程项目填报单价和合价。任何有选择的报价将不予接受，每一项目只允许有一个报价,供应商未填单价或合价的工程项目，在实施后，采购人将不予以支付，并视作该项费用已包括在其它有价款的细目的单价或合价内。</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技术规范要求的费用应包括在报价</w:t>
      </w:r>
      <w:r>
        <w:rPr>
          <w:rFonts w:hint="eastAsia" w:ascii="宋体" w:hAnsi="宋体" w:cs="宋体"/>
          <w:color w:val="auto"/>
          <w:szCs w:val="24"/>
          <w:highlight w:val="none"/>
          <w:lang w:eastAsia="zh-CN"/>
        </w:rPr>
        <w:t>文件</w:t>
      </w:r>
      <w:r>
        <w:rPr>
          <w:rFonts w:hint="eastAsia" w:ascii="宋体" w:hAnsi="宋体" w:eastAsia="宋体" w:cs="宋体"/>
          <w:color w:val="auto"/>
          <w:szCs w:val="24"/>
          <w:highlight w:val="none"/>
        </w:rPr>
        <w:t>中。</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bCs/>
          <w:color w:val="auto"/>
          <w:szCs w:val="24"/>
          <w:highlight w:val="none"/>
        </w:rPr>
        <w:t xml:space="preserve"> 6</w:t>
      </w:r>
      <w:r>
        <w:rPr>
          <w:rFonts w:hint="eastAsia" w:ascii="宋体" w:hAnsi="宋体" w:eastAsia="宋体" w:cs="宋体"/>
          <w:b/>
          <w:bCs/>
          <w:color w:val="auto"/>
          <w:szCs w:val="24"/>
          <w:highlight w:val="none"/>
          <w:lang w:val="en-US" w:eastAsia="zh-CN"/>
        </w:rPr>
        <w:t>.</w:t>
      </w:r>
      <w:r>
        <w:rPr>
          <w:rFonts w:hint="eastAsia" w:ascii="宋体" w:hAnsi="宋体" w:eastAsia="宋体" w:cs="宋体"/>
          <w:b/>
          <w:bCs/>
          <w:color w:val="auto"/>
          <w:szCs w:val="24"/>
          <w:highlight w:val="none"/>
          <w:lang w:eastAsia="zh-CN"/>
        </w:rPr>
        <w:t>供应商</w:t>
      </w:r>
      <w:r>
        <w:rPr>
          <w:rFonts w:hint="eastAsia" w:ascii="宋体" w:hAnsi="宋体" w:eastAsia="宋体" w:cs="宋体"/>
          <w:b/>
          <w:bCs/>
          <w:color w:val="auto"/>
          <w:szCs w:val="24"/>
          <w:highlight w:val="none"/>
        </w:rPr>
        <w:t>所报的总报价为完成该工程项目所有工作内容的相应价格，工程量清单应按</w:t>
      </w:r>
      <w:r>
        <w:rPr>
          <w:rFonts w:hint="eastAsia" w:ascii="宋体" w:hAnsi="宋体" w:cs="宋体"/>
          <w:b/>
          <w:bCs/>
          <w:color w:val="auto"/>
          <w:szCs w:val="24"/>
          <w:highlight w:val="none"/>
          <w:lang w:eastAsia="zh-CN"/>
        </w:rPr>
        <w:t>清单</w:t>
      </w:r>
      <w:r>
        <w:rPr>
          <w:rFonts w:hint="eastAsia" w:ascii="宋体" w:hAnsi="宋体" w:eastAsia="宋体" w:cs="宋体"/>
          <w:b/>
          <w:bCs/>
          <w:color w:val="auto"/>
          <w:szCs w:val="24"/>
          <w:highlight w:val="none"/>
        </w:rPr>
        <w:t>报价。</w:t>
      </w:r>
      <w:r>
        <w:rPr>
          <w:rFonts w:hint="eastAsia" w:ascii="宋体" w:hAnsi="宋体" w:cs="宋体"/>
          <w:b/>
          <w:bCs/>
          <w:color w:val="auto"/>
          <w:szCs w:val="24"/>
          <w:highlight w:val="none"/>
          <w:lang w:eastAsia="zh-CN"/>
        </w:rPr>
        <w:t>清单报价</w:t>
      </w:r>
      <w:r>
        <w:rPr>
          <w:rFonts w:hint="eastAsia" w:ascii="宋体" w:hAnsi="宋体" w:eastAsia="宋体" w:cs="宋体"/>
          <w:b/>
          <w:bCs/>
          <w:color w:val="auto"/>
          <w:szCs w:val="24"/>
          <w:highlight w:val="none"/>
        </w:rPr>
        <w:t>应包括为完成工程量清单项目，每计量单位工程量所需的人工费、材料费、施工机械使用费、管理费、利润</w:t>
      </w:r>
      <w:r>
        <w:rPr>
          <w:rFonts w:hint="eastAsia" w:ascii="宋体" w:hAnsi="宋体" w:eastAsia="宋体" w:cs="宋体"/>
          <w:b/>
          <w:bCs/>
          <w:color w:val="auto"/>
          <w:szCs w:val="24"/>
          <w:highlight w:val="none"/>
          <w:lang w:eastAsia="zh-CN"/>
        </w:rPr>
        <w:t>、税金</w:t>
      </w:r>
      <w:r>
        <w:rPr>
          <w:rFonts w:hint="eastAsia" w:ascii="宋体" w:hAnsi="宋体" w:eastAsia="宋体" w:cs="宋体"/>
          <w:b/>
          <w:bCs/>
          <w:color w:val="auto"/>
          <w:szCs w:val="24"/>
          <w:highlight w:val="none"/>
        </w:rPr>
        <w:t>，并考虑风险费用。（</w:t>
      </w:r>
      <w:r>
        <w:rPr>
          <w:rFonts w:hint="eastAsia" w:ascii="宋体" w:hAnsi="宋体" w:cs="宋体"/>
          <w:b/>
          <w:bCs/>
          <w:color w:val="auto"/>
          <w:szCs w:val="24"/>
          <w:highlight w:val="none"/>
          <w:lang w:eastAsia="zh-CN"/>
        </w:rPr>
        <w:t>成交</w:t>
      </w:r>
      <w:r>
        <w:rPr>
          <w:rFonts w:hint="eastAsia" w:ascii="宋体" w:hAnsi="宋体" w:eastAsia="宋体" w:cs="宋体"/>
          <w:b/>
          <w:bCs/>
          <w:color w:val="auto"/>
          <w:szCs w:val="24"/>
          <w:highlight w:val="none"/>
        </w:rPr>
        <w:t>的</w:t>
      </w:r>
      <w:r>
        <w:rPr>
          <w:rFonts w:hint="eastAsia" w:ascii="宋体" w:hAnsi="宋体" w:cs="宋体"/>
          <w:b/>
          <w:bCs/>
          <w:color w:val="auto"/>
          <w:szCs w:val="24"/>
          <w:highlight w:val="none"/>
          <w:lang w:eastAsia="zh-CN"/>
        </w:rPr>
        <w:t>清单价格</w:t>
      </w:r>
      <w:r>
        <w:rPr>
          <w:rFonts w:hint="eastAsia" w:ascii="宋体" w:hAnsi="宋体" w:eastAsia="宋体" w:cs="宋体"/>
          <w:b/>
          <w:bCs/>
          <w:color w:val="auto"/>
          <w:szCs w:val="24"/>
          <w:highlight w:val="none"/>
        </w:rPr>
        <w:t>在合同期内不得调整，法律法规政策除外）。</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7</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应充分了解工地位置、情况、道路、储存空间、装卸限制及任何其它足以影响报价的情况，任何因忽视或误解工地情况而导致的索赔或工期延长申请将不获批准。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8</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除非采购人通过修改采购文件予以更正，否则，</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必须按工程量清单中的项目和数量以及发包人暂定的材料价格进行报价。</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9</w:t>
      </w: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eastAsia="zh-CN"/>
        </w:rPr>
        <w:t>采购</w:t>
      </w:r>
      <w:r>
        <w:rPr>
          <w:rFonts w:hint="eastAsia" w:ascii="宋体" w:hAnsi="宋体" w:eastAsia="宋体" w:cs="宋体"/>
          <w:color w:val="auto"/>
          <w:szCs w:val="24"/>
          <w:highlight w:val="none"/>
        </w:rPr>
        <w:t>范围内计价项目均应反映在工程量清单项目列表中。</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10</w:t>
      </w: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eastAsia="zh-CN"/>
        </w:rPr>
        <w:t>供应商</w:t>
      </w:r>
      <w:r>
        <w:rPr>
          <w:rFonts w:hint="eastAsia" w:ascii="宋体" w:hAnsi="宋体" w:eastAsia="宋体" w:cs="宋体"/>
          <w:color w:val="auto"/>
          <w:szCs w:val="24"/>
          <w:highlight w:val="none"/>
        </w:rPr>
        <w:t>自行核对工程量清单如有异议，请按前附表规定提出，否则视为认同。</w:t>
      </w:r>
      <w:bookmarkStart w:id="96" w:name="OLE_LINK4"/>
      <w:bookmarkStart w:id="97" w:name="OLE_LINK3"/>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w:t>
      </w:r>
      <w:bookmarkEnd w:id="96"/>
      <w:bookmarkEnd w:id="97"/>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本工程施工不允许分包。</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12</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所使用的主要材料均注明该材料的产地、规格、品牌、等级、单价。如果发现工程中所用材料以次充好或不是规定的规格、品牌和技术指标的材料，特别是在隐蔽工程中一经发现一切后果自负，并且包赔采购人一切损失。</w:t>
      </w:r>
    </w:p>
    <w:p>
      <w:pPr>
        <w:pStyle w:val="50"/>
        <w:pageBreakBefore w:val="0"/>
        <w:kinsoku/>
        <w:wordWrap/>
        <w:topLinePunct w:val="0"/>
        <w:bidi w:val="0"/>
        <w:adjustRightInd w:val="0"/>
        <w:snapToGrid w:val="0"/>
        <w:spacing w:afterAutospacing="0" w:line="360" w:lineRule="auto"/>
        <w:ind w:firstLine="756" w:firstLineChars="3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所有施工使用的材料须达到国家环保及采购人要求。采购人对</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所使用的各种设备、材料的厂家、品牌、价格具有监督、审核、否决权。</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（十）报价错误的修正</w:t>
      </w:r>
    </w:p>
    <w:p>
      <w:pPr>
        <w:pStyle w:val="90"/>
        <w:pageBreakBefore w:val="0"/>
        <w:kinsoku/>
        <w:wordWrap/>
        <w:topLinePunct w:val="0"/>
        <w:bidi w:val="0"/>
        <w:adjustRightInd w:val="0"/>
        <w:snapToGrid w:val="0"/>
        <w:spacing w:afterAutospacing="0" w:line="360" w:lineRule="auto"/>
        <w:ind w:firstLine="756" w:firstLineChars="3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应对填报的工程量清单的计价准确性负责，并应承担由于错误填报所产生的后果，因此提醒</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应认真核对所填报的各细目子项单价，分部分项工程合价以及总报价，避免计算错误,开标后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对报价清单作任何修改均无效。</w:t>
      </w:r>
    </w:p>
    <w:p>
      <w:pPr>
        <w:pStyle w:val="90"/>
        <w:pageBreakBefore w:val="0"/>
        <w:kinsoku/>
        <w:wordWrap/>
        <w:topLinePunct w:val="0"/>
        <w:bidi w:val="0"/>
        <w:adjustRightInd w:val="0"/>
        <w:snapToGrid w:val="0"/>
        <w:spacing w:afterAutospacing="0" w:line="360" w:lineRule="auto"/>
        <w:ind w:firstLine="759" w:firstLineChars="300"/>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2</w:t>
      </w:r>
      <w:r>
        <w:rPr>
          <w:rFonts w:hint="eastAsia" w:ascii="宋体" w:hAnsi="宋体" w:eastAsia="宋体" w:cs="宋体"/>
          <w:b/>
          <w:bCs/>
          <w:color w:val="auto"/>
          <w:szCs w:val="24"/>
          <w:highlight w:val="none"/>
          <w:lang w:val="en-US" w:eastAsia="zh-CN"/>
        </w:rPr>
        <w:t>.</w:t>
      </w:r>
      <w:r>
        <w:rPr>
          <w:rFonts w:hint="eastAsia" w:ascii="宋体" w:hAnsi="宋体" w:eastAsia="宋体" w:cs="宋体"/>
          <w:b/>
          <w:bCs/>
          <w:color w:val="auto"/>
          <w:szCs w:val="24"/>
          <w:highlight w:val="none"/>
          <w:lang w:eastAsia="zh-CN"/>
        </w:rPr>
        <w:t>供应商</w:t>
      </w:r>
      <w:r>
        <w:rPr>
          <w:rFonts w:hint="eastAsia" w:ascii="宋体" w:hAnsi="宋体" w:eastAsia="宋体" w:cs="宋体"/>
          <w:b/>
          <w:bCs/>
          <w:color w:val="auto"/>
          <w:szCs w:val="24"/>
          <w:highlight w:val="none"/>
        </w:rPr>
        <w:t>应按照采购文件的工程量清单原格式逐项填报，不允许擅自修改采购文件工程量清单内容或格式,例如修改细目子项名称、变更子项序号、子项代码或增减工程量的数量,如果发生上述情况经磋商小组评审后按无效报价处理。</w:t>
      </w:r>
    </w:p>
    <w:p>
      <w:pPr>
        <w:pStyle w:val="90"/>
        <w:pageBreakBefore w:val="0"/>
        <w:kinsoku/>
        <w:wordWrap/>
        <w:topLinePunct w:val="0"/>
        <w:bidi w:val="0"/>
        <w:adjustRightInd w:val="0"/>
        <w:snapToGrid w:val="0"/>
        <w:spacing w:afterAutospacing="0" w:line="360" w:lineRule="auto"/>
        <w:ind w:firstLine="759" w:firstLineChars="3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w:t>
      </w:r>
      <w:r>
        <w:rPr>
          <w:rFonts w:hint="eastAsia" w:ascii="宋体" w:hAnsi="宋体" w:eastAsia="宋体" w:cs="宋体"/>
          <w:b/>
          <w:bCs/>
          <w:color w:val="auto"/>
          <w:szCs w:val="24"/>
          <w:highlight w:val="none"/>
          <w:lang w:eastAsia="zh-CN"/>
        </w:rPr>
        <w:t>供应商</w:t>
      </w:r>
      <w:r>
        <w:rPr>
          <w:rFonts w:hint="eastAsia" w:ascii="宋体" w:hAnsi="宋体" w:eastAsia="宋体" w:cs="宋体"/>
          <w:b/>
          <w:bCs/>
          <w:color w:val="auto"/>
          <w:szCs w:val="24"/>
          <w:highlight w:val="none"/>
        </w:rPr>
        <w:t>在开标以前对于原报价修改，必须提供新的详细的完整的计价清单，修改函须符合前述采购文件要求，否则修改无效。</w:t>
      </w:r>
    </w:p>
    <w:p>
      <w:pPr>
        <w:pStyle w:val="90"/>
        <w:pageBreakBefore w:val="0"/>
        <w:kinsoku/>
        <w:wordWrap/>
        <w:topLinePunct w:val="0"/>
        <w:bidi w:val="0"/>
        <w:adjustRightInd w:val="0"/>
        <w:snapToGrid w:val="0"/>
        <w:spacing w:afterAutospacing="0" w:line="360" w:lineRule="auto"/>
        <w:ind w:firstLine="756" w:firstLineChars="3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如果采购文件要求供应商的计价清单采用书面文字和电子版两种形式，则</w:t>
      </w:r>
      <w:r>
        <w:rPr>
          <w:rFonts w:hint="eastAsia" w:ascii="宋体" w:hAnsi="宋体" w:eastAsia="宋体" w:cs="宋体"/>
          <w:color w:val="auto"/>
          <w:szCs w:val="24"/>
          <w:highlight w:val="none"/>
          <w:lang w:eastAsia="zh-CN"/>
        </w:rPr>
        <w:t>报价截止</w:t>
      </w:r>
      <w:r>
        <w:rPr>
          <w:rFonts w:hint="eastAsia" w:ascii="宋体" w:hAnsi="宋体" w:eastAsia="宋体" w:cs="宋体"/>
          <w:color w:val="auto"/>
          <w:szCs w:val="24"/>
          <w:highlight w:val="none"/>
        </w:rPr>
        <w:t>前</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应自行核对以保证两种报价方式表述的内容一致。电子版的计价清单建议采用不可擦写的</w:t>
      </w:r>
      <w:r>
        <w:rPr>
          <w:rFonts w:hint="eastAsia" w:ascii="宋体" w:hAnsi="宋体" w:eastAsia="宋体" w:cs="宋体"/>
          <w:color w:val="auto"/>
          <w:szCs w:val="24"/>
          <w:highlight w:val="none"/>
          <w:lang w:val="en-US" w:eastAsia="zh-CN"/>
        </w:rPr>
        <w:t>U</w:t>
      </w:r>
      <w:r>
        <w:rPr>
          <w:rFonts w:hint="eastAsia" w:ascii="宋体" w:hAnsi="宋体" w:eastAsia="宋体" w:cs="宋体"/>
          <w:color w:val="auto"/>
          <w:szCs w:val="24"/>
          <w:highlight w:val="none"/>
        </w:rPr>
        <w:t>盘。开标后如发现两种方式报价不一致时磋商小组将以书面文字方式表达的为准，每发现一处磋商小组相应扣分。</w:t>
      </w:r>
    </w:p>
    <w:p>
      <w:pPr>
        <w:pStyle w:val="90"/>
        <w:pageBreakBefore w:val="0"/>
        <w:kinsoku/>
        <w:wordWrap/>
        <w:topLinePunct w:val="0"/>
        <w:bidi w:val="0"/>
        <w:adjustRightInd w:val="0"/>
        <w:snapToGrid w:val="0"/>
        <w:spacing w:afterAutospacing="0" w:line="360" w:lineRule="auto"/>
        <w:ind w:firstLine="756" w:firstLineChars="3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磋商小组应首先对于</w:t>
      </w:r>
      <w:r>
        <w:rPr>
          <w:rFonts w:hint="eastAsia" w:ascii="宋体" w:hAnsi="宋体" w:eastAsia="宋体" w:cs="宋体"/>
          <w:color w:val="auto"/>
          <w:szCs w:val="24"/>
          <w:highlight w:val="none"/>
          <w:lang w:eastAsia="zh-CN"/>
        </w:rPr>
        <w:t>报价文件</w:t>
      </w:r>
      <w:r>
        <w:rPr>
          <w:rFonts w:hint="eastAsia" w:ascii="宋体" w:hAnsi="宋体" w:eastAsia="宋体" w:cs="宋体"/>
          <w:color w:val="auto"/>
          <w:szCs w:val="24"/>
          <w:highlight w:val="none"/>
        </w:rPr>
        <w:t>中工程量计价清单进行算术性校核，如发现错误，采用以下处理办法：</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5.1 磋商小组评审供应商“工程报价”以</w:t>
      </w:r>
      <w:r>
        <w:rPr>
          <w:rFonts w:hint="eastAsia" w:ascii="宋体" w:hAnsi="宋体" w:eastAsia="宋体" w:cs="宋体"/>
          <w:b/>
          <w:bCs/>
          <w:color w:val="auto"/>
          <w:szCs w:val="24"/>
          <w:highlight w:val="none"/>
          <w:lang w:eastAsia="zh-CN"/>
        </w:rPr>
        <w:t>供应商报价一览表</w:t>
      </w:r>
      <w:r>
        <w:rPr>
          <w:rFonts w:hint="eastAsia" w:ascii="宋体" w:hAnsi="宋体" w:eastAsia="宋体" w:cs="宋体"/>
          <w:b/>
          <w:bCs/>
          <w:color w:val="auto"/>
          <w:szCs w:val="24"/>
          <w:highlight w:val="none"/>
        </w:rPr>
        <w:t>所报总价为准，若“</w:t>
      </w:r>
      <w:r>
        <w:rPr>
          <w:rFonts w:hint="eastAsia" w:ascii="宋体" w:hAnsi="宋体" w:eastAsia="宋体" w:cs="宋体"/>
          <w:b/>
          <w:bCs/>
          <w:color w:val="auto"/>
          <w:szCs w:val="24"/>
          <w:highlight w:val="none"/>
          <w:lang w:eastAsia="zh-CN"/>
        </w:rPr>
        <w:t>报价一览表</w:t>
      </w:r>
      <w:r>
        <w:rPr>
          <w:rFonts w:hint="eastAsia" w:ascii="宋体" w:hAnsi="宋体" w:eastAsia="宋体" w:cs="宋体"/>
          <w:b/>
          <w:bCs/>
          <w:color w:val="auto"/>
          <w:szCs w:val="24"/>
          <w:highlight w:val="none"/>
        </w:rPr>
        <w:t>所报总价”与“</w:t>
      </w:r>
      <w:r>
        <w:rPr>
          <w:rFonts w:hint="eastAsia" w:ascii="宋体" w:hAnsi="宋体" w:eastAsia="宋体" w:cs="宋体"/>
          <w:b/>
          <w:bCs/>
          <w:color w:val="auto"/>
          <w:szCs w:val="24"/>
          <w:highlight w:val="none"/>
          <w:lang w:eastAsia="zh-CN"/>
        </w:rPr>
        <w:t>供应商</w:t>
      </w:r>
      <w:r>
        <w:rPr>
          <w:rFonts w:hint="eastAsia" w:ascii="宋体" w:hAnsi="宋体" w:eastAsia="宋体" w:cs="宋体"/>
          <w:b/>
          <w:bCs/>
          <w:color w:val="auto"/>
          <w:szCs w:val="24"/>
          <w:highlight w:val="none"/>
        </w:rPr>
        <w:t>组成报价汇总表”不符，以</w:t>
      </w:r>
      <w:r>
        <w:rPr>
          <w:rFonts w:hint="eastAsia" w:ascii="宋体" w:hAnsi="宋体" w:eastAsia="宋体" w:cs="宋体"/>
          <w:b/>
          <w:bCs/>
          <w:color w:val="auto"/>
          <w:szCs w:val="24"/>
          <w:highlight w:val="none"/>
          <w:lang w:eastAsia="zh-CN"/>
        </w:rPr>
        <w:t>报价一览表</w:t>
      </w:r>
      <w:r>
        <w:rPr>
          <w:rFonts w:hint="eastAsia" w:ascii="宋体" w:hAnsi="宋体" w:eastAsia="宋体" w:cs="宋体"/>
          <w:b/>
          <w:bCs/>
          <w:color w:val="auto"/>
          <w:szCs w:val="24"/>
          <w:highlight w:val="none"/>
        </w:rPr>
        <w:t>为准，按</w:t>
      </w:r>
      <w:r>
        <w:rPr>
          <w:rFonts w:hint="eastAsia" w:ascii="宋体" w:hAnsi="宋体" w:eastAsia="宋体" w:cs="宋体"/>
          <w:b/>
          <w:bCs/>
          <w:color w:val="auto"/>
          <w:szCs w:val="24"/>
          <w:highlight w:val="none"/>
          <w:lang w:eastAsia="zh-CN"/>
        </w:rPr>
        <w:t>报价一览表</w:t>
      </w:r>
      <w:r>
        <w:rPr>
          <w:rFonts w:hint="eastAsia" w:ascii="宋体" w:hAnsi="宋体" w:eastAsia="宋体" w:cs="宋体"/>
          <w:b/>
          <w:bCs/>
          <w:color w:val="auto"/>
          <w:szCs w:val="24"/>
          <w:highlight w:val="none"/>
        </w:rPr>
        <w:t>所报总价与</w:t>
      </w:r>
      <w:r>
        <w:rPr>
          <w:rFonts w:hint="eastAsia" w:ascii="宋体" w:hAnsi="宋体" w:eastAsia="宋体" w:cs="宋体"/>
          <w:b/>
          <w:bCs/>
          <w:color w:val="auto"/>
          <w:szCs w:val="24"/>
          <w:highlight w:val="none"/>
          <w:lang w:eastAsia="zh-CN"/>
        </w:rPr>
        <w:t>供应商</w:t>
      </w:r>
      <w:r>
        <w:rPr>
          <w:rFonts w:hint="eastAsia" w:ascii="宋体" w:hAnsi="宋体" w:eastAsia="宋体" w:cs="宋体"/>
          <w:b/>
          <w:bCs/>
          <w:color w:val="auto"/>
          <w:szCs w:val="24"/>
          <w:highlight w:val="none"/>
        </w:rPr>
        <w:t>组成报价汇总表的分表之差的比例调整各“分项单价”以及其下的各项细目单价。（磋商小组认为恶意造成“</w:t>
      </w:r>
      <w:r>
        <w:rPr>
          <w:rFonts w:hint="eastAsia" w:ascii="宋体" w:hAnsi="宋体" w:eastAsia="宋体" w:cs="宋体"/>
          <w:b/>
          <w:bCs/>
          <w:color w:val="auto"/>
          <w:szCs w:val="24"/>
          <w:highlight w:val="none"/>
          <w:lang w:eastAsia="zh-CN"/>
        </w:rPr>
        <w:t>供应商</w:t>
      </w:r>
      <w:r>
        <w:rPr>
          <w:rFonts w:hint="eastAsia" w:ascii="宋体" w:hAnsi="宋体" w:eastAsia="宋体" w:cs="宋体"/>
          <w:b/>
          <w:bCs/>
          <w:color w:val="auto"/>
          <w:szCs w:val="24"/>
          <w:highlight w:val="none"/>
        </w:rPr>
        <w:t>组成报价汇总表”与“</w:t>
      </w:r>
      <w:r>
        <w:rPr>
          <w:rFonts w:hint="eastAsia" w:ascii="宋体" w:hAnsi="宋体" w:eastAsia="宋体" w:cs="宋体"/>
          <w:b/>
          <w:bCs/>
          <w:color w:val="auto"/>
          <w:szCs w:val="24"/>
          <w:highlight w:val="none"/>
          <w:lang w:eastAsia="zh-CN"/>
        </w:rPr>
        <w:t>报价一览表</w:t>
      </w:r>
      <w:r>
        <w:rPr>
          <w:rFonts w:hint="eastAsia" w:ascii="宋体" w:hAnsi="宋体" w:eastAsia="宋体" w:cs="宋体"/>
          <w:b/>
          <w:bCs/>
          <w:color w:val="auto"/>
          <w:szCs w:val="24"/>
          <w:highlight w:val="none"/>
        </w:rPr>
        <w:t>所报总价”不一致的，报价按0分处理）。</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5.2 在签定合同前和执行合同中，当发现</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“报价</w:t>
      </w:r>
      <w:r>
        <w:rPr>
          <w:rFonts w:hint="eastAsia" w:ascii="宋体" w:hAnsi="宋体" w:eastAsia="宋体" w:cs="宋体"/>
          <w:color w:val="auto"/>
          <w:szCs w:val="24"/>
          <w:highlight w:val="none"/>
          <w:lang w:eastAsia="zh-CN"/>
        </w:rPr>
        <w:t>文件</w:t>
      </w:r>
      <w:r>
        <w:rPr>
          <w:rFonts w:hint="eastAsia" w:ascii="宋体" w:hAnsi="宋体" w:eastAsia="宋体" w:cs="宋体"/>
          <w:color w:val="auto"/>
          <w:szCs w:val="24"/>
          <w:highlight w:val="none"/>
        </w:rPr>
        <w:t>”中</w:t>
      </w:r>
      <w:r>
        <w:rPr>
          <w:rFonts w:hint="eastAsia" w:ascii="宋体" w:hAnsi="宋体" w:eastAsia="宋体" w:cs="宋体"/>
          <w:color w:val="auto"/>
          <w:szCs w:val="24"/>
          <w:highlight w:val="none"/>
          <w:lang w:eastAsia="zh-CN"/>
        </w:rPr>
        <w:t>报价一览表</w:t>
      </w:r>
      <w:r>
        <w:rPr>
          <w:rFonts w:hint="eastAsia" w:ascii="宋体" w:hAnsi="宋体" w:eastAsia="宋体" w:cs="宋体"/>
          <w:color w:val="auto"/>
          <w:szCs w:val="24"/>
          <w:highlight w:val="none"/>
        </w:rPr>
        <w:t>总价与组成报价汇总表的分表不相符的，以</w:t>
      </w:r>
      <w:r>
        <w:rPr>
          <w:rFonts w:hint="eastAsia" w:ascii="宋体" w:hAnsi="宋体" w:eastAsia="宋体" w:cs="宋体"/>
          <w:color w:val="auto"/>
          <w:szCs w:val="24"/>
          <w:highlight w:val="none"/>
          <w:lang w:eastAsia="zh-CN"/>
        </w:rPr>
        <w:t>报价一览表</w:t>
      </w:r>
      <w:r>
        <w:rPr>
          <w:rFonts w:hint="eastAsia" w:ascii="宋体" w:hAnsi="宋体" w:eastAsia="宋体" w:cs="宋体"/>
          <w:color w:val="auto"/>
          <w:szCs w:val="24"/>
          <w:highlight w:val="none"/>
        </w:rPr>
        <w:t>为准，按“</w:t>
      </w:r>
      <w:r>
        <w:rPr>
          <w:rFonts w:hint="eastAsia" w:ascii="宋体" w:hAnsi="宋体" w:eastAsia="宋体" w:cs="宋体"/>
          <w:color w:val="auto"/>
          <w:szCs w:val="24"/>
          <w:highlight w:val="none"/>
          <w:lang w:eastAsia="zh-CN"/>
        </w:rPr>
        <w:t>报价一览表</w:t>
      </w:r>
      <w:r>
        <w:rPr>
          <w:rFonts w:hint="eastAsia" w:ascii="宋体" w:hAnsi="宋体" w:eastAsia="宋体" w:cs="宋体"/>
          <w:color w:val="auto"/>
          <w:szCs w:val="24"/>
          <w:highlight w:val="none"/>
        </w:rPr>
        <w:t>所报总价”与“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组成报价汇总表的分表”之差的比例相应调整每一项工程细目的</w:t>
      </w:r>
      <w:r>
        <w:rPr>
          <w:rFonts w:hint="eastAsia" w:ascii="宋体" w:hAnsi="宋体" w:eastAsia="宋体" w:cs="宋体"/>
          <w:color w:val="auto"/>
          <w:szCs w:val="24"/>
          <w:highlight w:val="none"/>
          <w:lang w:eastAsia="zh-CN"/>
        </w:rPr>
        <w:t>全费用</w:t>
      </w:r>
      <w:r>
        <w:rPr>
          <w:rFonts w:hint="eastAsia" w:ascii="宋体" w:hAnsi="宋体" w:eastAsia="宋体" w:cs="宋体"/>
          <w:color w:val="auto"/>
          <w:szCs w:val="24"/>
          <w:highlight w:val="none"/>
        </w:rPr>
        <w:t>综合单价。</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5.3 如果</w:t>
      </w:r>
      <w:r>
        <w:rPr>
          <w:rFonts w:hint="eastAsia" w:ascii="宋体" w:hAnsi="宋体" w:eastAsia="宋体" w:cs="宋体"/>
          <w:color w:val="auto"/>
          <w:szCs w:val="24"/>
          <w:highlight w:val="none"/>
          <w:lang w:eastAsia="zh-CN"/>
        </w:rPr>
        <w:t>报价一览表</w:t>
      </w:r>
      <w:r>
        <w:rPr>
          <w:rFonts w:hint="eastAsia" w:ascii="宋体" w:hAnsi="宋体" w:eastAsia="宋体" w:cs="宋体"/>
          <w:color w:val="auto"/>
          <w:szCs w:val="24"/>
          <w:highlight w:val="none"/>
        </w:rPr>
        <w:t>用数字表示的数额与用文字表示的数额不一致时，以文字数额为准。当单价与数量的乘积与合价不一致时，以单价为准，除非磋商小组认为单价有明显的小数点错误，此时应以标出的合价为准，并修改单价。如果单项工程中合价之和与合计价不一致，则应以合价为准修改合计价；如果各单项合计价之和与总价不一致，则应以单项合计价为准修改总价。</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5.4 如果某细目子项未填单价或合价，则视为供应商已把该子项费用分摊到其他细目中。</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按上述修改错误的方法，调整</w:t>
      </w:r>
      <w:r>
        <w:rPr>
          <w:rFonts w:hint="eastAsia" w:ascii="宋体" w:hAnsi="宋体" w:eastAsia="宋体" w:cs="宋体"/>
          <w:color w:val="auto"/>
          <w:szCs w:val="24"/>
          <w:highlight w:val="none"/>
          <w:lang w:eastAsia="zh-CN"/>
        </w:rPr>
        <w:t>报价文件</w:t>
      </w:r>
      <w:r>
        <w:rPr>
          <w:rFonts w:hint="eastAsia" w:ascii="宋体" w:hAnsi="宋体" w:eastAsia="宋体" w:cs="宋体"/>
          <w:color w:val="auto"/>
          <w:szCs w:val="24"/>
          <w:highlight w:val="none"/>
        </w:rPr>
        <w:t>中的报价。经</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确认同意后，调整后的报价对</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起约束作用。如果</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不接受修正后的报价则其</w:t>
      </w:r>
      <w:r>
        <w:rPr>
          <w:rFonts w:hint="eastAsia" w:ascii="宋体" w:hAnsi="宋体" w:eastAsia="宋体" w:cs="宋体"/>
          <w:color w:val="auto"/>
          <w:szCs w:val="24"/>
          <w:highlight w:val="none"/>
          <w:lang w:eastAsia="zh-CN"/>
        </w:rPr>
        <w:t>报价文件</w:t>
      </w:r>
      <w:r>
        <w:rPr>
          <w:rFonts w:hint="eastAsia" w:ascii="宋体" w:hAnsi="宋体" w:eastAsia="宋体" w:cs="宋体"/>
          <w:color w:val="auto"/>
          <w:szCs w:val="24"/>
          <w:highlight w:val="none"/>
        </w:rPr>
        <w:t>将有可能被拒绝。</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磋商小组对于出现上述</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填报错误的计价清单，在评审时将予以适当扣分。一般扣分可以根据以下原则确定：</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6.1</w:t>
      </w:r>
      <w:r>
        <w:rPr>
          <w:rFonts w:hint="eastAsia" w:ascii="宋体" w:hAnsi="宋体" w:eastAsia="宋体" w:cs="宋体"/>
          <w:color w:val="auto"/>
          <w:szCs w:val="24"/>
          <w:highlight w:val="none"/>
        </w:rPr>
        <w:t>报价清单中计价错误的数量及性质</w:t>
      </w:r>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6.2</w:t>
      </w:r>
      <w:r>
        <w:rPr>
          <w:rFonts w:hint="eastAsia" w:ascii="宋体" w:hAnsi="宋体" w:eastAsia="宋体" w:cs="宋体"/>
          <w:color w:val="auto"/>
          <w:szCs w:val="24"/>
          <w:highlight w:val="none"/>
        </w:rPr>
        <w:t>报价错误对合同总价格影响的程度</w:t>
      </w:r>
    </w:p>
    <w:p>
      <w:pPr>
        <w:pStyle w:val="76"/>
        <w:pageBreakBefore w:val="0"/>
        <w:kinsoku/>
        <w:wordWrap/>
        <w:topLinePunct w:val="0"/>
        <w:bidi w:val="0"/>
        <w:adjustRightInd w:val="0"/>
        <w:snapToGrid w:val="0"/>
        <w:spacing w:afterAutospacing="0" w:line="360" w:lineRule="auto"/>
        <w:ind w:firstLine="506" w:firstLineChars="200"/>
        <w:jc w:val="both"/>
        <w:textAlignment w:val="auto"/>
        <w:outlineLvl w:val="1"/>
        <w:rPr>
          <w:rFonts w:hint="eastAsia" w:ascii="宋体" w:hAnsi="宋体" w:eastAsia="宋体" w:cs="宋体"/>
          <w:b/>
          <w:color w:val="auto"/>
          <w:sz w:val="24"/>
          <w:szCs w:val="24"/>
          <w:highlight w:val="none"/>
          <w:lang w:eastAsia="zh-CN"/>
        </w:rPr>
      </w:pPr>
      <w:bookmarkStart w:id="98" w:name="_Toc19085"/>
      <w:bookmarkStart w:id="99" w:name="_Toc13892"/>
      <w:bookmarkStart w:id="100" w:name="_Toc20243"/>
      <w:bookmarkStart w:id="101" w:name="_Toc8668"/>
      <w:bookmarkStart w:id="102" w:name="_Toc23361"/>
      <w:bookmarkStart w:id="103" w:name="_Toc15083"/>
      <w:bookmarkStart w:id="104" w:name="_Toc30745"/>
      <w:bookmarkStart w:id="105" w:name="_Toc31104"/>
      <w:bookmarkStart w:id="106" w:name="_Toc4661"/>
      <w:bookmarkStart w:id="107" w:name="_Toc183264288"/>
      <w:bookmarkStart w:id="108" w:name="_Toc12093"/>
      <w:bookmarkStart w:id="109" w:name="_Toc2262"/>
      <w:bookmarkStart w:id="110" w:name="_Toc19558"/>
      <w:r>
        <w:rPr>
          <w:rFonts w:hint="eastAsia" w:ascii="宋体" w:hAnsi="宋体" w:eastAsia="宋体" w:cs="宋体"/>
          <w:b/>
          <w:color w:val="auto"/>
          <w:sz w:val="24"/>
          <w:szCs w:val="24"/>
          <w:highlight w:val="none"/>
        </w:rPr>
        <w:t>六、合格的</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宋体" w:hAnsi="宋体" w:eastAsia="宋体" w:cs="宋体"/>
          <w:b/>
          <w:color w:val="auto"/>
          <w:sz w:val="24"/>
          <w:szCs w:val="24"/>
          <w:highlight w:val="none"/>
          <w:lang w:eastAsia="zh-CN"/>
        </w:rPr>
        <w:t>供应商</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rPr>
      </w:pPr>
      <w:bookmarkStart w:id="111" w:name="_Toc16987"/>
      <w:bookmarkStart w:id="112" w:name="_Toc22337"/>
      <w:bookmarkStart w:id="113" w:name="_Toc10689"/>
      <w:bookmarkStart w:id="114" w:name="_Toc2026"/>
      <w:bookmarkStart w:id="115" w:name="_Toc24779"/>
      <w:bookmarkStart w:id="116" w:name="_Toc24825"/>
      <w:bookmarkStart w:id="117" w:name="_Toc22132"/>
      <w:bookmarkStart w:id="118" w:name="_Toc15681"/>
      <w:bookmarkStart w:id="119" w:name="_Toc21433"/>
      <w:bookmarkStart w:id="120" w:name="_Toc183264289"/>
      <w:bookmarkStart w:id="121" w:name="_Toc9504"/>
      <w:bookmarkStart w:id="122" w:name="_Toc20204"/>
      <w:bookmarkStart w:id="123" w:name="_Toc1978"/>
      <w:r>
        <w:rPr>
          <w:rFonts w:hint="eastAsia" w:ascii="宋体" w:hAnsi="宋体" w:eastAsia="宋体" w:cs="宋体"/>
          <w:color w:val="auto"/>
          <w:sz w:val="24"/>
          <w:szCs w:val="24"/>
          <w:highlight w:val="none"/>
        </w:rPr>
        <w:t xml:space="preserve">     详细要求见前附表第</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w:t>
      </w:r>
    </w:p>
    <w:p>
      <w:pPr>
        <w:pStyle w:val="76"/>
        <w:pageBreakBefore w:val="0"/>
        <w:kinsoku/>
        <w:wordWrap/>
        <w:topLinePunct w:val="0"/>
        <w:bidi w:val="0"/>
        <w:adjustRightInd w:val="0"/>
        <w:snapToGrid w:val="0"/>
        <w:spacing w:afterAutospacing="0" w:line="360" w:lineRule="auto"/>
        <w:ind w:firstLine="506" w:firstLineChars="200"/>
        <w:jc w:val="both"/>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eastAsia="zh-CN"/>
        </w:rPr>
        <w:t>报价</w:t>
      </w:r>
      <w:r>
        <w:rPr>
          <w:rFonts w:hint="eastAsia" w:ascii="宋体" w:hAnsi="宋体" w:eastAsia="宋体" w:cs="宋体"/>
          <w:b/>
          <w:color w:val="auto"/>
          <w:sz w:val="24"/>
          <w:szCs w:val="24"/>
          <w:highlight w:val="none"/>
        </w:rPr>
        <w:t>有效期</w:t>
      </w:r>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自递交</w:t>
      </w:r>
      <w:r>
        <w:rPr>
          <w:rFonts w:hint="eastAsia" w:ascii="宋体" w:hAnsi="宋体" w:eastAsia="宋体" w:cs="宋体"/>
          <w:color w:val="auto"/>
          <w:szCs w:val="24"/>
          <w:highlight w:val="none"/>
          <w:lang w:eastAsia="zh-CN"/>
        </w:rPr>
        <w:t>报价文件</w:t>
      </w:r>
      <w:r>
        <w:rPr>
          <w:rFonts w:hint="eastAsia" w:ascii="宋体" w:hAnsi="宋体" w:eastAsia="宋体" w:cs="宋体"/>
          <w:color w:val="auto"/>
          <w:szCs w:val="24"/>
          <w:highlight w:val="none"/>
        </w:rPr>
        <w:t>截止之日起90日历天</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特殊情况下，在磋商有效期满之前，采购代理机构可以以书面形式要求</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同意延长磋商有效期。</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可以书面形式拒绝或接受上述要求。拒绝延长磋商有效期的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有权收回</w:t>
      </w:r>
      <w:r>
        <w:rPr>
          <w:rFonts w:hint="eastAsia" w:ascii="宋体" w:hAnsi="宋体" w:cs="宋体"/>
          <w:color w:val="auto"/>
          <w:szCs w:val="24"/>
          <w:highlight w:val="none"/>
          <w:lang w:eastAsia="zh-CN"/>
        </w:rPr>
        <w:t>磋商</w:t>
      </w:r>
      <w:r>
        <w:rPr>
          <w:rFonts w:hint="eastAsia" w:ascii="宋体" w:hAnsi="宋体" w:eastAsia="宋体" w:cs="宋体"/>
          <w:color w:val="auto"/>
          <w:szCs w:val="24"/>
          <w:highlight w:val="none"/>
        </w:rPr>
        <w:t>保证金；同意延长磋商有效期的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应当相应延长其</w:t>
      </w:r>
      <w:r>
        <w:rPr>
          <w:rFonts w:hint="eastAsia" w:ascii="宋体" w:hAnsi="宋体" w:cs="宋体"/>
          <w:color w:val="auto"/>
          <w:szCs w:val="24"/>
          <w:highlight w:val="none"/>
          <w:lang w:eastAsia="zh-CN"/>
        </w:rPr>
        <w:t>磋商</w:t>
      </w:r>
      <w:r>
        <w:rPr>
          <w:rFonts w:hint="eastAsia" w:ascii="宋体" w:hAnsi="宋体" w:eastAsia="宋体" w:cs="宋体"/>
          <w:color w:val="auto"/>
          <w:szCs w:val="24"/>
          <w:highlight w:val="none"/>
        </w:rPr>
        <w:t>保证金的有效期，但不得修改报价文件的实质性内容。</w:t>
      </w:r>
    </w:p>
    <w:p>
      <w:pPr>
        <w:pageBreakBefore w:val="0"/>
        <w:kinsoku/>
        <w:wordWrap/>
        <w:topLinePunct w:val="0"/>
        <w:bidi w:val="0"/>
        <w:adjustRightInd w:val="0"/>
        <w:snapToGrid w:val="0"/>
        <w:spacing w:afterAutospacing="0" w:line="360" w:lineRule="auto"/>
        <w:ind w:firstLine="472" w:firstLineChars="196"/>
        <w:textAlignment w:val="auto"/>
        <w:outlineLvl w:val="1"/>
        <w:rPr>
          <w:rFonts w:hint="eastAsia" w:ascii="宋体" w:hAnsi="宋体" w:eastAsia="宋体" w:cs="宋体"/>
          <w:b/>
          <w:color w:val="auto"/>
          <w:sz w:val="24"/>
          <w:szCs w:val="24"/>
          <w:highlight w:val="none"/>
        </w:rPr>
      </w:pPr>
      <w:bookmarkStart w:id="124" w:name="_Toc6148"/>
      <w:bookmarkStart w:id="125" w:name="_Toc12634"/>
      <w:bookmarkStart w:id="126" w:name="_Toc20297"/>
      <w:bookmarkStart w:id="127" w:name="_Toc27250"/>
      <w:bookmarkStart w:id="128" w:name="_Toc11065"/>
      <w:bookmarkStart w:id="129" w:name="_Toc18476"/>
      <w:bookmarkStart w:id="130" w:name="_Toc20223"/>
      <w:bookmarkStart w:id="131" w:name="_Toc18834"/>
      <w:bookmarkStart w:id="132" w:name="_Toc12711"/>
      <w:bookmarkStart w:id="133" w:name="_Toc27708"/>
      <w:bookmarkStart w:id="134" w:name="_Toc183264290"/>
      <w:r>
        <w:rPr>
          <w:rFonts w:hint="eastAsia" w:ascii="宋体" w:hAnsi="宋体" w:eastAsia="宋体" w:cs="宋体"/>
          <w:b/>
          <w:color w:val="auto"/>
          <w:sz w:val="24"/>
          <w:szCs w:val="24"/>
          <w:highlight w:val="none"/>
        </w:rPr>
        <w:t>八、磋商费用</w:t>
      </w:r>
      <w:bookmarkEnd w:id="124"/>
      <w:bookmarkEnd w:id="125"/>
      <w:bookmarkEnd w:id="126"/>
      <w:bookmarkEnd w:id="127"/>
      <w:bookmarkEnd w:id="128"/>
      <w:bookmarkEnd w:id="129"/>
      <w:bookmarkEnd w:id="130"/>
      <w:bookmarkEnd w:id="131"/>
      <w:bookmarkEnd w:id="132"/>
      <w:bookmarkEnd w:id="133"/>
    </w:p>
    <w:bookmarkEnd w:id="134"/>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1.无论磋商结果如何，</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自行承担自己所有与参加磋商活动有关的全部费用。</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2.成交服务费</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签订合同前，由</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向代理机构交纳成交服务费。</w:t>
      </w:r>
    </w:p>
    <w:p>
      <w:pPr>
        <w:pStyle w:val="50"/>
        <w:pageBreakBefore w:val="0"/>
        <w:kinsoku/>
        <w:wordWrap/>
        <w:topLinePunct w:val="0"/>
        <w:bidi w:val="0"/>
        <w:adjustRightInd w:val="0"/>
        <w:snapToGrid w:val="0"/>
        <w:spacing w:afterAutospacing="0" w:line="360" w:lineRule="auto"/>
        <w:ind w:firstLine="504"/>
        <w:jc w:val="both"/>
        <w:textAlignment w:val="auto"/>
        <w:rPr>
          <w:rFonts w:hint="eastAsia" w:ascii="宋体" w:hAnsi="宋体" w:eastAsia="宋体" w:cs="宋体"/>
          <w:b/>
          <w:bCs/>
          <w:color w:val="auto"/>
          <w:szCs w:val="24"/>
          <w:highlight w:val="none"/>
        </w:rPr>
      </w:pPr>
      <w:bookmarkStart w:id="135" w:name="_Toc23457"/>
      <w:r>
        <w:rPr>
          <w:rFonts w:hint="eastAsia" w:ascii="宋体" w:hAnsi="宋体" w:eastAsia="宋体" w:cs="宋体"/>
          <w:color w:val="auto"/>
          <w:szCs w:val="24"/>
          <w:highlight w:val="none"/>
        </w:rPr>
        <w:t>3.律师见证费：</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在签订合同前按中标金额的1‰向律师事务所交纳律师见证费，不足500元的按500元收取。</w:t>
      </w:r>
    </w:p>
    <w:bookmarkEnd w:id="135"/>
    <w:p>
      <w:pPr>
        <w:pStyle w:val="76"/>
        <w:pageBreakBefore w:val="0"/>
        <w:kinsoku/>
        <w:wordWrap/>
        <w:topLinePunct w:val="0"/>
        <w:bidi w:val="0"/>
        <w:adjustRightInd w:val="0"/>
        <w:snapToGrid w:val="0"/>
        <w:spacing w:afterAutospacing="0" w:line="360" w:lineRule="auto"/>
        <w:ind w:firstLine="506" w:firstLineChars="200"/>
        <w:jc w:val="both"/>
        <w:textAlignment w:val="auto"/>
        <w:outlineLvl w:val="1"/>
        <w:rPr>
          <w:rFonts w:hint="eastAsia" w:ascii="宋体" w:hAnsi="宋体" w:eastAsia="宋体" w:cs="宋体"/>
          <w:b/>
          <w:color w:val="auto"/>
          <w:sz w:val="24"/>
          <w:szCs w:val="24"/>
          <w:highlight w:val="none"/>
        </w:rPr>
      </w:pPr>
      <w:bookmarkStart w:id="136" w:name="_Toc183264292"/>
      <w:bookmarkStart w:id="137" w:name="_Toc1306"/>
      <w:bookmarkStart w:id="138" w:name="_Toc17369"/>
      <w:bookmarkStart w:id="139" w:name="_Toc15632"/>
      <w:bookmarkStart w:id="140" w:name="_Toc22771"/>
      <w:bookmarkStart w:id="141" w:name="_Toc4983"/>
      <w:bookmarkStart w:id="142" w:name="_Toc15876"/>
      <w:bookmarkStart w:id="143" w:name="_Toc8951"/>
      <w:bookmarkStart w:id="144" w:name="_Toc26475"/>
      <w:bookmarkStart w:id="145" w:name="_Toc4325"/>
      <w:bookmarkStart w:id="146" w:name="_Toc6197"/>
      <w:bookmarkStart w:id="147" w:name="_Toc28089"/>
      <w:bookmarkStart w:id="148" w:name="_Toc8414"/>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、无效</w:t>
      </w:r>
      <w:bookmarkEnd w:id="136"/>
      <w:r>
        <w:rPr>
          <w:rFonts w:hint="eastAsia" w:ascii="宋体" w:hAnsi="宋体" w:eastAsia="宋体" w:cs="宋体"/>
          <w:b/>
          <w:color w:val="auto"/>
          <w:sz w:val="24"/>
          <w:szCs w:val="24"/>
          <w:highlight w:val="none"/>
        </w:rPr>
        <w:t>报价</w:t>
      </w:r>
      <w:bookmarkEnd w:id="137"/>
      <w:bookmarkEnd w:id="138"/>
      <w:bookmarkEnd w:id="139"/>
      <w:bookmarkEnd w:id="140"/>
      <w:bookmarkEnd w:id="141"/>
      <w:bookmarkEnd w:id="142"/>
      <w:bookmarkEnd w:id="143"/>
      <w:bookmarkEnd w:id="144"/>
      <w:bookmarkEnd w:id="145"/>
      <w:bookmarkEnd w:id="146"/>
      <w:bookmarkEnd w:id="147"/>
      <w:bookmarkEnd w:id="148"/>
    </w:p>
    <w:p>
      <w:pPr>
        <w:pStyle w:val="9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有下列情况之一，其报价将被视为无效：</w:t>
      </w:r>
    </w:p>
    <w:p>
      <w:pPr>
        <w:pStyle w:val="5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报价文件</w:t>
      </w:r>
      <w:r>
        <w:rPr>
          <w:rFonts w:hint="eastAsia" w:ascii="宋体" w:hAnsi="宋体" w:eastAsia="宋体" w:cs="宋体"/>
          <w:color w:val="auto"/>
          <w:szCs w:val="24"/>
          <w:highlight w:val="none"/>
        </w:rPr>
        <w:t>未按采购文件的规定签署或密封的。</w:t>
      </w:r>
    </w:p>
    <w:p>
      <w:pPr>
        <w:pStyle w:val="50"/>
        <w:pageBreakBefore w:val="0"/>
        <w:kinsoku/>
        <w:wordWrap/>
        <w:topLinePunct w:val="0"/>
        <w:bidi w:val="0"/>
        <w:adjustRightInd w:val="0"/>
        <w:snapToGrid w:val="0"/>
        <w:spacing w:afterAutospacing="0" w:line="360" w:lineRule="auto"/>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报价一览表</w:t>
      </w:r>
      <w:r>
        <w:rPr>
          <w:rFonts w:hint="eastAsia" w:ascii="宋体" w:hAnsi="宋体" w:eastAsia="宋体" w:cs="宋体"/>
          <w:color w:val="auto"/>
          <w:szCs w:val="24"/>
          <w:highlight w:val="none"/>
        </w:rPr>
        <w:t>未加盖本单位公章、法定代表人或授权代表未签字的。</w:t>
      </w:r>
    </w:p>
    <w:p>
      <w:pPr>
        <w:pStyle w:val="50"/>
        <w:pageBreakBefore w:val="0"/>
        <w:kinsoku/>
        <w:wordWrap/>
        <w:topLinePunct w:val="0"/>
        <w:bidi w:val="0"/>
        <w:adjustRightInd w:val="0"/>
        <w:snapToGrid w:val="0"/>
        <w:spacing w:afterAutospacing="0" w:line="360" w:lineRule="auto"/>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对采购文件的要求未做出实质性响应的。</w:t>
      </w:r>
    </w:p>
    <w:p>
      <w:pPr>
        <w:pStyle w:val="50"/>
        <w:pageBreakBefore w:val="0"/>
        <w:kinsoku/>
        <w:wordWrap/>
        <w:topLinePunct w:val="0"/>
        <w:bidi w:val="0"/>
        <w:adjustRightInd w:val="0"/>
        <w:snapToGrid w:val="0"/>
        <w:spacing w:afterAutospacing="0" w:line="360" w:lineRule="auto"/>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不参加</w:t>
      </w:r>
      <w:r>
        <w:rPr>
          <w:rFonts w:hint="eastAsia" w:ascii="宋体" w:hAnsi="宋体" w:cs="宋体"/>
          <w:color w:val="auto"/>
          <w:szCs w:val="24"/>
          <w:highlight w:val="none"/>
          <w:lang w:eastAsia="zh-CN"/>
        </w:rPr>
        <w:t>磋商会议</w:t>
      </w:r>
      <w:r>
        <w:rPr>
          <w:rFonts w:hint="eastAsia" w:ascii="宋体" w:hAnsi="宋体" w:eastAsia="宋体" w:cs="宋体"/>
          <w:color w:val="auto"/>
          <w:szCs w:val="24"/>
          <w:highlight w:val="none"/>
        </w:rPr>
        <w:t>及与</w:t>
      </w:r>
      <w:r>
        <w:rPr>
          <w:rFonts w:hint="eastAsia" w:ascii="宋体" w:hAnsi="宋体" w:cs="宋体"/>
          <w:color w:val="auto"/>
          <w:szCs w:val="24"/>
          <w:highlight w:val="none"/>
          <w:lang w:eastAsia="zh-CN"/>
        </w:rPr>
        <w:t>磋商</w:t>
      </w:r>
      <w:r>
        <w:rPr>
          <w:rFonts w:hint="eastAsia" w:ascii="宋体" w:hAnsi="宋体" w:eastAsia="宋体" w:cs="宋体"/>
          <w:color w:val="auto"/>
          <w:szCs w:val="24"/>
          <w:highlight w:val="none"/>
        </w:rPr>
        <w:t>相关事宜的。</w:t>
      </w:r>
    </w:p>
    <w:p>
      <w:pPr>
        <w:pStyle w:val="50"/>
        <w:pageBreakBefore w:val="0"/>
        <w:kinsoku/>
        <w:wordWrap/>
        <w:topLinePunct w:val="0"/>
        <w:bidi w:val="0"/>
        <w:adjustRightInd w:val="0"/>
        <w:snapToGrid w:val="0"/>
        <w:spacing w:afterAutospacing="0" w:line="360" w:lineRule="auto"/>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资格不符合采购文件要求，未按采购文件要求提供资格、资质证明文件的。</w:t>
      </w:r>
    </w:p>
    <w:p>
      <w:pPr>
        <w:pStyle w:val="50"/>
        <w:pageBreakBefore w:val="0"/>
        <w:kinsoku/>
        <w:wordWrap/>
        <w:topLinePunct w:val="0"/>
        <w:bidi w:val="0"/>
        <w:adjustRightInd w:val="0"/>
        <w:snapToGrid w:val="0"/>
        <w:spacing w:afterAutospacing="0" w:line="360" w:lineRule="auto"/>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7、超过本项目的控制价的。</w:t>
      </w:r>
    </w:p>
    <w:p>
      <w:pPr>
        <w:pStyle w:val="50"/>
        <w:pageBreakBefore w:val="0"/>
        <w:kinsoku/>
        <w:wordWrap/>
        <w:topLinePunct w:val="0"/>
        <w:bidi w:val="0"/>
        <w:adjustRightInd w:val="0"/>
        <w:snapToGrid w:val="0"/>
        <w:spacing w:afterAutospacing="0" w:line="360" w:lineRule="auto"/>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8、</w:t>
      </w:r>
      <w:r>
        <w:rPr>
          <w:rFonts w:hint="eastAsia" w:ascii="宋体" w:hAnsi="宋体" w:eastAsia="宋体" w:cs="宋体"/>
          <w:color w:val="auto"/>
          <w:szCs w:val="24"/>
          <w:highlight w:val="none"/>
          <w:lang w:eastAsia="zh-CN"/>
        </w:rPr>
        <w:t>报价文件</w:t>
      </w:r>
      <w:r>
        <w:rPr>
          <w:rFonts w:hint="eastAsia" w:ascii="宋体" w:hAnsi="宋体" w:eastAsia="宋体" w:cs="宋体"/>
          <w:color w:val="auto"/>
          <w:szCs w:val="24"/>
          <w:highlight w:val="none"/>
        </w:rPr>
        <w:t>载明的工期超过采购文件规定的时间且不能被采购人接受。</w:t>
      </w:r>
    </w:p>
    <w:p>
      <w:pPr>
        <w:pStyle w:val="50"/>
        <w:pageBreakBefore w:val="0"/>
        <w:kinsoku/>
        <w:wordWrap/>
        <w:topLinePunct w:val="0"/>
        <w:bidi w:val="0"/>
        <w:adjustRightInd w:val="0"/>
        <w:snapToGrid w:val="0"/>
        <w:spacing w:afterAutospacing="0" w:line="360" w:lineRule="auto"/>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9、</w:t>
      </w:r>
      <w:r>
        <w:rPr>
          <w:rFonts w:hint="eastAsia" w:ascii="宋体" w:hAnsi="宋体" w:eastAsia="宋体" w:cs="宋体"/>
          <w:color w:val="auto"/>
          <w:szCs w:val="24"/>
          <w:highlight w:val="none"/>
          <w:lang w:eastAsia="zh-CN"/>
        </w:rPr>
        <w:t>报价文件</w:t>
      </w:r>
      <w:r>
        <w:rPr>
          <w:rFonts w:hint="eastAsia" w:ascii="宋体" w:hAnsi="宋体" w:eastAsia="宋体" w:cs="宋体"/>
          <w:color w:val="auto"/>
          <w:szCs w:val="24"/>
          <w:highlight w:val="none"/>
        </w:rPr>
        <w:t>载明的付款方式不满足采购文件规定且不能被采购人接受。</w:t>
      </w:r>
    </w:p>
    <w:p>
      <w:pPr>
        <w:pStyle w:val="50"/>
        <w:pageBreakBefore w:val="0"/>
        <w:kinsoku/>
        <w:wordWrap/>
        <w:topLinePunct w:val="0"/>
        <w:bidi w:val="0"/>
        <w:adjustRightInd w:val="0"/>
        <w:snapToGrid w:val="0"/>
        <w:spacing w:afterAutospacing="0" w:line="360" w:lineRule="auto"/>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10、不符合采购文件中规定的其他实质性要求。</w:t>
      </w:r>
    </w:p>
    <w:p>
      <w:pPr>
        <w:pStyle w:val="50"/>
        <w:pageBreakBefore w:val="0"/>
        <w:kinsoku/>
        <w:wordWrap/>
        <w:topLinePunct w:val="0"/>
        <w:bidi w:val="0"/>
        <w:adjustRightInd w:val="0"/>
        <w:snapToGrid w:val="0"/>
        <w:spacing w:afterAutospacing="0" w:line="360" w:lineRule="auto"/>
        <w:ind w:firstLine="0" w:firstLineChars="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11、法律、法规规定的其他情况。</w:t>
      </w:r>
    </w:p>
    <w:p>
      <w:pPr>
        <w:pStyle w:val="90"/>
        <w:pageBreakBefore w:val="0"/>
        <w:widowControl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有下列情况之一，其报价不仅被视为无效，而且采购人将严格按照相关法律、法规及规章制度的规定行使权利并没收其</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保证金。</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给采购人和采购代理机构造成损失的，应予以赔偿。</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在报价有效期内撤回报价。</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提供的有关资格、资质证明文件不真实或提供虚假材料。</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以他人名义报价或者以其他方式弄虚作假，骗取成交。</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向采购人、采购代理机构、评审小组成员提供不正当利益。</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在整个报价、磋商、评审过程中，</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有企图影响成交结果公正性的任何活动或以任何方式诋毁其他</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或串通报价的。</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成交</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不按规定签订合同的。</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法律、法规规定的其他情况。</w:t>
      </w:r>
    </w:p>
    <w:p>
      <w:pPr>
        <w:pStyle w:val="76"/>
        <w:pageBreakBefore w:val="0"/>
        <w:kinsoku/>
        <w:wordWrap/>
        <w:topLinePunct w:val="0"/>
        <w:bidi w:val="0"/>
        <w:adjustRightInd w:val="0"/>
        <w:snapToGrid w:val="0"/>
        <w:spacing w:afterAutospacing="0" w:line="360" w:lineRule="auto"/>
        <w:ind w:firstLine="506" w:firstLineChars="200"/>
        <w:jc w:val="both"/>
        <w:textAlignment w:val="auto"/>
        <w:outlineLvl w:val="1"/>
        <w:rPr>
          <w:rFonts w:hint="eastAsia" w:ascii="宋体" w:hAnsi="宋体" w:eastAsia="宋体" w:cs="宋体"/>
          <w:b/>
          <w:color w:val="auto"/>
          <w:sz w:val="24"/>
          <w:szCs w:val="24"/>
          <w:highlight w:val="none"/>
        </w:rPr>
      </w:pPr>
      <w:bookmarkStart w:id="149" w:name="_Toc6144"/>
      <w:bookmarkStart w:id="150" w:name="_Toc31042"/>
      <w:bookmarkStart w:id="151" w:name="_Toc183264293"/>
      <w:bookmarkStart w:id="152" w:name="_Toc30729"/>
      <w:bookmarkStart w:id="153" w:name="_Toc5047"/>
      <w:bookmarkStart w:id="154" w:name="_Toc23024"/>
      <w:bookmarkStart w:id="155" w:name="_Toc29036"/>
      <w:bookmarkStart w:id="156" w:name="_Toc10471"/>
      <w:bookmarkStart w:id="157" w:name="_Toc2442"/>
      <w:bookmarkStart w:id="158" w:name="_Toc17395"/>
      <w:bookmarkStart w:id="159" w:name="_Toc32375"/>
      <w:bookmarkStart w:id="160" w:name="_Toc24064"/>
      <w:bookmarkStart w:id="161" w:name="_Toc22049"/>
      <w:r>
        <w:rPr>
          <w:rFonts w:hint="eastAsia" w:ascii="宋体" w:hAnsi="宋体" w:eastAsia="宋体" w:cs="宋体"/>
          <w:b/>
          <w:color w:val="auto"/>
          <w:sz w:val="24"/>
          <w:szCs w:val="24"/>
          <w:highlight w:val="none"/>
        </w:rPr>
        <w:t>十、解释权</w:t>
      </w:r>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1.本次采购的最终解释权为采购代理机构，当对一个问题有多种解释时以采购代理机构的书面解释为准。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2.竞争性磋商文件未做明示，而又有相关法律、法规规定的，采购代理机构对此所做解释以相关的法律、法规的规定为依据。</w:t>
      </w:r>
      <w:bookmarkStart w:id="162" w:name="_Toc21217"/>
    </w:p>
    <w:p>
      <w:pPr>
        <w:pStyle w:val="50"/>
        <w:pageBreakBefore w:val="0"/>
        <w:kinsoku/>
        <w:wordWrap/>
        <w:topLinePunct w:val="0"/>
        <w:bidi w:val="0"/>
        <w:adjustRightInd w:val="0"/>
        <w:snapToGrid w:val="0"/>
        <w:spacing w:afterAutospacing="0" w:line="360" w:lineRule="auto"/>
        <w:ind w:firstLine="506"/>
        <w:textAlignment w:val="auto"/>
        <w:outlineLvl w:val="1"/>
        <w:rPr>
          <w:rFonts w:hint="eastAsia" w:ascii="宋体" w:hAnsi="宋体" w:eastAsia="宋体" w:cs="宋体"/>
          <w:b/>
          <w:bCs/>
          <w:color w:val="auto"/>
          <w:szCs w:val="24"/>
          <w:highlight w:val="none"/>
        </w:rPr>
      </w:pPr>
      <w:bookmarkStart w:id="163" w:name="_Toc1044"/>
      <w:bookmarkStart w:id="164" w:name="_Toc24033"/>
      <w:bookmarkStart w:id="165" w:name="_Toc11256"/>
      <w:bookmarkStart w:id="166" w:name="_Toc26022"/>
      <w:bookmarkStart w:id="167" w:name="_Toc28566"/>
      <w:bookmarkStart w:id="168" w:name="_Toc13972"/>
      <w:bookmarkStart w:id="169" w:name="_Toc32739"/>
      <w:bookmarkStart w:id="170" w:name="_Toc13322"/>
      <w:bookmarkStart w:id="171" w:name="_Toc520"/>
      <w:bookmarkStart w:id="172" w:name="_Toc31752"/>
      <w:r>
        <w:rPr>
          <w:rFonts w:hint="eastAsia" w:ascii="宋体" w:hAnsi="宋体" w:eastAsia="宋体" w:cs="宋体"/>
          <w:b/>
          <w:bCs/>
          <w:color w:val="auto"/>
          <w:szCs w:val="24"/>
          <w:highlight w:val="none"/>
        </w:rPr>
        <w:t>十</w:t>
      </w:r>
      <w:r>
        <w:rPr>
          <w:rFonts w:hint="eastAsia" w:ascii="宋体" w:hAnsi="宋体" w:cs="宋体"/>
          <w:b/>
          <w:bCs/>
          <w:color w:val="auto"/>
          <w:szCs w:val="24"/>
          <w:highlight w:val="none"/>
          <w:lang w:eastAsia="zh-CN"/>
        </w:rPr>
        <w:t>一</w:t>
      </w:r>
      <w:r>
        <w:rPr>
          <w:rFonts w:hint="eastAsia" w:ascii="宋体" w:hAnsi="宋体" w:eastAsia="宋体" w:cs="宋体"/>
          <w:b/>
          <w:bCs/>
          <w:color w:val="auto"/>
          <w:szCs w:val="24"/>
          <w:highlight w:val="none"/>
        </w:rPr>
        <w:t>、质疑</w:t>
      </w:r>
      <w:bookmarkEnd w:id="162"/>
      <w:bookmarkEnd w:id="163"/>
      <w:bookmarkEnd w:id="164"/>
      <w:bookmarkEnd w:id="165"/>
      <w:bookmarkEnd w:id="166"/>
      <w:bookmarkEnd w:id="167"/>
      <w:bookmarkEnd w:id="168"/>
      <w:bookmarkEnd w:id="169"/>
      <w:bookmarkEnd w:id="170"/>
      <w:bookmarkEnd w:id="171"/>
      <w:bookmarkEnd w:id="172"/>
      <w:r>
        <w:rPr>
          <w:rFonts w:hint="eastAsia" w:ascii="宋体" w:hAnsi="宋体" w:eastAsia="宋体" w:cs="宋体"/>
          <w:b/>
          <w:bCs/>
          <w:color w:val="auto"/>
          <w:szCs w:val="24"/>
          <w:highlight w:val="none"/>
        </w:rPr>
        <w:t xml:space="preserve"> </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对采购活动事项有疑问的，可以向采购人或采购代理机构提出询问，采购人或采购代理机构将依法作出答复，但答复的内容不涉及商业秘密。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认为评审过程和成交结果使自己的合法权益受到损害的，可以在知道或者应当知道其权益受到损害之日起7个工作日内，以书面形式向采购人或采购代理机构提出质疑，超过期限不予受理。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3.质疑文件应包括以下主要内容，并按照“谁主张、谁举证”的原则，附上相关证明材料。否则，采购人或采购代理机构不予受理：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（1）质疑项目名称、项目编号、公告发布时间、公开报价时间；</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（2）具体的质疑事项及法律依据（具体条款）；</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（3）质疑相关证明文件或证明材料；</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（4）质疑</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名称、地址、联系方式（包括手机、传真号码）；</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（5）法定代表人签署本人姓名或印盖本人姓名章并加盖单位公章，或法定代表人特别授权加盖单位公章，并由参加采购项目的授权代表签署本人姓名或印盖本人姓名章等。</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不得虚假质疑和恶意质疑，并对质疑内容的真实性承担责任。</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或者其他利害关系人通过捏造事实、伪造证明材料等方式提出异议或投诉，阻碍采购活动正常进行的，属于严重不良行为，采购人或采购代理机构将提请财政部门列入不良行为记录名单，并依法予以处罚。</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5.采购人或采购代理机构在收到</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的书面质疑后将及时组织调查核实，在7个工作日内作出答复，并以书面或在网站公告形式通知质疑</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和其他有关</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，答复的内容不涉及商业秘密。</w:t>
      </w:r>
      <w:bookmarkStart w:id="173" w:name="_Toc338"/>
      <w:bookmarkStart w:id="174" w:name="_Toc31466"/>
      <w:bookmarkStart w:id="175" w:name="_Toc6403"/>
      <w:bookmarkStart w:id="176" w:name="_Toc17414"/>
      <w:bookmarkStart w:id="177" w:name="_Toc20788"/>
      <w:bookmarkStart w:id="178" w:name="_Toc14576"/>
      <w:r>
        <w:rPr>
          <w:rFonts w:hint="eastAsia" w:ascii="宋体" w:hAnsi="宋体" w:eastAsia="宋体" w:cs="宋体"/>
          <w:color w:val="auto"/>
          <w:highlight w:val="none"/>
        </w:rPr>
        <w:br w:type="page"/>
      </w:r>
    </w:p>
    <w:p>
      <w:pPr>
        <w:pStyle w:val="4"/>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第三部分  项目基本情况</w:t>
      </w:r>
      <w:bookmarkEnd w:id="173"/>
      <w:bookmarkEnd w:id="174"/>
      <w:bookmarkEnd w:id="175"/>
      <w:bookmarkEnd w:id="176"/>
      <w:bookmarkEnd w:id="177"/>
      <w:bookmarkEnd w:id="178"/>
    </w:p>
    <w:p>
      <w:pPr>
        <w:pStyle w:val="76"/>
        <w:pageBreakBefore w:val="0"/>
        <w:kinsoku/>
        <w:wordWrap/>
        <w:topLinePunct w:val="0"/>
        <w:bidi w:val="0"/>
        <w:adjustRightInd w:val="0"/>
        <w:snapToGrid w:val="0"/>
        <w:spacing w:afterAutospacing="0" w:line="360" w:lineRule="auto"/>
        <w:jc w:val="left"/>
        <w:textAlignment w:val="auto"/>
        <w:rPr>
          <w:rFonts w:hint="eastAsia" w:ascii="宋体" w:hAnsi="宋体" w:eastAsia="宋体" w:cs="宋体"/>
          <w:b/>
          <w:color w:val="auto"/>
          <w:sz w:val="24"/>
          <w:szCs w:val="24"/>
          <w:highlight w:val="none"/>
        </w:rPr>
      </w:pPr>
      <w:bookmarkStart w:id="179" w:name="_Toc426379915"/>
      <w:r>
        <w:rPr>
          <w:rFonts w:hint="eastAsia" w:ascii="宋体" w:hAnsi="宋体" w:eastAsia="宋体" w:cs="宋体"/>
          <w:b/>
          <w:color w:val="auto"/>
          <w:sz w:val="24"/>
          <w:szCs w:val="24"/>
          <w:highlight w:val="none"/>
        </w:rPr>
        <w:t>一、工程概况</w:t>
      </w:r>
      <w:bookmarkEnd w:id="179"/>
    </w:p>
    <w:p>
      <w:pPr>
        <w:pageBreakBefore w:val="0"/>
        <w:widowControl/>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1、项目名称：济南高新技术产业开发区临港街道办事处（章锦街道办事处）东岸嘉园社区党群服务中心改造提升项目</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2、项目编号：</w:t>
      </w:r>
      <w:r>
        <w:rPr>
          <w:rFonts w:hint="eastAsia" w:ascii="宋体" w:hAnsi="宋体"/>
          <w:color w:val="000000"/>
          <w:sz w:val="24"/>
          <w:szCs w:val="24"/>
          <w:highlight w:val="none"/>
        </w:rPr>
        <w:t>SDLD2019CS0</w:t>
      </w:r>
      <w:r>
        <w:rPr>
          <w:rFonts w:hint="eastAsia" w:ascii="宋体" w:hAnsi="宋体"/>
          <w:color w:val="000000"/>
          <w:sz w:val="24"/>
          <w:szCs w:val="24"/>
          <w:highlight w:val="none"/>
          <w:lang w:val="en-US" w:eastAsia="zh-CN"/>
        </w:rPr>
        <w:t>43</w:t>
      </w:r>
    </w:p>
    <w:p>
      <w:pPr>
        <w:pageBreakBefore w:val="0"/>
        <w:widowControl/>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3、工程概况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6"/>
          <w:sz w:val="24"/>
          <w:szCs w:val="24"/>
          <w:highlight w:val="none"/>
        </w:rPr>
        <w:t>本项目为</w:t>
      </w:r>
      <w:r>
        <w:rPr>
          <w:rFonts w:hint="eastAsia" w:ascii="宋体" w:hAnsi="宋体" w:eastAsia="宋体" w:cs="宋体"/>
          <w:color w:val="auto"/>
          <w:sz w:val="24"/>
          <w:szCs w:val="24"/>
          <w:highlight w:val="none"/>
        </w:rPr>
        <w:t>济南高新技术产业开发区临港街道办事处（章锦街道办事处）东岸嘉园社区党群服务中心改造提升项目，具体详见工程量清单。本项目控制价金额为</w:t>
      </w:r>
      <w:r>
        <w:rPr>
          <w:rFonts w:hint="eastAsia" w:ascii="宋体" w:hAnsi="宋体" w:cs="宋体"/>
          <w:color w:val="auto"/>
          <w:sz w:val="24"/>
          <w:szCs w:val="24"/>
          <w:highlight w:val="none"/>
          <w:lang w:val="en-US" w:eastAsia="zh-CN"/>
        </w:rPr>
        <w:t>30.72</w:t>
      </w:r>
      <w:r>
        <w:rPr>
          <w:rFonts w:hint="eastAsia" w:ascii="宋体" w:hAnsi="宋体" w:eastAsia="宋体" w:cs="宋体"/>
          <w:color w:val="auto"/>
          <w:sz w:val="24"/>
          <w:szCs w:val="24"/>
          <w:highlight w:val="none"/>
        </w:rPr>
        <w:t>万元，共1个包，工程内容包括清单范围内全部工程。</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须对本项目完全响应。</w:t>
      </w:r>
    </w:p>
    <w:p>
      <w:pPr>
        <w:pStyle w:val="76"/>
        <w:pageBreakBefore w:val="0"/>
        <w:kinsoku/>
        <w:wordWrap/>
        <w:topLinePunct w:val="0"/>
        <w:bidi w:val="0"/>
        <w:adjustRightInd w:val="0"/>
        <w:snapToGrid w:val="0"/>
        <w:spacing w:afterAutospacing="0" w:line="360" w:lineRule="auto"/>
        <w:jc w:val="left"/>
        <w:textAlignment w:val="auto"/>
        <w:rPr>
          <w:rFonts w:hint="eastAsia" w:ascii="宋体" w:hAnsi="宋体" w:eastAsia="宋体" w:cs="宋体"/>
          <w:b/>
          <w:color w:val="auto"/>
          <w:sz w:val="24"/>
          <w:szCs w:val="24"/>
          <w:highlight w:val="none"/>
        </w:rPr>
      </w:pPr>
      <w:bookmarkStart w:id="180" w:name="_Toc426379916"/>
      <w:r>
        <w:rPr>
          <w:rFonts w:hint="eastAsia" w:ascii="宋体" w:hAnsi="宋体" w:eastAsia="宋体" w:cs="宋体"/>
          <w:b/>
          <w:bCs/>
          <w:color w:val="auto"/>
          <w:sz w:val="24"/>
          <w:szCs w:val="24"/>
          <w:highlight w:val="none"/>
        </w:rPr>
        <w:t>二、</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范围</w:t>
      </w:r>
      <w:bookmarkEnd w:id="180"/>
    </w:p>
    <w:p>
      <w:pPr>
        <w:pStyle w:val="76"/>
        <w:pageBreakBefore w:val="0"/>
        <w:kinsoku/>
        <w:wordWrap/>
        <w:topLinePunct w:val="0"/>
        <w:bidi w:val="0"/>
        <w:adjustRightInd w:val="0"/>
        <w:snapToGrid w:val="0"/>
        <w:spacing w:afterAutospacing="0" w:line="360" w:lineRule="auto"/>
        <w:ind w:firstLine="504" w:firstLineChars="200"/>
        <w:jc w:val="left"/>
        <w:textAlignment w:val="auto"/>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t>工程内容包括清单范围内全部工程。</w:t>
      </w:r>
    </w:p>
    <w:p>
      <w:pPr>
        <w:pStyle w:val="76"/>
        <w:pageBreakBefore w:val="0"/>
        <w:kinsoku/>
        <w:wordWrap/>
        <w:topLinePunct w:val="0"/>
        <w:bidi w:val="0"/>
        <w:adjustRightInd w:val="0"/>
        <w:snapToGrid w:val="0"/>
        <w:spacing w:afterAutospacing="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三、重点说明</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对施工中的一切安全问题包括自身施工人员及施工现场周围的安全负全责。</w:t>
      </w:r>
    </w:p>
    <w:p>
      <w:pPr>
        <w:pStyle w:val="5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四、工程量清单</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详见附</w:t>
      </w:r>
      <w:r>
        <w:rPr>
          <w:rFonts w:hint="eastAsia" w:ascii="宋体" w:hAnsi="宋体" w:cs="宋体"/>
          <w:bCs/>
          <w:color w:val="auto"/>
          <w:sz w:val="24"/>
          <w:szCs w:val="24"/>
          <w:highlight w:val="none"/>
          <w:lang w:eastAsia="zh-CN"/>
        </w:rPr>
        <w:t>件</w:t>
      </w:r>
    </w:p>
    <w:p>
      <w:pPr>
        <w:pStyle w:val="5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五、技术要求</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1、用于本工程的材料、设备、施工等必须达到现行中华人民共和国及省、市、行业的一切有关法规、规范的要求，所使用的材料必须达到国家环境</w:t>
      </w:r>
      <w:r>
        <w:rPr>
          <w:rFonts w:hint="eastAsia" w:ascii="宋体" w:hAnsi="宋体" w:cs="宋体"/>
          <w:bCs/>
          <w:color w:val="auto"/>
          <w:sz w:val="24"/>
          <w:szCs w:val="24"/>
          <w:highlight w:val="none"/>
          <w:lang w:eastAsia="zh-CN"/>
        </w:rPr>
        <w:t>检测</w:t>
      </w:r>
      <w:r>
        <w:rPr>
          <w:rFonts w:hint="eastAsia" w:ascii="宋体" w:hAnsi="宋体" w:eastAsia="宋体" w:cs="宋体"/>
          <w:bCs/>
          <w:color w:val="auto"/>
          <w:sz w:val="24"/>
          <w:szCs w:val="24"/>
          <w:highlight w:val="none"/>
        </w:rPr>
        <w:t>标准，必须为环保、安全材料，材料进场必须提供国家相关</w:t>
      </w:r>
      <w:r>
        <w:rPr>
          <w:rFonts w:hint="eastAsia" w:ascii="宋体" w:hAnsi="宋体" w:cs="宋体"/>
          <w:bCs/>
          <w:color w:val="auto"/>
          <w:sz w:val="24"/>
          <w:szCs w:val="24"/>
          <w:highlight w:val="none"/>
          <w:lang w:eastAsia="zh-CN"/>
        </w:rPr>
        <w:t>检测</w:t>
      </w:r>
      <w:r>
        <w:rPr>
          <w:rFonts w:hint="eastAsia" w:ascii="宋体" w:hAnsi="宋体" w:eastAsia="宋体" w:cs="宋体"/>
          <w:bCs/>
          <w:color w:val="auto"/>
          <w:sz w:val="24"/>
          <w:szCs w:val="24"/>
          <w:highlight w:val="none"/>
        </w:rPr>
        <w:t>证明，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将安排专项负责人负责验收。施工完成后</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将组织检测和验收。如检测不合格工程不予验收。</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2、执行国家、省、市现行的建设工程施工及工程质量验收规范、施工技术标准、程序及工程建设的强制性标准。</w:t>
      </w:r>
    </w:p>
    <w:p>
      <w:pP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br w:type="page"/>
      </w:r>
    </w:p>
    <w:p>
      <w:pPr>
        <w:pStyle w:val="4"/>
        <w:pageBreakBefore w:val="0"/>
        <w:kinsoku/>
        <w:wordWrap/>
        <w:topLinePunct w:val="0"/>
        <w:bidi w:val="0"/>
        <w:adjustRightInd w:val="0"/>
        <w:snapToGrid w:val="0"/>
        <w:spacing w:before="0" w:after="0" w:afterAutospacing="0" w:line="360" w:lineRule="auto"/>
        <w:jc w:val="center"/>
        <w:textAlignment w:val="auto"/>
        <w:rPr>
          <w:rFonts w:hint="default" w:ascii="宋体" w:hAnsi="宋体" w:eastAsia="宋体" w:cs="宋体"/>
          <w:color w:val="auto"/>
          <w:highlight w:val="none"/>
          <w:lang w:val="en-US" w:eastAsia="zh-CN"/>
        </w:rPr>
      </w:pPr>
      <w:bookmarkStart w:id="181" w:name="_Toc11833"/>
      <w:bookmarkStart w:id="182" w:name="_Toc26089"/>
      <w:bookmarkStart w:id="183" w:name="_Toc28697"/>
      <w:bookmarkStart w:id="184" w:name="_Toc10988"/>
      <w:bookmarkStart w:id="185" w:name="_Toc373"/>
      <w:bookmarkStart w:id="186" w:name="_Toc31891"/>
      <w:bookmarkStart w:id="187" w:name="_Toc31719"/>
      <w:bookmarkStart w:id="188" w:name="_Toc5388"/>
      <w:bookmarkStart w:id="189" w:name="_Toc6787"/>
      <w:bookmarkStart w:id="190" w:name="_Toc10122"/>
      <w:r>
        <w:rPr>
          <w:rFonts w:hint="eastAsia" w:ascii="宋体" w:hAnsi="宋体" w:eastAsia="宋体" w:cs="宋体"/>
          <w:color w:val="auto"/>
          <w:highlight w:val="none"/>
        </w:rPr>
        <w:t xml:space="preserve">第四部分  </w:t>
      </w:r>
      <w:bookmarkEnd w:id="181"/>
      <w:bookmarkEnd w:id="182"/>
      <w:bookmarkEnd w:id="183"/>
      <w:bookmarkEnd w:id="184"/>
      <w:bookmarkEnd w:id="185"/>
      <w:bookmarkEnd w:id="186"/>
      <w:bookmarkEnd w:id="187"/>
      <w:bookmarkEnd w:id="188"/>
      <w:r>
        <w:rPr>
          <w:rFonts w:hint="eastAsia" w:ascii="宋体" w:hAnsi="宋体" w:cs="宋体"/>
          <w:color w:val="auto"/>
          <w:highlight w:val="none"/>
          <w:lang w:eastAsia="zh-CN"/>
        </w:rPr>
        <w:t>磋商</w:t>
      </w:r>
      <w:r>
        <w:rPr>
          <w:rFonts w:hint="eastAsia" w:ascii="宋体" w:hAnsi="宋体" w:eastAsia="宋体" w:cs="宋体"/>
          <w:color w:val="auto"/>
          <w:highlight w:val="none"/>
        </w:rPr>
        <w:t>、</w:t>
      </w:r>
      <w:r>
        <w:rPr>
          <w:rFonts w:hint="eastAsia" w:ascii="宋体" w:hAnsi="宋体" w:cs="宋体"/>
          <w:color w:val="auto"/>
          <w:highlight w:val="none"/>
          <w:lang w:eastAsia="zh-CN"/>
        </w:rPr>
        <w:t>评审</w:t>
      </w:r>
      <w:r>
        <w:rPr>
          <w:rFonts w:hint="eastAsia" w:ascii="宋体" w:hAnsi="宋体" w:eastAsia="宋体" w:cs="宋体"/>
          <w:color w:val="auto"/>
          <w:highlight w:val="none"/>
        </w:rPr>
        <w:t>、</w:t>
      </w:r>
      <w:bookmarkEnd w:id="189"/>
      <w:r>
        <w:rPr>
          <w:rFonts w:hint="eastAsia" w:ascii="宋体" w:hAnsi="宋体" w:cs="宋体"/>
          <w:color w:val="auto"/>
          <w:highlight w:val="none"/>
          <w:lang w:eastAsia="zh-CN"/>
        </w:rPr>
        <w:t>成交</w:t>
      </w:r>
      <w:r>
        <w:rPr>
          <w:rFonts w:hint="eastAsia" w:ascii="宋体" w:hAnsi="宋体" w:cs="宋体"/>
          <w:color w:val="auto"/>
          <w:highlight w:val="none"/>
          <w:lang w:val="en-US" w:eastAsia="zh-CN"/>
        </w:rPr>
        <w:t xml:space="preserve"> </w:t>
      </w:r>
    </w:p>
    <w:p>
      <w:pPr>
        <w:pStyle w:val="76"/>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color w:val="auto"/>
          <w:sz w:val="24"/>
          <w:szCs w:val="24"/>
          <w:highlight w:val="none"/>
        </w:rPr>
      </w:pPr>
      <w:bookmarkStart w:id="191" w:name="_Toc426379919"/>
      <w:bookmarkStart w:id="192" w:name="_Toc426379371"/>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报价文件</w:t>
      </w:r>
      <w:r>
        <w:rPr>
          <w:rFonts w:hint="eastAsia" w:ascii="宋体" w:hAnsi="宋体" w:eastAsia="宋体" w:cs="宋体"/>
          <w:b/>
          <w:color w:val="auto"/>
          <w:sz w:val="24"/>
          <w:szCs w:val="24"/>
          <w:highlight w:val="none"/>
        </w:rPr>
        <w:t>的递交及</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仪式</w:t>
      </w:r>
      <w:bookmarkEnd w:id="191"/>
      <w:bookmarkEnd w:id="192"/>
    </w:p>
    <w:p>
      <w:pPr>
        <w:pStyle w:val="5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递交时间、地点：</w:t>
      </w:r>
    </w:p>
    <w:p>
      <w:pPr>
        <w:pStyle w:val="50"/>
        <w:pageBreakBefore w:val="0"/>
        <w:numPr>
          <w:ilvl w:val="0"/>
          <w:numId w:val="0"/>
        </w:numPr>
        <w:kinsoku/>
        <w:wordWrap/>
        <w:topLinePunct w:val="0"/>
        <w:bidi w:val="0"/>
        <w:adjustRightInd w:val="0"/>
        <w:snapToGrid w:val="0"/>
        <w:spacing w:afterAutospacing="0" w:line="360" w:lineRule="auto"/>
        <w:ind w:firstLine="252"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详见前附表。</w:t>
      </w:r>
    </w:p>
    <w:p>
      <w:pPr>
        <w:pStyle w:val="50"/>
        <w:pageBreakBefore w:val="0"/>
        <w:numPr>
          <w:ilvl w:val="0"/>
          <w:numId w:val="2"/>
        </w:numPr>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时间、地点</w:t>
      </w:r>
    </w:p>
    <w:p>
      <w:pPr>
        <w:pStyle w:val="50"/>
        <w:pageBreakBefore w:val="0"/>
        <w:numPr>
          <w:ilvl w:val="0"/>
          <w:numId w:val="0"/>
        </w:numPr>
        <w:kinsoku/>
        <w:wordWrap/>
        <w:topLinePunct w:val="0"/>
        <w:bidi w:val="0"/>
        <w:adjustRightInd w:val="0"/>
        <w:snapToGrid w:val="0"/>
        <w:spacing w:afterAutospacing="0" w:line="360" w:lineRule="auto"/>
        <w:ind w:firstLine="252"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详见前附表。</w:t>
      </w:r>
    </w:p>
    <w:p>
      <w:pPr>
        <w:pStyle w:val="5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3、采购代理机构组织</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的递交，递交</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代表应签字确认。</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4、见证律师对各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提交的</w:t>
      </w:r>
      <w:r>
        <w:rPr>
          <w:rFonts w:hint="eastAsia" w:ascii="宋体" w:hAnsi="宋体" w:eastAsia="宋体" w:cs="宋体"/>
          <w:color w:val="auto"/>
          <w:spacing w:val="6"/>
          <w:sz w:val="24"/>
          <w:szCs w:val="24"/>
          <w:highlight w:val="none"/>
          <w:lang w:eastAsia="zh-CN"/>
        </w:rPr>
        <w:t>报价文件</w:t>
      </w:r>
      <w:r>
        <w:rPr>
          <w:rFonts w:hint="eastAsia" w:ascii="宋体" w:hAnsi="宋体" w:eastAsia="宋体" w:cs="宋体"/>
          <w:color w:val="auto"/>
          <w:spacing w:val="6"/>
          <w:sz w:val="24"/>
          <w:szCs w:val="24"/>
          <w:highlight w:val="none"/>
        </w:rPr>
        <w:t>密封情况按签到顺序进行检查，并当场宣布检查结果。</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5、唱</w:t>
      </w:r>
      <w:r>
        <w:rPr>
          <w:rFonts w:hint="eastAsia" w:ascii="宋体" w:hAnsi="宋体" w:cs="宋体"/>
          <w:color w:val="auto"/>
          <w:spacing w:val="6"/>
          <w:sz w:val="24"/>
          <w:szCs w:val="24"/>
          <w:highlight w:val="none"/>
          <w:lang w:eastAsia="zh-CN"/>
        </w:rPr>
        <w:t>价</w:t>
      </w:r>
      <w:r>
        <w:rPr>
          <w:rFonts w:hint="eastAsia" w:ascii="宋体" w:hAnsi="宋体" w:eastAsia="宋体" w:cs="宋体"/>
          <w:color w:val="auto"/>
          <w:spacing w:val="6"/>
          <w:sz w:val="24"/>
          <w:szCs w:val="24"/>
          <w:highlight w:val="none"/>
        </w:rPr>
        <w:t>：工作人员当众按</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的签到顺序开启</w:t>
      </w:r>
      <w:r>
        <w:rPr>
          <w:rFonts w:hint="eastAsia" w:ascii="宋体" w:hAnsi="宋体" w:eastAsia="宋体" w:cs="宋体"/>
          <w:color w:val="auto"/>
          <w:spacing w:val="6"/>
          <w:sz w:val="24"/>
          <w:szCs w:val="24"/>
          <w:highlight w:val="none"/>
          <w:lang w:eastAsia="zh-CN"/>
        </w:rPr>
        <w:t>报价一览表</w:t>
      </w:r>
      <w:r>
        <w:rPr>
          <w:rFonts w:hint="eastAsia" w:ascii="宋体" w:hAnsi="宋体" w:eastAsia="宋体" w:cs="宋体"/>
          <w:color w:val="auto"/>
          <w:spacing w:val="6"/>
          <w:sz w:val="24"/>
          <w:szCs w:val="24"/>
          <w:highlight w:val="none"/>
        </w:rPr>
        <w:t>，唱</w:t>
      </w:r>
      <w:r>
        <w:rPr>
          <w:rFonts w:hint="eastAsia" w:ascii="宋体" w:hAnsi="宋体" w:cs="宋体"/>
          <w:color w:val="auto"/>
          <w:spacing w:val="6"/>
          <w:sz w:val="24"/>
          <w:szCs w:val="24"/>
          <w:highlight w:val="none"/>
          <w:lang w:eastAsia="zh-CN"/>
        </w:rPr>
        <w:t>价</w:t>
      </w:r>
      <w:r>
        <w:rPr>
          <w:rFonts w:hint="eastAsia" w:ascii="宋体" w:hAnsi="宋体" w:eastAsia="宋体" w:cs="宋体"/>
          <w:color w:val="auto"/>
          <w:spacing w:val="6"/>
          <w:sz w:val="24"/>
          <w:szCs w:val="24"/>
          <w:highlight w:val="none"/>
        </w:rPr>
        <w:t>员宣读</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名称、报价等主要内容，法定代表人或其授权代表现场签字确认。</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w:t>
      </w:r>
      <w:r>
        <w:rPr>
          <w:rFonts w:hint="eastAsia" w:ascii="宋体" w:hAnsi="宋体" w:cs="宋体"/>
          <w:color w:val="auto"/>
          <w:spacing w:val="6"/>
          <w:sz w:val="24"/>
          <w:szCs w:val="24"/>
          <w:highlight w:val="none"/>
          <w:lang w:eastAsia="zh-CN"/>
        </w:rPr>
        <w:t>磋商</w:t>
      </w:r>
      <w:r>
        <w:rPr>
          <w:rFonts w:hint="eastAsia" w:ascii="宋体" w:hAnsi="宋体" w:eastAsia="宋体" w:cs="宋体"/>
          <w:color w:val="auto"/>
          <w:spacing w:val="6"/>
          <w:sz w:val="24"/>
          <w:szCs w:val="24"/>
          <w:highlight w:val="none"/>
        </w:rPr>
        <w:t>会议结束后，见证律师对供应商的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相关资格证书进行审验。</w:t>
      </w:r>
    </w:p>
    <w:p>
      <w:pPr>
        <w:pageBreakBefore w:val="0"/>
        <w:kinsoku/>
        <w:wordWrap/>
        <w:topLinePunct w:val="0"/>
        <w:bidi w:val="0"/>
        <w:adjustRightInd w:val="0"/>
        <w:snapToGrid w:val="0"/>
        <w:spacing w:afterAutospacing="0" w:line="360" w:lineRule="auto"/>
        <w:ind w:firstLine="506" w:firstLineChars="200"/>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lang w:eastAsia="zh-CN"/>
        </w:rPr>
        <w:t>供应商</w:t>
      </w:r>
      <w:r>
        <w:rPr>
          <w:rFonts w:hint="eastAsia" w:ascii="宋体" w:hAnsi="宋体" w:cs="宋体"/>
          <w:b/>
          <w:bCs/>
          <w:color w:val="auto"/>
          <w:spacing w:val="6"/>
          <w:sz w:val="24"/>
          <w:szCs w:val="24"/>
          <w:highlight w:val="none"/>
          <w:lang w:eastAsia="zh-CN"/>
        </w:rPr>
        <w:t>须将</w:t>
      </w:r>
      <w:r>
        <w:rPr>
          <w:rFonts w:hint="eastAsia" w:ascii="宋体" w:hAnsi="宋体" w:eastAsia="宋体" w:cs="宋体"/>
          <w:b/>
          <w:bCs/>
          <w:color w:val="auto"/>
          <w:spacing w:val="6"/>
          <w:sz w:val="24"/>
          <w:szCs w:val="24"/>
          <w:highlight w:val="none"/>
        </w:rPr>
        <w:t>以下资质材料</w:t>
      </w:r>
      <w:r>
        <w:rPr>
          <w:rFonts w:hint="eastAsia" w:ascii="宋体" w:hAnsi="宋体" w:cs="宋体"/>
          <w:b/>
          <w:bCs/>
          <w:color w:val="auto"/>
          <w:spacing w:val="6"/>
          <w:sz w:val="24"/>
          <w:szCs w:val="24"/>
          <w:highlight w:val="none"/>
          <w:lang w:eastAsia="zh-CN"/>
        </w:rPr>
        <w:t>加盖公章的复印件单独胶装及密封，磋商会议现场和报价文件一并提交，以便通过资格审查</w:t>
      </w:r>
      <w:r>
        <w:rPr>
          <w:rFonts w:hint="eastAsia" w:ascii="宋体" w:hAnsi="宋体" w:eastAsia="宋体" w:cs="宋体"/>
          <w:b/>
          <w:bCs/>
          <w:color w:val="auto"/>
          <w:spacing w:val="6"/>
          <w:sz w:val="24"/>
          <w:szCs w:val="24"/>
          <w:highlight w:val="none"/>
        </w:rPr>
        <w:t>。</w:t>
      </w:r>
    </w:p>
    <w:p>
      <w:pPr>
        <w:pStyle w:val="90"/>
        <w:pageBreakBefore w:val="0"/>
        <w:kinsoku/>
        <w:wordWrap/>
        <w:topLinePunct w:val="0"/>
        <w:bidi w:val="0"/>
        <w:adjustRightInd w:val="0"/>
        <w:snapToGrid w:val="0"/>
        <w:spacing w:afterAutospacing="0" w:line="360" w:lineRule="auto"/>
        <w:textAlignment w:val="auto"/>
        <w:rPr>
          <w:rFonts w:hint="eastAsia" w:ascii="宋体" w:hAnsi="宋体" w:eastAsia="宋体" w:cs="宋体"/>
          <w:b/>
          <w:color w:val="auto"/>
          <w:highlight w:val="none"/>
        </w:rPr>
      </w:pPr>
      <w:bookmarkStart w:id="193" w:name="_Toc426379920"/>
      <w:bookmarkStart w:id="194" w:name="_Toc426379372"/>
      <w:bookmarkStart w:id="195" w:name="_Toc183264304"/>
      <w:r>
        <w:rPr>
          <w:rFonts w:hint="eastAsia" w:ascii="宋体" w:hAnsi="宋体" w:eastAsia="宋体" w:cs="宋体"/>
          <w:b/>
          <w:color w:val="auto"/>
          <w:highlight w:val="none"/>
        </w:rPr>
        <w:t>1）营业执照副本、税务登记证副本、组织机构代码证副本（三证合一的投</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只需提供带有统一社会信用代码的营业执照副本）；</w:t>
      </w:r>
    </w:p>
    <w:p>
      <w:pPr>
        <w:pStyle w:val="90"/>
        <w:pageBreakBefore w:val="0"/>
        <w:kinsoku/>
        <w:wordWrap/>
        <w:topLinePunct w:val="0"/>
        <w:bidi w:val="0"/>
        <w:adjustRightInd w:val="0"/>
        <w:snapToGrid w:val="0"/>
        <w:spacing w:afterAutospacing="0"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）法定代表人身份证明及身份证</w:t>
      </w:r>
      <w:r>
        <w:rPr>
          <w:rFonts w:hint="eastAsia" w:ascii="宋体" w:hAnsi="宋体" w:eastAsia="宋体" w:cs="宋体"/>
          <w:b/>
          <w:color w:val="auto"/>
          <w:highlight w:val="none"/>
          <w:lang w:eastAsia="zh-CN"/>
        </w:rPr>
        <w:t>复印件</w:t>
      </w:r>
      <w:r>
        <w:rPr>
          <w:rFonts w:hint="eastAsia" w:ascii="宋体" w:hAnsi="宋体" w:eastAsia="宋体" w:cs="宋体"/>
          <w:b/>
          <w:color w:val="auto"/>
          <w:highlight w:val="none"/>
        </w:rPr>
        <w:t>或法定代表人授权委托书及授权</w:t>
      </w:r>
      <w:r>
        <w:rPr>
          <w:rFonts w:hint="eastAsia" w:ascii="宋体" w:hAnsi="宋体" w:eastAsia="宋体" w:cs="宋体"/>
          <w:b/>
          <w:color w:val="auto"/>
          <w:highlight w:val="none"/>
          <w:lang w:eastAsia="zh-CN"/>
        </w:rPr>
        <w:t>代表</w:t>
      </w:r>
      <w:r>
        <w:rPr>
          <w:rFonts w:hint="eastAsia" w:ascii="宋体" w:hAnsi="宋体" w:eastAsia="宋体" w:cs="宋体"/>
          <w:b/>
          <w:color w:val="auto"/>
          <w:highlight w:val="none"/>
        </w:rPr>
        <w:t>身份证</w:t>
      </w:r>
      <w:r>
        <w:rPr>
          <w:rFonts w:hint="eastAsia" w:ascii="宋体" w:hAnsi="宋体" w:eastAsia="宋体" w:cs="宋体"/>
          <w:b/>
          <w:color w:val="auto"/>
          <w:highlight w:val="none"/>
          <w:lang w:eastAsia="zh-CN"/>
        </w:rPr>
        <w:t>复印件</w:t>
      </w:r>
      <w:r>
        <w:rPr>
          <w:rFonts w:hint="eastAsia" w:ascii="宋体" w:hAnsi="宋体" w:eastAsia="宋体" w:cs="宋体"/>
          <w:b/>
          <w:color w:val="auto"/>
          <w:highlight w:val="none"/>
        </w:rPr>
        <w:t>；</w:t>
      </w:r>
    </w:p>
    <w:p>
      <w:pPr>
        <w:pageBreakBefore w:val="0"/>
        <w:kinsoku/>
        <w:wordWrap/>
        <w:topLinePunct w:val="0"/>
        <w:bidi w:val="0"/>
        <w:adjustRightInd w:val="0"/>
        <w:snapToGrid w:val="0"/>
        <w:spacing w:afterAutospacing="0" w:line="360" w:lineRule="auto"/>
        <w:ind w:firstLine="402" w:firstLineChars="200"/>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w:t>
      </w:r>
      <w:r>
        <w:rPr>
          <w:rFonts w:hint="eastAsia" w:ascii="宋体" w:hAnsi="宋体" w:eastAsia="宋体" w:cs="宋体"/>
          <w:b/>
          <w:color w:val="auto"/>
          <w:spacing w:val="6"/>
          <w:sz w:val="24"/>
          <w:szCs w:val="22"/>
          <w:highlight w:val="none"/>
          <w:lang w:val="en-US" w:eastAsia="zh-CN" w:bidi="ar-SA"/>
        </w:rPr>
        <w:t>提供经会计事务所审计出具的2018年度财务报表或财务审计报告（包括资产负债表、现金流量表、利润表等材料）或基本开户银行出具的资信证明；复印件加盖公章</w:t>
      </w:r>
      <w:r>
        <w:rPr>
          <w:rFonts w:hint="eastAsia" w:ascii="宋体" w:hAnsi="宋体" w:cs="宋体"/>
          <w:b/>
          <w:color w:val="auto"/>
          <w:spacing w:val="6"/>
          <w:sz w:val="24"/>
          <w:szCs w:val="22"/>
          <w:highlight w:val="none"/>
          <w:lang w:val="en-US" w:eastAsia="zh-CN" w:bidi="ar-SA"/>
        </w:rPr>
        <w:t>.</w:t>
      </w:r>
      <w:r>
        <w:rPr>
          <w:rFonts w:hint="eastAsia" w:ascii="宋体" w:hAnsi="宋体" w:eastAsia="宋体" w:cs="宋体"/>
          <w:b/>
          <w:color w:val="auto"/>
          <w:spacing w:val="6"/>
          <w:sz w:val="24"/>
          <w:szCs w:val="22"/>
          <w:highlight w:val="none"/>
          <w:lang w:val="en-US" w:eastAsia="zh-CN" w:bidi="ar-SA"/>
        </w:rPr>
        <w:t>（2018年以后注册的公司需写说明）；</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4）供应商须具备建筑工程施工总承包叁级及以上资质或建筑装修装饰工程专业承包贰级及以上资质；具有有效的安全生产许可证；</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5）项目经理具有建筑工程类贰级及以上建造师证书、有效的安全生产考核合格证书（B类）；</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6）供应商的2019年度任意一个季度依法纳税的完税凭证，依法免税的，应提供由供应商所在地主管国税、地税部门出具的《依法纳税或依法免税证明》；</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7）供应商2019年度任意连续三个月的社会保险缴纳证明；</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8）参加政府采购活动前三年内，在经营活动中无重大违法记录的声明；</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9）供应商信用查询结果截图；</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spacing w:val="6"/>
          <w:sz w:val="24"/>
          <w:szCs w:val="22"/>
          <w:highlight w:val="none"/>
          <w:lang w:val="en-US" w:eastAsia="zh-CN" w:bidi="ar-SA"/>
        </w:rPr>
      </w:pPr>
      <w:r>
        <w:rPr>
          <w:rFonts w:hint="eastAsia" w:ascii="宋体" w:hAnsi="宋体" w:eastAsia="宋体" w:cs="宋体"/>
          <w:b/>
          <w:color w:val="auto"/>
          <w:spacing w:val="6"/>
          <w:sz w:val="24"/>
          <w:szCs w:val="22"/>
          <w:highlight w:val="none"/>
          <w:lang w:val="en-US" w:eastAsia="zh-CN" w:bidi="ar-SA"/>
        </w:rPr>
        <w:t>10）供应商认为需要提交的其他证明资料。</w:t>
      </w:r>
    </w:p>
    <w:p>
      <w:pPr>
        <w:pStyle w:val="90"/>
        <w:pageBreakBefore w:val="0"/>
        <w:kinsoku/>
        <w:wordWrap/>
        <w:topLinePunct w:val="0"/>
        <w:bidi w:val="0"/>
        <w:adjustRightInd w:val="0"/>
        <w:snapToGrid w:val="0"/>
        <w:spacing w:afterAutospacing="0" w:line="360" w:lineRule="auto"/>
        <w:ind w:firstLine="50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以上1）-</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）开标现场需</w:t>
      </w:r>
      <w:r>
        <w:rPr>
          <w:rFonts w:hint="eastAsia" w:ascii="宋体" w:hAnsi="宋体" w:eastAsia="宋体" w:cs="宋体"/>
          <w:b/>
          <w:color w:val="auto"/>
          <w:highlight w:val="none"/>
          <w:lang w:eastAsia="zh-CN"/>
        </w:rPr>
        <w:t>单独</w:t>
      </w:r>
      <w:r>
        <w:rPr>
          <w:rFonts w:hint="eastAsia" w:ascii="宋体" w:hAnsi="宋体" w:eastAsia="宋体" w:cs="宋体"/>
          <w:b/>
          <w:color w:val="auto"/>
          <w:highlight w:val="none"/>
        </w:rPr>
        <w:t>提供复印件加盖公章一套</w:t>
      </w:r>
      <w:r>
        <w:rPr>
          <w:rFonts w:hint="eastAsia" w:ascii="宋体" w:hAnsi="宋体" w:eastAsia="宋体" w:cs="宋体"/>
          <w:b/>
          <w:color w:val="auto"/>
          <w:highlight w:val="none"/>
          <w:lang w:eastAsia="zh-CN"/>
        </w:rPr>
        <w:t>（胶装）</w:t>
      </w:r>
      <w:r>
        <w:rPr>
          <w:rFonts w:hint="eastAsia" w:ascii="宋体" w:hAnsi="宋体" w:eastAsia="宋体" w:cs="宋体"/>
          <w:b/>
          <w:color w:val="auto"/>
          <w:highlight w:val="none"/>
        </w:rPr>
        <w:t>。以上证件经审查缺少任何一项或经审查不合格作无效报价处理。</w:t>
      </w:r>
    </w:p>
    <w:p>
      <w:pPr>
        <w:pStyle w:val="76"/>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二、评</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rPr>
        <w:t>程序</w:t>
      </w:r>
      <w:bookmarkEnd w:id="193"/>
      <w:bookmarkEnd w:id="194"/>
    </w:p>
    <w:p>
      <w:pPr>
        <w:pStyle w:val="5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1、组建磋商小组：采购人将根据本项目的特点组建磋商小组，其成员由采购人及有关方面的专家3人或以上单数组成，磋商小组负责对</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进行审查、澄清、评审，经采购人授权直接确定成交供应商。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2、选举磋商小组组长，由磋商小组组长组织</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准备工作。</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4、对供应商进行资格后审、符合性鉴定，审查合格者方可进入下一步评审。</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5、技术部分评审，参照执行评分细则。</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6、商务部分评审，参照执行评分细则。</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7、整理评审结果，编制评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报告并由磋商小组全体成员签字确认后，向采购人递交评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报告。</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8、磋商小组解散，评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结束。</w:t>
      </w:r>
      <w:bookmarkEnd w:id="195"/>
      <w:bookmarkStart w:id="196" w:name="_Toc426379373"/>
      <w:bookmarkStart w:id="197" w:name="_Toc426379921"/>
    </w:p>
    <w:p>
      <w:pPr>
        <w:pStyle w:val="76"/>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三、评</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rPr>
        <w:t>原则和评</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rPr>
        <w:t>办法</w:t>
      </w:r>
      <w:bookmarkEnd w:id="196"/>
      <w:bookmarkEnd w:id="197"/>
    </w:p>
    <w:p>
      <w:pPr>
        <w:pStyle w:val="76"/>
        <w:pageBreakBefore w:val="0"/>
        <w:kinsoku/>
        <w:wordWrap/>
        <w:topLinePunct w:val="0"/>
        <w:bidi w:val="0"/>
        <w:adjustRightInd w:val="0"/>
        <w:snapToGrid w:val="0"/>
        <w:spacing w:afterAutospacing="0" w:line="360" w:lineRule="auto"/>
        <w:ind w:firstLine="501" w:firstLineChars="199"/>
        <w:jc w:val="both"/>
        <w:textAlignment w:val="auto"/>
        <w:rPr>
          <w:rFonts w:hint="eastAsia" w:ascii="宋体" w:hAnsi="宋体" w:eastAsia="宋体" w:cs="宋体"/>
          <w:color w:val="auto"/>
          <w:sz w:val="24"/>
          <w:szCs w:val="24"/>
          <w:highlight w:val="none"/>
        </w:rPr>
      </w:pPr>
      <w:bookmarkStart w:id="198" w:name="_Toc426379922"/>
      <w:r>
        <w:rPr>
          <w:rFonts w:hint="eastAsia" w:ascii="宋体" w:hAnsi="宋体" w:eastAsia="宋体" w:cs="宋体"/>
          <w:color w:val="auto"/>
          <w:sz w:val="24"/>
          <w:szCs w:val="24"/>
          <w:highlight w:val="none"/>
        </w:rPr>
        <w:t>（一）</w:t>
      </w:r>
      <w:r>
        <w:rPr>
          <w:rFonts w:hint="eastAsia" w:ascii="宋体" w:hAnsi="宋体" w:eastAsia="宋体" w:cs="宋体"/>
          <w:b/>
          <w:color w:val="auto"/>
          <w:sz w:val="24"/>
          <w:szCs w:val="24"/>
          <w:highlight w:val="none"/>
        </w:rPr>
        <w:t>评</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rPr>
        <w:t>原则</w:t>
      </w:r>
      <w:bookmarkEnd w:id="198"/>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“公平、公正、择优、效益”为本次评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的基本原则，磋商小组按照这一原则的要求，公正、平等地对待各供应商。同时，在评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过程中恪守以下原则：</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1.客观性原则：磋商小组将严格按照采购文件的要求，对供应商的</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进行认真评审；磋商小组对</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的评审仅依据</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本身，而不依据</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以外的任何因素。</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2.统一性原则：磋商小组将按照统一的评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原则和评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方法，用同一标准进行评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3.独立性原则：评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工作在磋商小组内部独立进行，不受外界任何因素的干扰和影响。评委对出具的评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意见承担个人责任。</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4.保密性原则：采购代理机构应当采取必要的措施，保证评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在严格保密的情况下进行。</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5.综合性原则：磋商小组将综合分析、评审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的各项指标，而不以单项指标的优劣评定出中标候选人或成交供应商。</w:t>
      </w:r>
    </w:p>
    <w:p>
      <w:pPr>
        <w:pStyle w:val="76"/>
        <w:pageBreakBefore w:val="0"/>
        <w:kinsoku/>
        <w:wordWrap/>
        <w:topLinePunct w:val="0"/>
        <w:bidi w:val="0"/>
        <w:adjustRightInd w:val="0"/>
        <w:snapToGrid w:val="0"/>
        <w:spacing w:afterAutospacing="0" w:line="360" w:lineRule="auto"/>
        <w:ind w:firstLine="501" w:firstLineChars="199"/>
        <w:jc w:val="both"/>
        <w:textAlignment w:val="auto"/>
        <w:rPr>
          <w:rFonts w:hint="eastAsia" w:ascii="宋体" w:hAnsi="宋体" w:eastAsia="宋体" w:cs="宋体"/>
          <w:color w:val="auto"/>
          <w:sz w:val="24"/>
          <w:szCs w:val="24"/>
          <w:highlight w:val="none"/>
        </w:rPr>
      </w:pPr>
      <w:bookmarkStart w:id="199" w:name="_Toc426379923"/>
      <w:r>
        <w:rPr>
          <w:rFonts w:hint="eastAsia" w:ascii="宋体" w:hAnsi="宋体" w:eastAsia="宋体" w:cs="宋体"/>
          <w:color w:val="auto"/>
          <w:sz w:val="24"/>
          <w:szCs w:val="24"/>
          <w:highlight w:val="none"/>
        </w:rPr>
        <w:t>（二）</w:t>
      </w:r>
      <w:r>
        <w:rPr>
          <w:rFonts w:hint="eastAsia" w:ascii="宋体" w:hAnsi="宋体" w:eastAsia="宋体" w:cs="宋体"/>
          <w:b/>
          <w:color w:val="auto"/>
          <w:sz w:val="24"/>
          <w:szCs w:val="24"/>
          <w:highlight w:val="none"/>
        </w:rPr>
        <w:t>评</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rPr>
        <w:t>办法</w:t>
      </w:r>
      <w:bookmarkEnd w:id="199"/>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采用综合评分法，磋商小组成员根据采购文件中确定的评分办法综合评定各供应商提交的</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，磋商小组成员打分取算术平均值计算综合总得分，按照得分由高到低排序，经采购人授权直接确定</w:t>
      </w:r>
      <w:r>
        <w:rPr>
          <w:rFonts w:hint="eastAsia" w:ascii="宋体" w:hAnsi="宋体" w:cs="宋体"/>
          <w:color w:val="auto"/>
          <w:sz w:val="24"/>
          <w:szCs w:val="24"/>
          <w:highlight w:val="none"/>
          <w:lang w:eastAsia="zh-CN"/>
        </w:rPr>
        <w:t>得分最高的供应商为</w:t>
      </w:r>
      <w:r>
        <w:rPr>
          <w:rFonts w:hint="eastAsia" w:ascii="宋体" w:hAnsi="宋体" w:eastAsia="宋体" w:cs="宋体"/>
          <w:color w:val="auto"/>
          <w:sz w:val="24"/>
          <w:szCs w:val="24"/>
          <w:highlight w:val="none"/>
        </w:rPr>
        <w:t>成交供应商。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1.初步评审</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是否符合资格后审要求。</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（2）磋商小组将确定每一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是否对采购文件的要求做出了实质性的响应，而没有重大偏离。实质性响应的</w:t>
      </w:r>
      <w:r>
        <w:rPr>
          <w:rFonts w:hint="eastAsia" w:ascii="宋体" w:hAnsi="宋体" w:cs="宋体"/>
          <w:color w:val="auto"/>
          <w:sz w:val="24"/>
          <w:szCs w:val="24"/>
          <w:highlight w:val="none"/>
          <w:lang w:eastAsia="zh-CN"/>
        </w:rPr>
        <w:t>报价文件</w:t>
      </w:r>
      <w:r>
        <w:rPr>
          <w:rFonts w:hint="eastAsia" w:ascii="宋体" w:hAnsi="宋体" w:eastAsia="宋体" w:cs="宋体"/>
          <w:color w:val="auto"/>
          <w:sz w:val="24"/>
          <w:szCs w:val="24"/>
          <w:highlight w:val="none"/>
        </w:rPr>
        <w:t>是指符合采购文件的所有条款、条件和规定且没有重大偏离或保留。</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中不构成重大偏离的、微小的、非正规、不一致或不规则的地方。但是修改的内容不能改变</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的实质性内容，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修改的内容以书面文件为准。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（4）磋商小组将拒绝被确定为非实质性响应的</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不能通过修正或撤销</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中的不符之处而使其</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成为实质性响应的</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（5）磋商小组对各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的报价进行评审。磋商小组发现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的报价均超过采购预算的，磋商小组有权否决所有</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；磋商小组发现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的报价明显低于其他报价，使其报价可能低于其个别成本的，应当要求该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不能合理说明或者不能提供相关证明材料，由磋商小组认定该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w:t>
      </w:r>
      <w:r>
        <w:rPr>
          <w:rFonts w:hint="eastAsia" w:ascii="宋体" w:hAnsi="宋体" w:cs="宋体"/>
          <w:color w:val="auto"/>
          <w:sz w:val="24"/>
          <w:szCs w:val="24"/>
          <w:highlight w:val="none"/>
          <w:lang w:eastAsia="zh-CN"/>
        </w:rPr>
        <w:t>价</w:t>
      </w:r>
      <w:r>
        <w:rPr>
          <w:rFonts w:hint="eastAsia" w:ascii="宋体" w:hAnsi="宋体" w:eastAsia="宋体" w:cs="宋体"/>
          <w:color w:val="auto"/>
          <w:sz w:val="24"/>
          <w:szCs w:val="24"/>
          <w:highlight w:val="none"/>
        </w:rPr>
        <w:t>，其</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作为</w:t>
      </w:r>
      <w:r>
        <w:rPr>
          <w:rFonts w:hint="eastAsia" w:ascii="宋体" w:hAnsi="宋体" w:cs="宋体"/>
          <w:color w:val="auto"/>
          <w:sz w:val="24"/>
          <w:szCs w:val="24"/>
          <w:highlight w:val="none"/>
          <w:lang w:eastAsia="zh-CN"/>
        </w:rPr>
        <w:t>无效报价</w:t>
      </w:r>
      <w:r>
        <w:rPr>
          <w:rFonts w:hint="eastAsia" w:ascii="宋体" w:hAnsi="宋体" w:eastAsia="宋体" w:cs="宋体"/>
          <w:color w:val="auto"/>
          <w:sz w:val="24"/>
          <w:szCs w:val="24"/>
          <w:highlight w:val="none"/>
        </w:rPr>
        <w:t>处理。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（6）磋商小组通过上述评审，确定入围供应商名单，只有成为入围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，才能进入综合评分阶段。</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2.综合评分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（1）为有助于对</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进行审查、评估和比较，磋商小组有权向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询问。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有义务以书面形式对其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中含义不明确的内容进行澄清和说明，但澄清和说明的内容不得超出</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的范围或改变</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的实质性内容。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澄清和说明的内容构成</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的组成部分。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（2）磋商小组根据评分办法（附后）对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进行综合评分，</w:t>
      </w:r>
      <w:r>
        <w:rPr>
          <w:rFonts w:hint="eastAsia" w:ascii="宋体" w:hAnsi="宋体" w:cs="宋体"/>
          <w:color w:val="auto"/>
          <w:sz w:val="24"/>
          <w:szCs w:val="24"/>
          <w:highlight w:val="none"/>
          <w:lang w:eastAsia="zh-CN"/>
        </w:rPr>
        <w:t>确定得最做高的供应商为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pPr>
        <w:pStyle w:val="76"/>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color w:val="auto"/>
          <w:sz w:val="24"/>
          <w:szCs w:val="24"/>
          <w:highlight w:val="none"/>
        </w:rPr>
      </w:pPr>
      <w:bookmarkStart w:id="200" w:name="_Toc426379924"/>
      <w:bookmarkStart w:id="201" w:name="_Toc426379374"/>
      <w:r>
        <w:rPr>
          <w:rFonts w:hint="eastAsia" w:ascii="宋体" w:hAnsi="宋体" w:eastAsia="宋体" w:cs="宋体"/>
          <w:b/>
          <w:color w:val="auto"/>
          <w:sz w:val="24"/>
          <w:szCs w:val="24"/>
          <w:highlight w:val="none"/>
        </w:rPr>
        <w:t>四、评</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rPr>
        <w:t>纪律</w:t>
      </w:r>
      <w:bookmarkEnd w:id="200"/>
      <w:bookmarkEnd w:id="201"/>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是</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工作的重要环节，评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工作在磋商小组内独立进行。磋商小组将按照评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原则的要求，公正、平等地对待所有供应商。</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2.所有磋商小组成员应忠于职守、廉洁自律、秉公办事、不徇私情。</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的审查、澄清、评价和比较以及授予合同的过程中，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对采购人、采购代理机构以及磋商小组其他成员施加影响的任何行为，都将导致被取消</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4.为保证评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的公正性，在评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过程中，磋商小组成员不得与任何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或与评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结果有利害关系的人员进行私下接触。在评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工作结束后，凡与评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情况有接触的任何人，不得将评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情况对外扩散。</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过程中，当发表结论性意见时，先听取专家评委意见，采购人代表随后发表意见。</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6.磋商小组成员应当客观、公正地履行职责，遵守职业道德，对所提出的评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意见承担个人责任。</w:t>
      </w:r>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7.在评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期间，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不得向磋商小组成员询问评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情况，不得进行旨在影响评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结果的任何活动。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有企图影响评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结果的任何活动，可能导致评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失败。如有违法行为，将依法追究其法律责任。</w:t>
      </w:r>
      <w:bookmarkStart w:id="202" w:name="_Toc426379925"/>
      <w:bookmarkStart w:id="203" w:name="_Toc426379375"/>
    </w:p>
    <w:p>
      <w:pPr>
        <w:pStyle w:val="76"/>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五、</w:t>
      </w:r>
      <w:bookmarkEnd w:id="202"/>
      <w:bookmarkEnd w:id="203"/>
      <w:r>
        <w:rPr>
          <w:rFonts w:hint="eastAsia" w:ascii="宋体" w:hAnsi="宋体" w:eastAsia="宋体" w:cs="宋体"/>
          <w:b/>
          <w:color w:val="auto"/>
          <w:sz w:val="24"/>
          <w:szCs w:val="24"/>
          <w:highlight w:val="none"/>
          <w:lang w:eastAsia="zh-CN"/>
        </w:rPr>
        <w:t>成交</w:t>
      </w:r>
    </w:p>
    <w:p>
      <w:pPr>
        <w:pStyle w:val="76"/>
        <w:pageBreakBefore w:val="0"/>
        <w:kinsoku/>
        <w:wordWrap/>
        <w:topLinePunct w:val="0"/>
        <w:bidi w:val="0"/>
        <w:adjustRightInd w:val="0"/>
        <w:snapToGrid w:val="0"/>
        <w:spacing w:afterAutospacing="0" w:line="360" w:lineRule="auto"/>
        <w:ind w:firstLine="504" w:firstLineChars="200"/>
        <w:jc w:val="left"/>
        <w:textAlignment w:val="auto"/>
        <w:outlineLvl w:val="1"/>
        <w:rPr>
          <w:rFonts w:hint="eastAsia" w:ascii="宋体" w:hAnsi="宋体" w:eastAsia="宋体" w:cs="宋体"/>
          <w:color w:val="auto"/>
          <w:sz w:val="24"/>
          <w:szCs w:val="24"/>
          <w:highlight w:val="none"/>
        </w:rPr>
      </w:pPr>
      <w:bookmarkStart w:id="204" w:name="_Toc426379926"/>
      <w:bookmarkStart w:id="205" w:name="_Toc426379376"/>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根据竞争性磋商文件中确定的评分办法综合评定各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提交的报价文件，</w:t>
      </w:r>
      <w:r>
        <w:rPr>
          <w:rFonts w:hint="eastAsia" w:ascii="宋体" w:hAnsi="宋体" w:eastAsia="宋体" w:cs="宋体"/>
          <w:color w:val="auto"/>
          <w:sz w:val="24"/>
          <w:szCs w:val="24"/>
          <w:highlight w:val="none"/>
          <w:lang w:eastAsia="zh-CN"/>
        </w:rPr>
        <w:t>由甲方授权磋商小组直接确定得分最高的为成交供应商</w:t>
      </w:r>
      <w:r>
        <w:rPr>
          <w:rFonts w:hint="eastAsia" w:ascii="宋体" w:hAnsi="宋体" w:eastAsia="宋体" w:cs="宋体"/>
          <w:color w:val="auto"/>
          <w:sz w:val="24"/>
          <w:szCs w:val="24"/>
          <w:highlight w:val="none"/>
        </w:rPr>
        <w:t>。</w:t>
      </w:r>
    </w:p>
    <w:p>
      <w:pPr>
        <w:pStyle w:val="76"/>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通知书</w:t>
      </w:r>
      <w:bookmarkEnd w:id="204"/>
      <w:bookmarkEnd w:id="205"/>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结果后，在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有效期内，采购代理机构向</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签发《</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通知书》。对未</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，采购人不对未</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原因做出解释，同时亦不退还</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pPr>
        <w:pStyle w:val="76"/>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color w:val="auto"/>
          <w:sz w:val="24"/>
          <w:szCs w:val="24"/>
          <w:highlight w:val="none"/>
        </w:rPr>
      </w:pPr>
      <w:bookmarkStart w:id="206" w:name="_Toc426379377"/>
      <w:bookmarkStart w:id="207" w:name="_Toc426379927"/>
      <w:r>
        <w:rPr>
          <w:rFonts w:hint="eastAsia" w:ascii="宋体" w:hAnsi="宋体" w:eastAsia="宋体" w:cs="宋体"/>
          <w:b/>
          <w:color w:val="auto"/>
          <w:sz w:val="24"/>
          <w:szCs w:val="24"/>
          <w:highlight w:val="none"/>
        </w:rPr>
        <w:t>七、授予合同</w:t>
      </w:r>
      <w:bookmarkEnd w:id="206"/>
      <w:bookmarkEnd w:id="207"/>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通知书》发出后30日内，采购人与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签订合同。采购文件、</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以及评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过程中的有关澄清、承诺文件均为合同的组成部分。</w:t>
      </w:r>
      <w:bookmarkStart w:id="208" w:name="_Toc17983"/>
      <w:bookmarkStart w:id="209" w:name="_Toc12191"/>
      <w:bookmarkStart w:id="210" w:name="_Toc7155"/>
      <w:bookmarkStart w:id="211" w:name="_Toc26522"/>
      <w:bookmarkStart w:id="212" w:name="_Toc23427"/>
      <w:bookmarkStart w:id="213" w:name="_Toc8768"/>
      <w:bookmarkStart w:id="214" w:name="_Toc7243"/>
      <w:bookmarkStart w:id="215" w:name="_Toc19869"/>
      <w:bookmarkStart w:id="216" w:name="_Toc378"/>
      <w:bookmarkStart w:id="217" w:name="_Toc12812"/>
      <w:bookmarkStart w:id="218" w:name="_Toc15877"/>
    </w:p>
    <w:p>
      <w:pPr>
        <w:pStyle w:val="50"/>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Cs w:val="24"/>
          <w:highlight w:val="none"/>
        </w:rPr>
      </w:pPr>
    </w:p>
    <w:p>
      <w:pPr>
        <w:pStyle w:val="50"/>
        <w:pageBreakBefore w:val="0"/>
        <w:kinsoku/>
        <w:wordWrap/>
        <w:topLinePunct w:val="0"/>
        <w:bidi w:val="0"/>
        <w:adjustRightInd w:val="0"/>
        <w:snapToGrid w:val="0"/>
        <w:spacing w:afterAutospacing="0" w:line="360" w:lineRule="auto"/>
        <w:ind w:firstLine="0" w:firstLineChars="0"/>
        <w:textAlignment w:val="auto"/>
        <w:rPr>
          <w:rFonts w:hint="eastAsia" w:ascii="宋体" w:hAnsi="宋体" w:eastAsia="宋体" w:cs="宋体"/>
          <w:color w:val="auto"/>
          <w:szCs w:val="24"/>
          <w:highlight w:val="none"/>
        </w:rPr>
      </w:pP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highlight w:val="none"/>
        </w:rPr>
      </w:pPr>
      <w:bookmarkStart w:id="219" w:name="_Toc5426"/>
      <w:r>
        <w:rPr>
          <w:rFonts w:hint="eastAsia" w:ascii="宋体" w:hAnsi="宋体" w:eastAsia="宋体" w:cs="宋体"/>
          <w:color w:val="auto"/>
          <w:highlight w:val="none"/>
        </w:rPr>
        <w:br w:type="page"/>
      </w:r>
    </w:p>
    <w:p>
      <w:pPr>
        <w:pStyle w:val="4"/>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第五部分  合同格式</w:t>
      </w:r>
      <w:bookmarkEnd w:id="190"/>
      <w:bookmarkEnd w:id="208"/>
      <w:bookmarkEnd w:id="209"/>
      <w:bookmarkEnd w:id="210"/>
      <w:bookmarkEnd w:id="211"/>
      <w:bookmarkEnd w:id="212"/>
      <w:bookmarkEnd w:id="213"/>
      <w:bookmarkEnd w:id="214"/>
      <w:bookmarkEnd w:id="215"/>
      <w:bookmarkEnd w:id="216"/>
      <w:bookmarkEnd w:id="217"/>
      <w:bookmarkEnd w:id="218"/>
      <w:bookmarkEnd w:id="219"/>
    </w:p>
    <w:p>
      <w:pPr>
        <w:pStyle w:val="64"/>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bookmarkStart w:id="220" w:name="_Toc2339"/>
      <w:r>
        <w:rPr>
          <w:rFonts w:hint="eastAsia" w:ascii="宋体" w:hAnsi="宋体" w:eastAsia="宋体" w:cs="宋体"/>
          <w:b/>
          <w:color w:val="auto"/>
          <w:sz w:val="24"/>
          <w:szCs w:val="24"/>
          <w:highlight w:val="none"/>
        </w:rPr>
        <w:t>（合同参考样本）</w:t>
      </w:r>
      <w:bookmarkEnd w:id="220"/>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b/>
          <w:color w:val="auto"/>
          <w:sz w:val="30"/>
          <w:szCs w:val="30"/>
          <w:highlight w:val="none"/>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资金编号：</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b/>
          <w:color w:val="auto"/>
          <w:sz w:val="36"/>
          <w:highlight w:val="none"/>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color w:val="auto"/>
          <w:sz w:val="30"/>
          <w:highlight w:val="none"/>
        </w:rPr>
      </w:pPr>
      <w:r>
        <w:rPr>
          <w:rFonts w:hint="eastAsia" w:ascii="宋体" w:hAnsi="宋体" w:eastAsia="宋体" w:cs="宋体"/>
          <w:b/>
          <w:bCs/>
          <w:color w:val="auto"/>
          <w:sz w:val="84"/>
          <w:szCs w:val="84"/>
          <w:highlight w:val="none"/>
        </w:rPr>
        <w:t>合同文本</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color w:val="auto"/>
          <w:sz w:val="30"/>
          <w:highlight w:val="none"/>
        </w:rPr>
      </w:pPr>
    </w:p>
    <w:p>
      <w:pPr>
        <w:pageBreakBefore w:val="0"/>
        <w:tabs>
          <w:tab w:val="left" w:pos="7360"/>
        </w:tabs>
        <w:kinsoku/>
        <w:wordWrap/>
        <w:topLinePunct w:val="0"/>
        <w:bidi w:val="0"/>
        <w:adjustRightInd w:val="0"/>
        <w:snapToGrid w:val="0"/>
        <w:spacing w:afterAutospacing="0" w:line="360" w:lineRule="auto"/>
        <w:textAlignment w:val="auto"/>
        <w:rPr>
          <w:rFonts w:hint="eastAsia" w:ascii="宋体" w:hAnsi="宋体" w:eastAsia="宋体" w:cs="宋体"/>
          <w:b/>
          <w:color w:val="auto"/>
          <w:sz w:val="36"/>
          <w:highlight w:val="none"/>
        </w:rPr>
      </w:pPr>
    </w:p>
    <w:p>
      <w:pPr>
        <w:pageBreakBefore w:val="0"/>
        <w:kinsoku/>
        <w:wordWrap/>
        <w:topLinePunct w:val="0"/>
        <w:bidi w:val="0"/>
        <w:adjustRightInd w:val="0"/>
        <w:snapToGrid w:val="0"/>
        <w:spacing w:afterAutospacing="0" w:line="360" w:lineRule="auto"/>
        <w:ind w:firstLine="1796" w:firstLineChars="497"/>
        <w:textAlignment w:val="auto"/>
        <w:rPr>
          <w:rFonts w:hint="eastAsia" w:ascii="宋体" w:hAnsi="宋体" w:eastAsia="宋体" w:cs="宋体"/>
          <w:b/>
          <w:color w:val="auto"/>
          <w:sz w:val="36"/>
          <w:highlight w:val="none"/>
        </w:rPr>
      </w:pPr>
    </w:p>
    <w:p>
      <w:pPr>
        <w:pageBreakBefore w:val="0"/>
        <w:kinsoku/>
        <w:wordWrap/>
        <w:topLinePunct w:val="0"/>
        <w:bidi w:val="0"/>
        <w:adjustRightInd w:val="0"/>
        <w:snapToGrid w:val="0"/>
        <w:spacing w:afterAutospacing="0" w:line="360" w:lineRule="auto"/>
        <w:ind w:firstLine="1796" w:firstLineChars="497"/>
        <w:textAlignment w:val="auto"/>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项目名称:</w:t>
      </w:r>
    </w:p>
    <w:p>
      <w:pPr>
        <w:pageBreakBefore w:val="0"/>
        <w:kinsoku/>
        <w:wordWrap/>
        <w:topLinePunct w:val="0"/>
        <w:bidi w:val="0"/>
        <w:adjustRightInd w:val="0"/>
        <w:snapToGrid w:val="0"/>
        <w:spacing w:afterAutospacing="0" w:line="360" w:lineRule="auto"/>
        <w:ind w:firstLine="1796" w:firstLineChars="497"/>
        <w:textAlignment w:val="auto"/>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项目编号:</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color w:val="auto"/>
          <w:sz w:val="36"/>
          <w:highlight w:val="none"/>
        </w:rPr>
      </w:pPr>
    </w:p>
    <w:p>
      <w:pPr>
        <w:pStyle w:val="13"/>
        <w:rPr>
          <w:rFonts w:hint="eastAsia" w:ascii="宋体" w:hAnsi="宋体" w:eastAsia="宋体" w:cs="宋体"/>
        </w:rPr>
      </w:pP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b/>
          <w:color w:val="auto"/>
          <w:sz w:val="36"/>
          <w:highlight w:val="none"/>
        </w:rPr>
      </w:pPr>
    </w:p>
    <w:p>
      <w:pPr>
        <w:pageBreakBefore w:val="0"/>
        <w:kinsoku/>
        <w:wordWrap/>
        <w:topLinePunct w:val="0"/>
        <w:bidi w:val="0"/>
        <w:adjustRightInd w:val="0"/>
        <w:snapToGrid w:val="0"/>
        <w:spacing w:afterAutospacing="0" w:line="360" w:lineRule="auto"/>
        <w:ind w:firstLine="1606" w:firstLineChars="5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        方:</w:t>
      </w:r>
    </w:p>
    <w:p>
      <w:pPr>
        <w:pageBreakBefore w:val="0"/>
        <w:kinsoku/>
        <w:wordWrap/>
        <w:topLinePunct w:val="0"/>
        <w:bidi w:val="0"/>
        <w:adjustRightInd w:val="0"/>
        <w:snapToGrid w:val="0"/>
        <w:spacing w:afterAutospacing="0" w:line="360" w:lineRule="auto"/>
        <w:ind w:firstLine="1606" w:firstLineChars="500"/>
        <w:textAlignment w:val="auto"/>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乙        方:</w:t>
      </w:r>
      <w:r>
        <w:rPr>
          <w:rFonts w:hint="eastAsia" w:ascii="宋体" w:hAnsi="宋体" w:eastAsia="宋体" w:cs="宋体"/>
          <w:b/>
          <w:color w:val="auto"/>
          <w:sz w:val="32"/>
          <w:szCs w:val="32"/>
          <w:highlight w:val="none"/>
          <w:u w:val="single"/>
        </w:rPr>
        <w:t xml:space="preserve"> </w:t>
      </w:r>
    </w:p>
    <w:p>
      <w:pPr>
        <w:pageBreakBefore w:val="0"/>
        <w:kinsoku/>
        <w:wordWrap/>
        <w:topLinePunct w:val="0"/>
        <w:bidi w:val="0"/>
        <w:adjustRightInd w:val="0"/>
        <w:snapToGrid w:val="0"/>
        <w:spacing w:afterAutospacing="0" w:line="360" w:lineRule="auto"/>
        <w:ind w:firstLine="1606" w:firstLineChars="500"/>
        <w:textAlignment w:val="auto"/>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代理机构名称：</w:t>
      </w:r>
    </w:p>
    <w:p>
      <w:pPr>
        <w:pageBreakBefore w:val="0"/>
        <w:kinsoku/>
        <w:wordWrap/>
        <w:topLinePunct w:val="0"/>
        <w:bidi w:val="0"/>
        <w:adjustRightInd w:val="0"/>
        <w:snapToGrid w:val="0"/>
        <w:spacing w:afterAutospacing="0" w:line="360" w:lineRule="auto"/>
        <w:ind w:left="0" w:leftChars="0" w:firstLine="1606" w:firstLineChars="5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合同生成日期：</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13"/>
        <w:rPr>
          <w:rFonts w:hint="eastAsia" w:ascii="宋体" w:hAnsi="宋体" w:eastAsia="宋体" w:cs="宋体"/>
        </w:rPr>
      </w:pPr>
    </w:p>
    <w:p>
      <w:pPr>
        <w:pageBreakBefore w:val="0"/>
        <w:kinsoku/>
        <w:wordWrap/>
        <w:topLinePunct w:val="0"/>
        <w:bidi w:val="0"/>
        <w:adjustRightInd w:val="0"/>
        <w:snapToGrid w:val="0"/>
        <w:spacing w:afterAutospacing="0" w:line="360" w:lineRule="auto"/>
        <w:ind w:firstLine="960" w:firstLineChars="400"/>
        <w:textAlignment w:val="auto"/>
        <w:rPr>
          <w:rFonts w:hint="eastAsia" w:ascii="宋体" w:hAnsi="宋体" w:eastAsia="宋体" w:cs="宋体"/>
          <w:b/>
          <w:color w:val="auto"/>
          <w:sz w:val="36"/>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（甲方）所需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(工程名称)经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代理机构名称）以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磋商文件在国内以竞争性磋商方式进行采购。经评审小组确定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（乙方）为成交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。甲、乙双方根据《中华人民共和国合同法》、《中华人民共和国政府招投标法》和其他法律、法规的规定，并按照公正、平等、自愿、诚实信用的原则，同意按照以下条款和条件，签署本合同。</w:t>
      </w:r>
    </w:p>
    <w:p>
      <w:pPr>
        <w:pageBreakBefore w:val="0"/>
        <w:kinsoku/>
        <w:wordWrap/>
        <w:topLinePunct w:val="0"/>
        <w:bidi w:val="0"/>
        <w:adjustRightInd w:val="0"/>
        <w:snapToGrid w:val="0"/>
        <w:spacing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一、本合同由合同文本和下列文件组成</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报价文件</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在磋商过程中做出的有关澄清、说明或者补正文件</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4、本合同附件</w:t>
      </w:r>
    </w:p>
    <w:p>
      <w:pPr>
        <w:pageBreakBefore w:val="0"/>
        <w:kinsoku/>
        <w:wordWrap/>
        <w:topLinePunct w:val="0"/>
        <w:bidi w:val="0"/>
        <w:adjustRightInd w:val="0"/>
        <w:snapToGrid w:val="0"/>
        <w:spacing w:afterAutospacing="0" w:line="360" w:lineRule="auto"/>
        <w:ind w:left="378" w:leftChars="189"/>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二、项目的名称、内容</w:t>
      </w:r>
      <w:r>
        <w:rPr>
          <w:rFonts w:hint="eastAsia" w:ascii="宋体" w:hAnsi="宋体" w:eastAsia="宋体" w:cs="宋体"/>
          <w:color w:val="auto"/>
          <w:sz w:val="24"/>
          <w:szCs w:val="24"/>
          <w:highlight w:val="none"/>
        </w:rPr>
        <w:t>_____________________________________________________________</w:t>
      </w:r>
    </w:p>
    <w:p>
      <w:pPr>
        <w:pageBreakBefore w:val="0"/>
        <w:kinsoku/>
        <w:wordWrap/>
        <w:topLinePunct w:val="0"/>
        <w:bidi w:val="0"/>
        <w:adjustRightInd w:val="0"/>
        <w:snapToGrid w:val="0"/>
        <w:spacing w:afterAutospacing="0" w:line="360" w:lineRule="auto"/>
        <w:ind w:left="9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（可后附详细工程内容或项目合同）</w:t>
      </w:r>
    </w:p>
    <w:p>
      <w:pPr>
        <w:pageBreakBefore w:val="0"/>
        <w:kinsoku/>
        <w:wordWrap/>
        <w:topLinePunct w:val="0"/>
        <w:bidi w:val="0"/>
        <w:adjustRightInd w:val="0"/>
        <w:snapToGrid w:val="0"/>
        <w:spacing w:afterAutospacing="0" w:line="360" w:lineRule="auto"/>
        <w:ind w:firstLine="382"/>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三、合同金额</w:t>
      </w:r>
    </w:p>
    <w:p>
      <w:pPr>
        <w:pageBreakBefore w:val="0"/>
        <w:kinsoku/>
        <w:wordWrap/>
        <w:topLinePunct w:val="0"/>
        <w:bidi w:val="0"/>
        <w:adjustRightInd w:val="0"/>
        <w:snapToGrid w:val="0"/>
        <w:spacing w:afterAutospacing="0" w:line="360" w:lineRule="auto"/>
        <w:ind w:firstLine="3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本工程为固定总价合同。</w:t>
      </w:r>
    </w:p>
    <w:p>
      <w:pPr>
        <w:pageBreakBefore w:val="0"/>
        <w:kinsoku/>
        <w:wordWrap/>
        <w:topLinePunct w:val="0"/>
        <w:bidi w:val="0"/>
        <w:adjustRightInd w:val="0"/>
        <w:snapToGrid w:val="0"/>
        <w:spacing w:afterAutospacing="0" w:line="360" w:lineRule="auto"/>
        <w:ind w:firstLine="3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w:t>
      </w:r>
      <w:r>
        <w:rPr>
          <w:rFonts w:hint="eastAsia" w:ascii="宋体" w:hAnsi="宋体" w:eastAsia="宋体" w:cs="宋体"/>
          <w:color w:val="auto"/>
          <w:sz w:val="24"/>
          <w:szCs w:val="24"/>
          <w:highlight w:val="none"/>
          <w:u w:val="single"/>
        </w:rPr>
        <w:t xml:space="preserve">人民币                       </w:t>
      </w:r>
      <w:r>
        <w:rPr>
          <w:rFonts w:hint="eastAsia" w:ascii="宋体" w:hAnsi="宋体" w:eastAsia="宋体" w:cs="宋体"/>
          <w:color w:val="auto"/>
          <w:sz w:val="10"/>
          <w:szCs w:val="10"/>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w:t>
      </w:r>
    </w:p>
    <w:p>
      <w:pPr>
        <w:pageBreakBefore w:val="0"/>
        <w:kinsoku/>
        <w:wordWrap/>
        <w:topLinePunct w:val="0"/>
        <w:bidi w:val="0"/>
        <w:adjustRightInd w:val="0"/>
        <w:snapToGrid w:val="0"/>
        <w:spacing w:afterAutospacing="0" w:line="360" w:lineRule="auto"/>
        <w:ind w:firstLine="955"/>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人民币                                     </w:t>
      </w:r>
      <w:r>
        <w:rPr>
          <w:rFonts w:hint="eastAsia" w:ascii="宋体" w:hAnsi="宋体" w:eastAsia="宋体" w:cs="宋体"/>
          <w:color w:val="auto"/>
          <w:sz w:val="24"/>
          <w:szCs w:val="24"/>
          <w:highlight w:val="none"/>
        </w:rPr>
        <w:t>（小写）</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四、付款</w:t>
      </w:r>
    </w:p>
    <w:p>
      <w:pPr>
        <w:pageBreakBefore w:val="0"/>
        <w:kinsoku/>
        <w:wordWrap/>
        <w:topLinePunct w:val="0"/>
        <w:bidi w:val="0"/>
        <w:adjustRightInd w:val="0"/>
        <w:snapToGrid w:val="0"/>
        <w:spacing w:afterAutospacing="0" w:line="360" w:lineRule="auto"/>
        <w:ind w:firstLine="382"/>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tabs>
          <w:tab w:val="left" w:pos="764"/>
        </w:tabs>
        <w:kinsoku/>
        <w:wordWrap/>
        <w:topLinePunct w:val="0"/>
        <w:bidi w:val="0"/>
        <w:adjustRightInd w:val="0"/>
        <w:snapToGrid w:val="0"/>
        <w:spacing w:afterAutospacing="0" w:line="360" w:lineRule="auto"/>
        <w:ind w:firstLine="236" w:firstLineChars="98"/>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五、时间、地点、验收方式</w:t>
      </w:r>
    </w:p>
    <w:p>
      <w:pPr>
        <w:pageBreakBefore w:val="0"/>
        <w:tabs>
          <w:tab w:val="left" w:pos="764"/>
        </w:tabs>
        <w:kinsoku/>
        <w:wordWrap/>
        <w:topLinePunct w:val="0"/>
        <w:bidi w:val="0"/>
        <w:adjustRightInd w:val="0"/>
        <w:snapToGrid w:val="0"/>
        <w:spacing w:afterAutospacing="0" w:line="360" w:lineRule="auto"/>
        <w:ind w:firstLine="235" w:firstLineChars="98"/>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1、时间：合同生效后于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以前，乙方完成全部工作。</w:t>
      </w:r>
    </w:p>
    <w:p>
      <w:pPr>
        <w:pageBreakBefore w:val="0"/>
        <w:tabs>
          <w:tab w:val="left" w:pos="764"/>
        </w:tabs>
        <w:kinsoku/>
        <w:wordWrap/>
        <w:topLinePunct w:val="0"/>
        <w:bidi w:val="0"/>
        <w:adjustRightInd w:val="0"/>
        <w:snapToGrid w:val="0"/>
        <w:spacing w:afterAutospacing="0" w:line="360" w:lineRule="auto"/>
        <w:ind w:firstLine="235" w:firstLineChars="98"/>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2、地点：甲方指定地点。</w:t>
      </w:r>
    </w:p>
    <w:p>
      <w:pPr>
        <w:pageBreakBefore w:val="0"/>
        <w:tabs>
          <w:tab w:val="left" w:pos="764"/>
        </w:tabs>
        <w:kinsoku/>
        <w:wordWrap/>
        <w:topLinePunct w:val="0"/>
        <w:bidi w:val="0"/>
        <w:adjustRightInd w:val="0"/>
        <w:snapToGrid w:val="0"/>
        <w:spacing w:afterAutospacing="0" w:line="360" w:lineRule="auto"/>
        <w:ind w:firstLine="235" w:firstLineChars="98"/>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3、验收方式：甲方自行组织验收。</w:t>
      </w:r>
    </w:p>
    <w:p>
      <w:pPr>
        <w:pageBreakBefore w:val="0"/>
        <w:kinsoku/>
        <w:wordWrap/>
        <w:topLinePunct w:val="0"/>
        <w:bidi w:val="0"/>
        <w:adjustRightInd w:val="0"/>
        <w:snapToGrid w:val="0"/>
        <w:spacing w:afterAutospacing="0" w:line="360" w:lineRule="auto"/>
        <w:ind w:left="362" w:leftChars="181" w:firstLine="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六、合同生效</w:t>
      </w:r>
    </w:p>
    <w:p>
      <w:pPr>
        <w:pageBreakBefore w:val="0"/>
        <w:kinsoku/>
        <w:wordWrap/>
        <w:topLinePunct w:val="0"/>
        <w:bidi w:val="0"/>
        <w:adjustRightInd w:val="0"/>
        <w:snapToGrid w:val="0"/>
        <w:spacing w:afterAutospacing="0" w:line="360" w:lineRule="auto"/>
        <w:ind w:left="362" w:leftChars="181" w:firstLine="2"/>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本合同为附条件生效合同，除甲乙双方签章，同时加盖代理机构合同审核章后，合同生效。 </w:t>
      </w:r>
    </w:p>
    <w:p>
      <w:pPr>
        <w:pageBreakBefore w:val="0"/>
        <w:kinsoku/>
        <w:wordWrap/>
        <w:topLinePunct w:val="0"/>
        <w:bidi w:val="0"/>
        <w:adjustRightInd w:val="0"/>
        <w:snapToGrid w:val="0"/>
        <w:spacing w:afterAutospacing="0" w:line="360" w:lineRule="auto"/>
        <w:ind w:left="362" w:leftChars="181" w:firstLine="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七、合同保存</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本合同一式六份，甲方二份，乙方一份，代理机构三份。</w:t>
      </w:r>
    </w:p>
    <w:p>
      <w:pPr>
        <w:pageBreakBefore w:val="0"/>
        <w:kinsoku/>
        <w:wordWrap/>
        <w:topLinePunct w:val="0"/>
        <w:bidi w:val="0"/>
        <w:adjustRightInd w:val="0"/>
        <w:snapToGrid w:val="0"/>
        <w:spacing w:afterAutospacing="0" w:line="360" w:lineRule="auto"/>
        <w:ind w:left="362" w:leftChars="181" w:firstLine="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八、违约条款</w:t>
      </w:r>
    </w:p>
    <w:p>
      <w:pPr>
        <w:pageBreakBefore w:val="0"/>
        <w:tabs>
          <w:tab w:val="left" w:pos="955"/>
          <w:tab w:val="left" w:pos="1146"/>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（1）合同一方违约，违约方向对方支付违约金，违约金额为成交金额的10%。</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 可直接从质保金中扣除；采购单位违约， 从采购款项中扣除。</w:t>
      </w:r>
    </w:p>
    <w:p>
      <w:pPr>
        <w:pageBreakBefore w:val="0"/>
        <w:tabs>
          <w:tab w:val="left" w:pos="955"/>
          <w:tab w:val="left" w:pos="1146"/>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给采购单位造成的实际损失高于违约金的，成交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应给采购单位对高出违约金的部分予以赔偿。</w:t>
      </w:r>
    </w:p>
    <w:p>
      <w:pPr>
        <w:pageBreakBefore w:val="0"/>
        <w:tabs>
          <w:tab w:val="left" w:pos="955"/>
          <w:tab w:val="left" w:pos="1146"/>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迟延履行合同、不完全履行合同或提供的服务不符合磋商文件的要求，除支付违约金外，采购单位有权要求其继续履行合同或重新提供符合要求的服务或解除本合同。采购单位要求解除本合同的， 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应退回采购单位已付合同价款并赔偿损失。</w:t>
      </w:r>
    </w:p>
    <w:p>
      <w:pPr>
        <w:pageBreakBefore w:val="0"/>
        <w:tabs>
          <w:tab w:val="left" w:pos="955"/>
          <w:tab w:val="left" w:pos="1146"/>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（4）其它未尽事宜，以《中华人民共和国合同法》规定为准。</w:t>
      </w:r>
    </w:p>
    <w:p>
      <w:pPr>
        <w:pageBreakBefore w:val="0"/>
        <w:tabs>
          <w:tab w:val="left" w:pos="955"/>
          <w:tab w:val="left" w:pos="1146"/>
        </w:tabs>
        <w:kinsoku/>
        <w:wordWrap/>
        <w:topLinePunct w:val="0"/>
        <w:bidi w:val="0"/>
        <w:adjustRightInd w:val="0"/>
        <w:snapToGrid w:val="0"/>
        <w:spacing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九、争议解决</w:t>
      </w:r>
    </w:p>
    <w:p>
      <w:pPr>
        <w:pageBreakBefore w:val="0"/>
        <w:tabs>
          <w:tab w:val="left" w:pos="955"/>
          <w:tab w:val="left" w:pos="1146"/>
        </w:tabs>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w:t>
      </w:r>
      <w:r>
        <w:rPr>
          <w:rFonts w:hint="eastAsia" w:ascii="宋体" w:hAnsi="宋体" w:eastAsia="宋体" w:cs="宋体"/>
          <w:color w:val="auto"/>
          <w:sz w:val="24"/>
          <w:szCs w:val="24"/>
          <w:highlight w:val="none"/>
        </w:rPr>
        <w:t>合同履行过程中发生的或者与本合同有关的任何争议，甲乙双方应协商解决，协商不成的，应向甲方住所地人民法院起诉解决。</w:t>
      </w:r>
    </w:p>
    <w:p>
      <w:pPr>
        <w:pageBreakBefore w:val="0"/>
        <w:tabs>
          <w:tab w:val="left" w:pos="955"/>
          <w:tab w:val="left" w:pos="1146"/>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方（公章）：                     乙    方（公章）：</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法定代表人或授权代理人：（签字）       法定代表人或授权代理人：（签字）</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开户单位：                             开户单位：</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开户银行：</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    号：                             帐    号： </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  签订时间：</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此处加盖代理机构合同审核章，并签署日期（同时甲方、乙方、代理机构加盖骑缝章）</w:t>
      </w:r>
    </w:p>
    <w:p>
      <w:pPr>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p>
    <w:p>
      <w:pPr>
        <w:jc w:val="center"/>
        <w:rPr>
          <w:rFonts w:hint="eastAsia" w:ascii="宋体" w:hAnsi="宋体" w:eastAsia="宋体" w:cs="宋体"/>
          <w:b w:val="0"/>
          <w:bCs/>
          <w:color w:val="auto"/>
          <w:sz w:val="32"/>
          <w:szCs w:val="32"/>
          <w:highlight w:val="none"/>
        </w:rPr>
      </w:pPr>
      <w:r>
        <w:rPr>
          <w:rFonts w:hint="eastAsia" w:ascii="宋体" w:hAnsi="宋体" w:cs="宋体"/>
          <w:b w:val="0"/>
          <w:bCs/>
          <w:color w:val="auto"/>
          <w:sz w:val="32"/>
          <w:szCs w:val="32"/>
          <w:highlight w:val="none"/>
          <w:lang w:eastAsia="zh-CN"/>
        </w:rPr>
        <w:t>附：</w:t>
      </w:r>
      <w:r>
        <w:rPr>
          <w:rFonts w:hint="eastAsia" w:ascii="宋体" w:hAnsi="宋体" w:eastAsia="宋体" w:cs="宋体"/>
          <w:b w:val="0"/>
          <w:bCs/>
          <w:color w:val="auto"/>
          <w:sz w:val="32"/>
          <w:szCs w:val="32"/>
          <w:highlight w:val="none"/>
        </w:rPr>
        <w:t>详 细 工 程 内 容</w:t>
      </w:r>
    </w:p>
    <w:p>
      <w:pPr>
        <w:rPr>
          <w:rFonts w:hint="eastAsia" w:ascii="宋体" w:hAnsi="宋体" w:eastAsia="宋体" w:cs="宋体"/>
          <w:color w:val="auto"/>
          <w:highlight w:val="none"/>
        </w:rPr>
      </w:pPr>
      <w:bookmarkStart w:id="221" w:name="_Toc181180300"/>
      <w:bookmarkStart w:id="222" w:name="_Toc183264344"/>
      <w:bookmarkStart w:id="223" w:name="_Toc27984"/>
      <w:bookmarkStart w:id="224" w:name="_Toc31366"/>
      <w:bookmarkStart w:id="225" w:name="_Toc3663"/>
      <w:bookmarkStart w:id="226" w:name="_Toc28451"/>
      <w:bookmarkStart w:id="227" w:name="_Toc5436"/>
      <w:bookmarkStart w:id="228" w:name="_Toc28834"/>
      <w:bookmarkStart w:id="229" w:name="_Toc10012"/>
      <w:bookmarkStart w:id="230" w:name="_Toc25183"/>
      <w:bookmarkStart w:id="231" w:name="_Toc6525"/>
      <w:bookmarkStart w:id="232" w:name="_Toc4371"/>
      <w:bookmarkStart w:id="233" w:name="_Toc31690"/>
      <w:bookmarkStart w:id="234" w:name="_Toc9490"/>
      <w:bookmarkStart w:id="235" w:name="_Toc31628"/>
      <w:r>
        <w:rPr>
          <w:rFonts w:hint="eastAsia" w:ascii="宋体" w:hAnsi="宋体" w:eastAsia="宋体" w:cs="宋体"/>
          <w:color w:val="auto"/>
          <w:highlight w:val="none"/>
        </w:rPr>
        <w:br w:type="page"/>
      </w:r>
    </w:p>
    <w:p>
      <w:pPr>
        <w:pStyle w:val="4"/>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b w:val="0"/>
          <w:color w:val="auto"/>
          <w:szCs w:val="36"/>
          <w:highlight w:val="none"/>
        </w:rPr>
      </w:pPr>
      <w:r>
        <w:rPr>
          <w:rFonts w:hint="eastAsia" w:ascii="宋体" w:hAnsi="宋体" w:eastAsia="宋体" w:cs="宋体"/>
          <w:color w:val="auto"/>
          <w:highlight w:val="none"/>
        </w:rPr>
        <w:t xml:space="preserve">第六部分  </w:t>
      </w:r>
      <w:bookmarkEnd w:id="221"/>
      <w:bookmarkEnd w:id="222"/>
      <w:r>
        <w:rPr>
          <w:rFonts w:hint="eastAsia" w:ascii="宋体" w:hAnsi="宋体" w:eastAsia="宋体" w:cs="宋体"/>
          <w:color w:val="auto"/>
          <w:highlight w:val="none"/>
        </w:rPr>
        <w:t>报价函部分格式</w:t>
      </w:r>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76"/>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color w:val="auto"/>
          <w:highlight w:val="none"/>
        </w:rPr>
      </w:pPr>
      <w:bookmarkStart w:id="236" w:name="_Toc183264345"/>
      <w:bookmarkStart w:id="237" w:name="_Toc28419"/>
      <w:bookmarkStart w:id="238" w:name="_Toc14653"/>
      <w:bookmarkStart w:id="239" w:name="_Toc32715"/>
      <w:bookmarkStart w:id="240" w:name="_Toc25577"/>
      <w:bookmarkStart w:id="241" w:name="_Toc13443"/>
      <w:bookmarkStart w:id="242" w:name="_Toc8362"/>
      <w:bookmarkStart w:id="243" w:name="_Toc26493"/>
      <w:bookmarkStart w:id="244" w:name="_Toc3757"/>
      <w:bookmarkStart w:id="245" w:name="_Toc5820"/>
      <w:bookmarkStart w:id="246" w:name="_Toc1967"/>
      <w:bookmarkStart w:id="247" w:name="_Toc23040"/>
      <w:bookmarkStart w:id="248" w:name="_Toc31460"/>
      <w:r>
        <w:rPr>
          <w:rFonts w:hint="eastAsia" w:ascii="宋体" w:hAnsi="宋体" w:eastAsia="宋体" w:cs="宋体"/>
          <w:color w:val="auto"/>
          <w:highlight w:val="none"/>
        </w:rPr>
        <w:t>一、</w:t>
      </w:r>
      <w:bookmarkEnd w:id="236"/>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价</w:t>
      </w:r>
      <w:r>
        <w:rPr>
          <w:rFonts w:hint="eastAsia" w:ascii="宋体" w:hAnsi="宋体" w:eastAsia="宋体" w:cs="宋体"/>
          <w:color w:val="auto"/>
          <w:highlight w:val="none"/>
        </w:rPr>
        <w:t xml:space="preserve">  函</w:t>
      </w:r>
      <w:bookmarkEnd w:id="237"/>
      <w:bookmarkEnd w:id="238"/>
      <w:bookmarkEnd w:id="239"/>
      <w:bookmarkEnd w:id="240"/>
      <w:bookmarkEnd w:id="241"/>
      <w:bookmarkEnd w:id="242"/>
      <w:bookmarkEnd w:id="243"/>
      <w:bookmarkEnd w:id="244"/>
      <w:bookmarkEnd w:id="245"/>
      <w:bookmarkEnd w:id="246"/>
      <w:bookmarkEnd w:id="247"/>
      <w:bookmarkEnd w:id="248"/>
    </w:p>
    <w:p>
      <w:pPr>
        <w:pStyle w:val="17"/>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经研究，我方决定参加项目编号为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的项目的竞争性磋商活动并提交报价文件，为此，我方郑重声明以下诸点，并负法律责任。</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1、我方提交的报价文件，正本一份，副本</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份。</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2、如果我方的报价文件被接受，我方将履行竞争性磋商文件中规定的每一项要求，并按我方报价文件及其承诺按期、保质、保量提供服务。</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3、我方理解最低报价不是</w:t>
      </w:r>
      <w:r>
        <w:rPr>
          <w:rFonts w:hint="eastAsia" w:hAnsi="宋体" w:cs="宋体"/>
          <w:color w:val="auto"/>
          <w:highlight w:val="none"/>
          <w:lang w:eastAsia="zh-CN"/>
        </w:rPr>
        <w:t>成交</w:t>
      </w:r>
      <w:r>
        <w:rPr>
          <w:rFonts w:hint="eastAsia" w:ascii="宋体" w:hAnsi="宋体" w:eastAsia="宋体" w:cs="宋体"/>
          <w:color w:val="auto"/>
          <w:highlight w:val="none"/>
        </w:rPr>
        <w:t>的唯一条件，贵机构有选择</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的权利。</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4、我方愿按《中华人民共和国合同法》履行自己的全部责任。</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5、我方同意按竞争性磋商文件规定交纳</w:t>
      </w:r>
      <w:r>
        <w:rPr>
          <w:rFonts w:hint="eastAsia" w:hAnsi="宋体" w:cs="宋体"/>
          <w:color w:val="auto"/>
          <w:highlight w:val="none"/>
          <w:lang w:eastAsia="zh-CN"/>
        </w:rPr>
        <w:t>成交</w:t>
      </w:r>
      <w:r>
        <w:rPr>
          <w:rFonts w:hint="eastAsia" w:ascii="宋体" w:hAnsi="宋体" w:eastAsia="宋体" w:cs="宋体"/>
          <w:color w:val="auto"/>
          <w:highlight w:val="none"/>
        </w:rPr>
        <w:t>服务费、公证费（见证费），并遵守贵机构有关磋商会议的各项规定。</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6、我方的报价文件自公开报价之日起有效期为</w:t>
      </w:r>
      <w:r>
        <w:rPr>
          <w:rFonts w:hint="eastAsia" w:ascii="宋体" w:hAnsi="宋体" w:eastAsia="宋体" w:cs="宋体"/>
          <w:color w:val="auto"/>
          <w:highlight w:val="none"/>
          <w:u w:val="single"/>
        </w:rPr>
        <w:t>90</w:t>
      </w:r>
      <w:r>
        <w:rPr>
          <w:rFonts w:hint="eastAsia" w:ascii="宋体" w:hAnsi="宋体" w:eastAsia="宋体" w:cs="宋体"/>
          <w:color w:val="auto"/>
          <w:highlight w:val="none"/>
        </w:rPr>
        <w:t>日历日。</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7、我方若未成为成交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，贵机构有权不做解释。</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8、与本</w:t>
      </w:r>
      <w:r>
        <w:rPr>
          <w:rFonts w:hint="eastAsia" w:hAnsi="宋体" w:cs="宋体"/>
          <w:color w:val="auto"/>
          <w:highlight w:val="none"/>
          <w:lang w:eastAsia="zh-CN"/>
        </w:rPr>
        <w:t>报价</w:t>
      </w:r>
      <w:r>
        <w:rPr>
          <w:rFonts w:hint="eastAsia" w:ascii="宋体" w:hAnsi="宋体" w:eastAsia="宋体" w:cs="宋体"/>
          <w:color w:val="auto"/>
          <w:highlight w:val="none"/>
        </w:rPr>
        <w:t>有关的一切正式往来通讯请寄：</w:t>
      </w:r>
    </w:p>
    <w:p>
      <w:pPr>
        <w:pStyle w:val="17"/>
        <w:pageBreakBefore w:val="0"/>
        <w:kinsoku/>
        <w:wordWrap/>
        <w:topLinePunct w:val="0"/>
        <w:bidi w:val="0"/>
        <w:adjustRightInd w:val="0"/>
        <w:snapToGrid w:val="0"/>
        <w:spacing w:afterAutospacing="0" w:line="360" w:lineRule="auto"/>
        <w:ind w:left="544" w:leftChars="272" w:firstLine="382"/>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代表姓名、职务：</w:t>
      </w:r>
    </w:p>
    <w:p>
      <w:pPr>
        <w:pStyle w:val="17"/>
        <w:pageBreakBefore w:val="0"/>
        <w:kinsoku/>
        <w:wordWrap/>
        <w:topLinePunct w:val="0"/>
        <w:bidi w:val="0"/>
        <w:adjustRightInd w:val="0"/>
        <w:snapToGrid w:val="0"/>
        <w:spacing w:afterAutospacing="0" w:line="360" w:lineRule="auto"/>
        <w:ind w:left="544" w:leftChars="272" w:firstLine="382"/>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单位全称（公章）</w:t>
      </w:r>
    </w:p>
    <w:p>
      <w:pPr>
        <w:pStyle w:val="17"/>
        <w:pageBreakBefore w:val="0"/>
        <w:kinsoku/>
        <w:wordWrap/>
        <w:topLinePunct w:val="0"/>
        <w:bidi w:val="0"/>
        <w:adjustRightInd w:val="0"/>
        <w:snapToGrid w:val="0"/>
        <w:spacing w:afterAutospacing="0" w:line="360" w:lineRule="auto"/>
        <w:ind w:left="544" w:leftChars="272" w:firstLine="382"/>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法定代表人或其授权代理人签字：</w:t>
      </w:r>
    </w:p>
    <w:p>
      <w:pPr>
        <w:pStyle w:val="17"/>
        <w:pageBreakBefore w:val="0"/>
        <w:kinsoku/>
        <w:wordWrap/>
        <w:topLinePunct w:val="0"/>
        <w:bidi w:val="0"/>
        <w:adjustRightInd w:val="0"/>
        <w:snapToGrid w:val="0"/>
        <w:spacing w:afterAutospacing="0" w:line="360" w:lineRule="auto"/>
        <w:ind w:left="544" w:leftChars="272"/>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地    址：</w:t>
      </w:r>
    </w:p>
    <w:p>
      <w:pPr>
        <w:pStyle w:val="17"/>
        <w:pageBreakBefore w:val="0"/>
        <w:kinsoku/>
        <w:wordWrap/>
        <w:topLinePunct w:val="0"/>
        <w:bidi w:val="0"/>
        <w:adjustRightInd w:val="0"/>
        <w:snapToGrid w:val="0"/>
        <w:spacing w:afterAutospacing="0" w:line="360" w:lineRule="auto"/>
        <w:ind w:left="544" w:leftChars="272"/>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邮政编码：</w:t>
      </w:r>
    </w:p>
    <w:p>
      <w:pPr>
        <w:pStyle w:val="17"/>
        <w:pageBreakBefore w:val="0"/>
        <w:kinsoku/>
        <w:wordWrap/>
        <w:topLinePunct w:val="0"/>
        <w:bidi w:val="0"/>
        <w:adjustRightInd w:val="0"/>
        <w:snapToGrid w:val="0"/>
        <w:spacing w:afterAutospacing="0" w:line="360" w:lineRule="auto"/>
        <w:ind w:left="544" w:leftChars="272"/>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电    话：</w:t>
      </w:r>
    </w:p>
    <w:p>
      <w:pPr>
        <w:pStyle w:val="17"/>
        <w:pageBreakBefore w:val="0"/>
        <w:kinsoku/>
        <w:wordWrap/>
        <w:topLinePunct w:val="0"/>
        <w:bidi w:val="0"/>
        <w:adjustRightInd w:val="0"/>
        <w:snapToGrid w:val="0"/>
        <w:spacing w:afterAutospacing="0" w:line="360" w:lineRule="auto"/>
        <w:ind w:left="544" w:leftChars="272"/>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pStyle w:val="17"/>
        <w:pageBreakBefore w:val="0"/>
        <w:tabs>
          <w:tab w:val="left" w:pos="0"/>
          <w:tab w:val="left" w:pos="720"/>
          <w:tab w:val="left" w:pos="1440"/>
          <w:tab w:val="left" w:pos="2160"/>
          <w:tab w:val="left" w:pos="2880"/>
          <w:tab w:val="left" w:pos="3600"/>
          <w:tab w:val="left" w:pos="4320"/>
        </w:tabs>
        <w:kinsoku/>
        <w:wordWrap/>
        <w:topLinePunct w:val="0"/>
        <w:bidi w:val="0"/>
        <w:adjustRightInd w:val="0"/>
        <w:snapToGrid w:val="0"/>
        <w:spacing w:afterAutospacing="0" w:line="360" w:lineRule="auto"/>
        <w:ind w:left="6660" w:firstLine="480"/>
        <w:textAlignment w:val="auto"/>
        <w:rPr>
          <w:rFonts w:hint="eastAsia" w:ascii="宋体" w:hAnsi="宋体" w:eastAsia="宋体" w:cs="宋体"/>
          <w:color w:val="auto"/>
          <w:highlight w:val="none"/>
        </w:rPr>
      </w:pPr>
    </w:p>
    <w:p>
      <w:pPr>
        <w:pStyle w:val="17"/>
        <w:pageBreakBefore w:val="0"/>
        <w:tabs>
          <w:tab w:val="left" w:pos="0"/>
          <w:tab w:val="left" w:pos="720"/>
          <w:tab w:val="left" w:pos="1440"/>
          <w:tab w:val="left" w:pos="2160"/>
          <w:tab w:val="left" w:pos="2880"/>
          <w:tab w:val="left" w:pos="3600"/>
          <w:tab w:val="left" w:pos="4320"/>
        </w:tabs>
        <w:kinsoku/>
        <w:wordWrap/>
        <w:topLinePunct w:val="0"/>
        <w:bidi w:val="0"/>
        <w:adjustRightInd w:val="0"/>
        <w:snapToGrid w:val="0"/>
        <w:spacing w:afterAutospacing="0" w:line="360" w:lineRule="auto"/>
        <w:ind w:left="6660" w:firstLine="480"/>
        <w:textAlignment w:val="auto"/>
        <w:rPr>
          <w:rFonts w:hint="eastAsia" w:ascii="宋体" w:hAnsi="宋体" w:eastAsia="宋体" w:cs="宋体"/>
          <w:b/>
          <w:color w:val="auto"/>
          <w:highlight w:val="none"/>
        </w:rPr>
      </w:pPr>
      <w:r>
        <w:rPr>
          <w:rFonts w:hint="eastAsia" w:ascii="宋体" w:hAnsi="宋体" w:eastAsia="宋体" w:cs="宋体"/>
          <w:color w:val="auto"/>
          <w:highlight w:val="none"/>
        </w:rPr>
        <w:t>年   月   日</w:t>
      </w:r>
      <w:bookmarkStart w:id="249" w:name="_Toc10170"/>
      <w:bookmarkStart w:id="250" w:name="_Toc7637"/>
      <w:bookmarkStart w:id="251" w:name="_Toc10519"/>
      <w:bookmarkStart w:id="252" w:name="_Toc17009"/>
      <w:bookmarkStart w:id="253" w:name="_Toc183264346"/>
    </w:p>
    <w:bookmarkEnd w:id="249"/>
    <w:bookmarkEnd w:id="250"/>
    <w:bookmarkEnd w:id="251"/>
    <w:p>
      <w:pPr>
        <w:rPr>
          <w:rFonts w:hint="eastAsia" w:ascii="宋体" w:hAnsi="宋体" w:eastAsia="宋体" w:cs="宋体"/>
          <w:color w:val="auto"/>
          <w:szCs w:val="22"/>
          <w:highlight w:val="none"/>
        </w:rPr>
      </w:pPr>
      <w:bookmarkStart w:id="254" w:name="_Toc9805"/>
      <w:bookmarkStart w:id="255" w:name="_Toc13445"/>
      <w:bookmarkStart w:id="256" w:name="_Toc6430"/>
      <w:bookmarkStart w:id="257" w:name="_Toc9563"/>
      <w:bookmarkStart w:id="258" w:name="_Toc23301"/>
      <w:bookmarkStart w:id="259" w:name="_Toc806"/>
      <w:bookmarkStart w:id="260" w:name="_Toc15853"/>
      <w:bookmarkStart w:id="261" w:name="_Toc10451"/>
      <w:bookmarkStart w:id="262" w:name="_Toc740"/>
      <w:bookmarkStart w:id="263" w:name="_Toc1499"/>
      <w:bookmarkStart w:id="264" w:name="_Toc11257"/>
      <w:r>
        <w:rPr>
          <w:rFonts w:hint="eastAsia" w:ascii="宋体" w:hAnsi="宋体" w:eastAsia="宋体" w:cs="宋体"/>
          <w:color w:val="auto"/>
          <w:szCs w:val="22"/>
          <w:highlight w:val="none"/>
        </w:rPr>
        <w:br w:type="page"/>
      </w:r>
    </w:p>
    <w:p>
      <w:pPr>
        <w:pStyle w:val="17"/>
        <w:pageBreakBefore w:val="0"/>
        <w:kinsoku/>
        <w:wordWrap/>
        <w:topLinePunct w:val="0"/>
        <w:bidi w:val="0"/>
        <w:adjustRightInd w:val="0"/>
        <w:snapToGrid w:val="0"/>
        <w:spacing w:afterAutospacing="0" w:line="360" w:lineRule="auto"/>
        <w:ind w:left="-2" w:firstLine="48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二、法定代表人身份证明书</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单位名称：</w:t>
      </w:r>
      <w:r>
        <w:rPr>
          <w:rFonts w:hint="eastAsia" w:ascii="宋体" w:hAnsi="宋体" w:eastAsia="宋体" w:cs="宋体"/>
          <w:color w:val="auto"/>
          <w:szCs w:val="22"/>
          <w:highlight w:val="none"/>
        </w:rPr>
        <w:tab/>
      </w:r>
      <w:r>
        <w:rPr>
          <w:rFonts w:hint="eastAsia" w:ascii="宋体" w:hAnsi="宋体" w:eastAsia="宋体" w:cs="宋体"/>
          <w:color w:val="auto"/>
          <w:szCs w:val="22"/>
          <w:highlight w:val="none"/>
        </w:rPr>
        <w:tab/>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单位性质：</w:t>
      </w:r>
      <w:r>
        <w:rPr>
          <w:rFonts w:hint="eastAsia" w:ascii="宋体" w:hAnsi="宋体" w:eastAsia="宋体" w:cs="宋体"/>
          <w:color w:val="auto"/>
          <w:szCs w:val="22"/>
          <w:highlight w:val="none"/>
        </w:rPr>
        <w:tab/>
      </w:r>
      <w:r>
        <w:rPr>
          <w:rFonts w:hint="eastAsia" w:ascii="宋体" w:hAnsi="宋体" w:eastAsia="宋体" w:cs="宋体"/>
          <w:color w:val="auto"/>
          <w:szCs w:val="22"/>
          <w:highlight w:val="none"/>
        </w:rPr>
        <w:tab/>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地址：</w:t>
      </w:r>
      <w:r>
        <w:rPr>
          <w:rFonts w:hint="eastAsia" w:ascii="宋体" w:hAnsi="宋体" w:eastAsia="宋体" w:cs="宋体"/>
          <w:color w:val="auto"/>
          <w:szCs w:val="22"/>
          <w:highlight w:val="none"/>
        </w:rPr>
        <w:tab/>
      </w:r>
      <w:r>
        <w:rPr>
          <w:rFonts w:hint="eastAsia" w:ascii="宋体" w:hAnsi="宋体" w:eastAsia="宋体" w:cs="宋体"/>
          <w:color w:val="auto"/>
          <w:szCs w:val="22"/>
          <w:highlight w:val="none"/>
        </w:rPr>
        <w:tab/>
      </w:r>
      <w:r>
        <w:rPr>
          <w:rFonts w:hint="eastAsia" w:ascii="宋体" w:hAnsi="宋体" w:eastAsia="宋体" w:cs="宋体"/>
          <w:color w:val="auto"/>
          <w:szCs w:val="22"/>
          <w:highlight w:val="none"/>
        </w:rPr>
        <w:tab/>
      </w:r>
      <w:r>
        <w:rPr>
          <w:rFonts w:hint="eastAsia" w:ascii="宋体" w:hAnsi="宋体" w:eastAsia="宋体" w:cs="宋体"/>
          <w:color w:val="auto"/>
          <w:szCs w:val="22"/>
          <w:highlight w:val="none"/>
        </w:rPr>
        <w:tab/>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成立时间：  年   月   日</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经营期限：</w:t>
      </w:r>
      <w:r>
        <w:rPr>
          <w:rFonts w:hint="eastAsia" w:ascii="宋体" w:hAnsi="宋体" w:eastAsia="宋体" w:cs="宋体"/>
          <w:color w:val="auto"/>
          <w:szCs w:val="22"/>
          <w:highlight w:val="none"/>
        </w:rPr>
        <w:tab/>
      </w:r>
      <w:r>
        <w:rPr>
          <w:rFonts w:hint="eastAsia" w:ascii="宋体" w:hAnsi="宋体" w:eastAsia="宋体" w:cs="宋体"/>
          <w:color w:val="auto"/>
          <w:szCs w:val="22"/>
          <w:highlight w:val="none"/>
        </w:rPr>
        <w:tab/>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姓名：性别：年龄：职务：</w:t>
      </w:r>
      <w:r>
        <w:rPr>
          <w:rFonts w:hint="eastAsia" w:ascii="宋体" w:hAnsi="宋体" w:eastAsia="宋体" w:cs="宋体"/>
          <w:color w:val="auto"/>
          <w:szCs w:val="22"/>
          <w:highlight w:val="none"/>
        </w:rPr>
        <w:tab/>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系（供应商单位名称）的法定代表人。</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mc:AlternateContent>
          <mc:Choice Requires="wps">
            <w:drawing>
              <wp:anchor distT="0" distB="0" distL="114300" distR="114300" simplePos="0" relativeHeight="251657216" behindDoc="1" locked="1" layoutInCell="1" allowOverlap="1">
                <wp:simplePos x="0" y="0"/>
                <wp:positionH relativeFrom="column">
                  <wp:posOffset>1031875</wp:posOffset>
                </wp:positionH>
                <wp:positionV relativeFrom="paragraph">
                  <wp:posOffset>-1905</wp:posOffset>
                </wp:positionV>
                <wp:extent cx="4200525" cy="1964690"/>
                <wp:effectExtent l="9525" t="9525" r="19050" b="26035"/>
                <wp:wrapNone/>
                <wp:docPr id="3" name="Rectangle 2"/>
                <wp:cNvGraphicFramePr/>
                <a:graphic xmlns:a="http://schemas.openxmlformats.org/drawingml/2006/main">
                  <a:graphicData uri="http://schemas.microsoft.com/office/word/2010/wordprocessingShape">
                    <wps:wsp>
                      <wps:cNvSpPr/>
                      <wps:spPr>
                        <a:xfrm>
                          <a:off x="0" y="0"/>
                          <a:ext cx="4200525" cy="196469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pPr>
                          </w:p>
                          <w:p>
                            <w:pPr>
                              <w:jc w:val="center"/>
                              <w:rPr>
                                <w:rFonts w:ascii="仿宋_GB2312" w:eastAsia="仿宋_GB2312"/>
                              </w:rPr>
                            </w:pPr>
                          </w:p>
                          <w:p>
                            <w:pPr>
                              <w:jc w:val="center"/>
                              <w:rPr>
                                <w:rFonts w:ascii="宋体" w:hAnsi="宋体"/>
                                <w:sz w:val="28"/>
                                <w:szCs w:val="28"/>
                              </w:rPr>
                            </w:pPr>
                            <w:r>
                              <w:rPr>
                                <w:rFonts w:ascii="宋体" w:hAnsi="宋体"/>
                                <w:sz w:val="28"/>
                                <w:szCs w:val="28"/>
                              </w:rPr>
                              <w:t>请附：法定代表人身份证复印件</w:t>
                            </w:r>
                          </w:p>
                        </w:txbxContent>
                      </wps:txbx>
                      <wps:bodyPr upright="1"/>
                    </wps:wsp>
                  </a:graphicData>
                </a:graphic>
              </wp:anchor>
            </w:drawing>
          </mc:Choice>
          <mc:Fallback>
            <w:pict>
              <v:rect id="Rectangle 2" o:spid="_x0000_s1026" o:spt="1" style="position:absolute;left:0pt;margin-left:81.25pt;margin-top:-0.15pt;height:154.7pt;width:330.75pt;z-index:-251659264;mso-width-relative:page;mso-height-relative:page;" fillcolor="#FFFFFF" filled="t" stroked="t" coordsize="21600,21600" o:gfxdata="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9XFk/a&#10;AAAACQEAAA8AAAAAAAAAAQAgAAAAIgAAAGRycy9kb3ducmV2LnhtbFBLAQIUABQAAAAIAIdO4kBm&#10;BOwW5QEAAO4DAAAOAAAAAAAAAAEAIAAAACkBAABkcnMvZTJvRG9jLnhtbFBLBQYAAAAABgAGAFkB&#10;AACABQAAAAA=&#10;">
                <v:fill on="t" focussize="0,0"/>
                <v:stroke weight="1.5pt" color="#000000" joinstyle="miter"/>
                <v:imagedata o:title=""/>
                <o:lock v:ext="edit" aspectratio="f"/>
                <v:textbox>
                  <w:txbxContent>
                    <w:p>
                      <w:pPr>
                        <w:jc w:val="center"/>
                      </w:pPr>
                    </w:p>
                    <w:p>
                      <w:pPr>
                        <w:jc w:val="center"/>
                      </w:pPr>
                    </w:p>
                    <w:p>
                      <w:pPr>
                        <w:jc w:val="center"/>
                      </w:pPr>
                    </w:p>
                    <w:p>
                      <w:pPr>
                        <w:jc w:val="center"/>
                      </w:pPr>
                    </w:p>
                    <w:p>
                      <w:pPr>
                        <w:jc w:val="center"/>
                        <w:rPr>
                          <w:rFonts w:ascii="仿宋_GB2312" w:eastAsia="仿宋_GB2312"/>
                        </w:rPr>
                      </w:pPr>
                    </w:p>
                    <w:p>
                      <w:pPr>
                        <w:jc w:val="center"/>
                        <w:rPr>
                          <w:rFonts w:ascii="宋体" w:hAnsi="宋体"/>
                          <w:sz w:val="28"/>
                          <w:szCs w:val="28"/>
                        </w:rPr>
                      </w:pPr>
                      <w:r>
                        <w:rPr>
                          <w:rFonts w:ascii="宋体" w:hAnsi="宋体"/>
                          <w:sz w:val="28"/>
                          <w:szCs w:val="28"/>
                        </w:rPr>
                        <w:t>请附：法定代表人身份证复印件</w:t>
                      </w:r>
                    </w:p>
                  </w:txbxContent>
                </v:textbox>
                <w10:anchorlock/>
              </v:rect>
            </w:pict>
          </mc:Fallback>
        </mc:AlternateConten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特此证明</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供应商：（加盖公章）</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法人代表（签字）：             </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年   月   日</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br w:type="page"/>
      </w:r>
    </w:p>
    <w:p>
      <w:pPr>
        <w:pStyle w:val="17"/>
        <w:pageBreakBefore w:val="0"/>
        <w:kinsoku/>
        <w:wordWrap/>
        <w:topLinePunct w:val="0"/>
        <w:bidi w:val="0"/>
        <w:adjustRightInd w:val="0"/>
        <w:snapToGrid w:val="0"/>
        <w:spacing w:afterAutospacing="0" w:line="360" w:lineRule="auto"/>
        <w:ind w:left="-2" w:firstLine="48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三、法定代表人授权委托书</w:t>
      </w:r>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供应商</w:t>
      </w:r>
      <w:r>
        <w:rPr>
          <w:rFonts w:hint="eastAsia" w:ascii="宋体" w:hAnsi="宋体" w:eastAsia="宋体" w:cs="宋体"/>
          <w:color w:val="auto"/>
          <w:szCs w:val="22"/>
          <w:highlight w:val="none"/>
        </w:rPr>
        <w:t>名称）法定代表人</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授权我单位</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（职务或职称）</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（姓名）为我单位本次磋商授权代理人，全权办理此次</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竞争性磋商政府采购项目（项目编号：</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）的一切事宜。代理人在该项目活动中所签署的一切文件，我（单位）均予承认。</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代理人无转委托权。</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特此授权。</w:t>
      </w:r>
    </w:p>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p>
    <w:tbl>
      <w:tblPr>
        <w:tblStyle w:val="3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9071" w:type="dxa"/>
            <w:vAlign w:val="center"/>
          </w:tcPr>
          <w:p>
            <w:pPr>
              <w:pStyle w:val="17"/>
              <w:pageBreakBefore w:val="0"/>
              <w:kinsoku/>
              <w:wordWrap/>
              <w:topLinePunct w:val="0"/>
              <w:bidi w:val="0"/>
              <w:adjustRightInd w:val="0"/>
              <w:snapToGrid w:val="0"/>
              <w:spacing w:afterAutospacing="0" w:line="360" w:lineRule="auto"/>
              <w:ind w:left="-2" w:firstLine="48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被授权人身份证复印件粘贴处（正反两面）</w:t>
            </w:r>
          </w:p>
        </w:tc>
      </w:tr>
    </w:tbl>
    <w:p>
      <w:pPr>
        <w:pStyle w:val="17"/>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highlight w:val="none"/>
        </w:rPr>
      </w:pPr>
    </w:p>
    <w:p>
      <w:pPr>
        <w:pStyle w:val="17"/>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授权单位（公章）：</w:t>
      </w:r>
      <w:r>
        <w:rPr>
          <w:rFonts w:hint="eastAsia" w:ascii="宋体" w:hAnsi="宋体" w:eastAsia="宋体" w:cs="宋体"/>
          <w:color w:val="auto"/>
          <w:highlight w:val="none"/>
          <w:u w:val="single"/>
        </w:rPr>
        <w:t xml:space="preserve">                        </w:t>
      </w:r>
    </w:p>
    <w:p>
      <w:pPr>
        <w:pStyle w:val="17"/>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highlight w:val="none"/>
        </w:rPr>
      </w:pPr>
    </w:p>
    <w:p>
      <w:pPr>
        <w:pStyle w:val="17"/>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p>
    <w:p>
      <w:pPr>
        <w:pageBreakBefore w:val="0"/>
        <w:kinsoku/>
        <w:wordWrap/>
        <w:topLinePunct w:val="0"/>
        <w:bidi w:val="0"/>
        <w:adjustRightInd w:val="0"/>
        <w:snapToGrid w:val="0"/>
        <w:spacing w:afterAutospacing="0" w:line="360" w:lineRule="auto"/>
        <w:ind w:left="-126" w:leftChars="-287" w:hanging="448" w:hangingChars="178"/>
        <w:jc w:val="center"/>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日期：</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年</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月</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日</w:t>
      </w:r>
    </w:p>
    <w:p>
      <w:pPr>
        <w:pageBreakBefore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textAlignment w:val="auto"/>
        <w:outlineLvl w:val="1"/>
        <w:rPr>
          <w:rFonts w:hint="eastAsia" w:ascii="宋体" w:hAnsi="宋体" w:eastAsia="宋体" w:cs="宋体"/>
          <w:color w:val="auto"/>
          <w:highlight w:val="none"/>
        </w:rPr>
      </w:pPr>
      <w:bookmarkStart w:id="265" w:name="_Toc1045"/>
    </w:p>
    <w:p>
      <w:pPr>
        <w:rPr>
          <w:rFonts w:hint="eastAsia" w:ascii="宋体" w:hAnsi="宋体" w:eastAsia="宋体" w:cs="宋体"/>
          <w:color w:val="auto"/>
          <w:highlight w:val="none"/>
        </w:rPr>
      </w:pPr>
      <w:bookmarkStart w:id="266" w:name="_Toc22430"/>
      <w:bookmarkStart w:id="267" w:name="_Toc16985"/>
      <w:bookmarkStart w:id="268" w:name="_Toc20128"/>
      <w:bookmarkStart w:id="269" w:name="_Toc14899"/>
      <w:bookmarkStart w:id="270" w:name="_Toc29541"/>
      <w:bookmarkStart w:id="271" w:name="_Toc7267"/>
      <w:bookmarkStart w:id="272" w:name="_Toc7927"/>
      <w:bookmarkStart w:id="273" w:name="_Toc6472"/>
      <w:bookmarkStart w:id="274" w:name="_Toc11259"/>
      <w:bookmarkStart w:id="275" w:name="_Toc20455"/>
      <w:bookmarkStart w:id="276" w:name="_Toc19766"/>
      <w:r>
        <w:rPr>
          <w:rFonts w:hint="eastAsia" w:ascii="宋体" w:hAnsi="宋体" w:eastAsia="宋体" w:cs="宋体"/>
          <w:color w:val="auto"/>
          <w:highlight w:val="none"/>
        </w:rPr>
        <w:br w:type="page"/>
      </w:r>
    </w:p>
    <w:bookmarkEnd w:id="265"/>
    <w:bookmarkEnd w:id="266"/>
    <w:bookmarkEnd w:id="267"/>
    <w:bookmarkEnd w:id="268"/>
    <w:bookmarkEnd w:id="269"/>
    <w:bookmarkEnd w:id="270"/>
    <w:bookmarkEnd w:id="271"/>
    <w:bookmarkEnd w:id="272"/>
    <w:bookmarkEnd w:id="273"/>
    <w:bookmarkEnd w:id="274"/>
    <w:bookmarkEnd w:id="275"/>
    <w:bookmarkEnd w:id="276"/>
    <w:p>
      <w:pPr>
        <w:pStyle w:val="76"/>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b/>
          <w:bCs/>
          <w:color w:val="auto"/>
          <w:highlight w:val="none"/>
        </w:rPr>
      </w:pPr>
      <w:bookmarkStart w:id="277" w:name="_Toc18763"/>
      <w:bookmarkStart w:id="278" w:name="_Toc4564"/>
      <w:bookmarkStart w:id="279" w:name="_Toc9503"/>
      <w:bookmarkStart w:id="280" w:name="_Toc13113"/>
      <w:bookmarkStart w:id="281" w:name="_Toc19728"/>
      <w:bookmarkStart w:id="282" w:name="_Toc23392"/>
      <w:bookmarkStart w:id="283" w:name="_Toc24576"/>
      <w:bookmarkStart w:id="284" w:name="_Toc15824"/>
      <w:bookmarkStart w:id="285" w:name="_Toc27207"/>
      <w:bookmarkStart w:id="286" w:name="_Toc30168"/>
      <w:r>
        <w:rPr>
          <w:rFonts w:hint="eastAsia" w:ascii="宋体" w:hAnsi="宋体" w:eastAsia="宋体" w:cs="宋体"/>
          <w:b/>
          <w:bCs/>
          <w:color w:val="auto"/>
          <w:highlight w:val="none"/>
          <w:lang w:eastAsia="zh-CN"/>
        </w:rPr>
        <w:t>四</w:t>
      </w:r>
      <w:r>
        <w:rPr>
          <w:rFonts w:hint="eastAsia" w:ascii="宋体" w:hAnsi="宋体" w:eastAsia="宋体" w:cs="宋体"/>
          <w:b/>
          <w:bCs/>
          <w:color w:val="auto"/>
          <w:highlight w:val="none"/>
        </w:rPr>
        <w:t>、报价一览表</w:t>
      </w:r>
      <w:bookmarkEnd w:id="277"/>
      <w:bookmarkEnd w:id="278"/>
      <w:bookmarkEnd w:id="279"/>
      <w:bookmarkEnd w:id="280"/>
      <w:bookmarkEnd w:id="281"/>
      <w:bookmarkEnd w:id="282"/>
      <w:bookmarkEnd w:id="283"/>
      <w:bookmarkEnd w:id="284"/>
      <w:bookmarkEnd w:id="285"/>
      <w:bookmarkEnd w:id="286"/>
    </w:p>
    <w:p>
      <w:pPr>
        <w:pageBreakBefore w:val="0"/>
        <w:kinsoku/>
        <w:wordWrap/>
        <w:topLinePunct w:val="0"/>
        <w:bidi w:val="0"/>
        <w:adjustRightInd w:val="0"/>
        <w:snapToGrid w:val="0"/>
        <w:spacing w:afterAutospacing="0" w:line="360" w:lineRule="auto"/>
        <w:ind w:firstLine="241" w:firstLineChars="100"/>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Cs w:val="21"/>
          <w:highlight w:val="none"/>
        </w:rPr>
        <w:t xml:space="preserve">                                  </w:t>
      </w:r>
      <w:r>
        <w:rPr>
          <w:rFonts w:hint="eastAsia" w:ascii="宋体" w:hAnsi="宋体" w:eastAsia="宋体" w:cs="宋体"/>
          <w:b/>
          <w:color w:val="auto"/>
          <w:sz w:val="24"/>
          <w:highlight w:val="none"/>
        </w:rPr>
        <w:t xml:space="preserve">            </w:t>
      </w:r>
      <w:r>
        <w:rPr>
          <w:rFonts w:hint="eastAsia" w:ascii="宋体" w:hAnsi="宋体" w:eastAsia="宋体" w:cs="宋体"/>
          <w:bCs/>
          <w:color w:val="auto"/>
          <w:sz w:val="24"/>
          <w:highlight w:val="none"/>
        </w:rPr>
        <w:t xml:space="preserve">    货币单位： 元</w:t>
      </w:r>
      <w:r>
        <w:rPr>
          <w:rFonts w:hint="eastAsia" w:ascii="宋体" w:hAnsi="宋体" w:eastAsia="宋体" w:cs="宋体"/>
          <w:color w:val="auto"/>
          <w:sz w:val="24"/>
          <w:highlight w:val="none"/>
        </w:rPr>
        <w:t>（人民币）</w:t>
      </w:r>
    </w:p>
    <w:tbl>
      <w:tblPr>
        <w:tblStyle w:val="3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018"/>
        <w:gridCol w:w="2540"/>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43"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w:t>
            </w:r>
          </w:p>
        </w:tc>
        <w:tc>
          <w:tcPr>
            <w:tcW w:w="7371" w:type="dxa"/>
            <w:gridSpan w:val="3"/>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43"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371" w:type="dxa"/>
            <w:gridSpan w:val="3"/>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43"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371" w:type="dxa"/>
            <w:gridSpan w:val="3"/>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43" w:type="dxa"/>
            <w:vMerge w:val="restart"/>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磋商前基础</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报价（总价）</w:t>
            </w:r>
          </w:p>
        </w:tc>
        <w:tc>
          <w:tcPr>
            <w:tcW w:w="1018"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6353" w:type="dxa"/>
            <w:gridSpan w:val="2"/>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143" w:type="dxa"/>
            <w:vMerge w:val="continue"/>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p>
        </w:tc>
        <w:tc>
          <w:tcPr>
            <w:tcW w:w="1018"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6353" w:type="dxa"/>
            <w:gridSpan w:val="2"/>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143"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1018"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p>
        </w:tc>
        <w:tc>
          <w:tcPr>
            <w:tcW w:w="2540"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3813"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143"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项目经理及证书编号</w:t>
            </w:r>
          </w:p>
        </w:tc>
        <w:tc>
          <w:tcPr>
            <w:tcW w:w="7371" w:type="dxa"/>
            <w:gridSpan w:val="3"/>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143"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7371" w:type="dxa"/>
            <w:gridSpan w:val="3"/>
            <w:vAlign w:val="center"/>
          </w:tcPr>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143"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对竞争性磋商文件的认同程度</w:t>
            </w:r>
          </w:p>
        </w:tc>
        <w:tc>
          <w:tcPr>
            <w:tcW w:w="7371" w:type="dxa"/>
            <w:gridSpan w:val="3"/>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143"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法定代表人或委托代理人现场确认（签字）</w:t>
            </w:r>
          </w:p>
        </w:tc>
        <w:tc>
          <w:tcPr>
            <w:tcW w:w="7371" w:type="dxa"/>
            <w:gridSpan w:val="3"/>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rPr>
            </w:pPr>
          </w:p>
        </w:tc>
      </w:tr>
    </w:tbl>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highlight w:val="none"/>
        </w:rPr>
      </w:pPr>
    </w:p>
    <w:p>
      <w:pPr>
        <w:pageBreakBefore w:val="0"/>
        <w:kinsoku/>
        <w:wordWrap/>
        <w:topLinePunct w:val="0"/>
        <w:bidi w:val="0"/>
        <w:adjustRightInd w:val="0"/>
        <w:snapToGrid w:val="0"/>
        <w:spacing w:afterAutospacing="0" w:line="360" w:lineRule="auto"/>
        <w:ind w:firstLine="357" w:firstLineChars="148"/>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（盖章）</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u w:val="single"/>
        </w:rPr>
        <w:t xml:space="preserve">                        </w:t>
      </w:r>
    </w:p>
    <w:p>
      <w:pPr>
        <w:pageBreakBefore w:val="0"/>
        <w:kinsoku/>
        <w:wordWrap/>
        <w:topLinePunct w:val="0"/>
        <w:bidi w:val="0"/>
        <w:adjustRightInd w:val="0"/>
        <w:snapToGrid w:val="0"/>
        <w:spacing w:afterAutospacing="0" w:line="360" w:lineRule="auto"/>
        <w:ind w:firstLine="357" w:firstLineChars="148"/>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法定代表人：（签字、盖章）</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pageBreakBefore w:val="0"/>
        <w:kinsoku/>
        <w:wordWrap/>
        <w:topLinePunct w:val="0"/>
        <w:bidi w:val="0"/>
        <w:adjustRightInd w:val="0"/>
        <w:snapToGrid w:val="0"/>
        <w:spacing w:afterAutospacing="0" w:line="360" w:lineRule="auto"/>
        <w:ind w:firstLine="357" w:firstLineChars="148"/>
        <w:jc w:val="right"/>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日</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 1、报价明显低于成本价视为无效报价。</w:t>
      </w:r>
    </w:p>
    <w:p>
      <w:pPr>
        <w:pageBreakBefore w:val="0"/>
        <w:kinsoku/>
        <w:wordWrap/>
        <w:topLinePunct w:val="0"/>
        <w:bidi w:val="0"/>
        <w:adjustRightInd w:val="0"/>
        <w:snapToGrid w:val="0"/>
        <w:spacing w:afterAutospacing="0" w:line="360" w:lineRule="auto"/>
        <w:ind w:left="964" w:hanging="964" w:hangingChars="4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2、本</w:t>
      </w:r>
      <w:r>
        <w:rPr>
          <w:rFonts w:hint="eastAsia" w:ascii="宋体" w:hAnsi="宋体" w:eastAsia="宋体" w:cs="宋体"/>
          <w:b/>
          <w:color w:val="auto"/>
          <w:sz w:val="24"/>
          <w:highlight w:val="none"/>
          <w:lang w:eastAsia="zh-CN"/>
        </w:rPr>
        <w:t>报价一览表</w:t>
      </w:r>
      <w:r>
        <w:rPr>
          <w:rFonts w:hint="eastAsia" w:ascii="宋体" w:hAnsi="宋体" w:eastAsia="宋体" w:cs="宋体"/>
          <w:b/>
          <w:color w:val="auto"/>
          <w:sz w:val="24"/>
          <w:highlight w:val="none"/>
        </w:rPr>
        <w:t>与</w:t>
      </w:r>
      <w:r>
        <w:rPr>
          <w:rFonts w:hint="eastAsia" w:ascii="宋体" w:hAnsi="宋体" w:eastAsia="宋体" w:cs="宋体"/>
          <w:b/>
          <w:color w:val="auto"/>
          <w:sz w:val="24"/>
          <w:highlight w:val="none"/>
          <w:lang w:eastAsia="zh-CN"/>
        </w:rPr>
        <w:t>报价文件</w:t>
      </w:r>
      <w:r>
        <w:rPr>
          <w:rFonts w:hint="eastAsia" w:ascii="宋体" w:hAnsi="宋体" w:eastAsia="宋体" w:cs="宋体"/>
          <w:b/>
          <w:color w:val="auto"/>
          <w:sz w:val="24"/>
          <w:highlight w:val="none"/>
        </w:rPr>
        <w:t>装订在一起，并单独密封三份与</w:t>
      </w:r>
      <w:r>
        <w:rPr>
          <w:rFonts w:hint="eastAsia" w:ascii="宋体" w:hAnsi="宋体" w:eastAsia="宋体" w:cs="宋体"/>
          <w:b/>
          <w:color w:val="auto"/>
          <w:sz w:val="24"/>
          <w:highlight w:val="none"/>
          <w:lang w:eastAsia="zh-CN"/>
        </w:rPr>
        <w:t>报价文件</w:t>
      </w:r>
      <w:r>
        <w:rPr>
          <w:rFonts w:hint="eastAsia" w:ascii="宋体" w:hAnsi="宋体" w:eastAsia="宋体" w:cs="宋体"/>
          <w:b/>
          <w:color w:val="auto"/>
          <w:sz w:val="24"/>
          <w:highlight w:val="none"/>
        </w:rPr>
        <w:t>分别密封后共同递交各项内容务必认真填写详细，可以填满，表格自行扩展但不得分页。</w:t>
      </w:r>
    </w:p>
    <w:p>
      <w:pPr>
        <w:pageBreakBefore w:val="0"/>
        <w:kinsoku/>
        <w:wordWrap/>
        <w:topLinePunct w:val="0"/>
        <w:bidi w:val="0"/>
        <w:adjustRightInd w:val="0"/>
        <w:snapToGrid w:val="0"/>
        <w:spacing w:afterAutospacing="0" w:line="360" w:lineRule="auto"/>
        <w:jc w:val="both"/>
        <w:textAlignment w:val="auto"/>
        <w:outlineLvl w:val="0"/>
        <w:rPr>
          <w:rFonts w:hint="eastAsia" w:ascii="宋体" w:hAnsi="宋体" w:eastAsia="宋体" w:cs="宋体"/>
          <w:b/>
          <w:bCs/>
          <w:color w:val="auto"/>
          <w:sz w:val="36"/>
          <w:szCs w:val="36"/>
          <w:highlight w:val="none"/>
        </w:rPr>
      </w:pPr>
      <w:bookmarkStart w:id="287" w:name="_Toc32081"/>
    </w:p>
    <w:p>
      <w:pPr>
        <w:pStyle w:val="4"/>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color w:val="auto"/>
          <w:highlight w:val="none"/>
        </w:rPr>
      </w:pPr>
      <w:bookmarkStart w:id="288" w:name="_Toc30217"/>
      <w:r>
        <w:rPr>
          <w:rFonts w:hint="eastAsia" w:ascii="宋体" w:hAnsi="宋体" w:eastAsia="宋体" w:cs="宋体"/>
          <w:color w:val="auto"/>
          <w:highlight w:val="none"/>
        </w:rPr>
        <w:t>第七部分 附件</w:t>
      </w:r>
      <w:bookmarkEnd w:id="287"/>
      <w:bookmarkEnd w:id="288"/>
    </w:p>
    <w:p>
      <w:pPr>
        <w:pStyle w:val="5"/>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b w:val="0"/>
          <w:bCs w:val="0"/>
          <w:color w:val="auto"/>
          <w:spacing w:val="6"/>
          <w:kern w:val="0"/>
          <w:sz w:val="24"/>
          <w:szCs w:val="24"/>
          <w:highlight w:val="none"/>
        </w:rPr>
      </w:pPr>
      <w:bookmarkStart w:id="289" w:name="_Toc6683"/>
      <w:bookmarkStart w:id="290" w:name="_Toc10892"/>
      <w:r>
        <w:rPr>
          <w:rFonts w:hint="eastAsia" w:ascii="宋体" w:hAnsi="宋体" w:eastAsia="宋体" w:cs="宋体"/>
          <w:b w:val="0"/>
          <w:bCs w:val="0"/>
          <w:color w:val="auto"/>
          <w:spacing w:val="6"/>
          <w:kern w:val="0"/>
          <w:sz w:val="24"/>
          <w:szCs w:val="24"/>
          <w:highlight w:val="none"/>
          <w:lang w:eastAsia="zh-CN"/>
        </w:rPr>
        <w:t>一</w:t>
      </w:r>
      <w:r>
        <w:rPr>
          <w:rFonts w:hint="eastAsia" w:ascii="宋体" w:hAnsi="宋体" w:eastAsia="宋体" w:cs="宋体"/>
          <w:b w:val="0"/>
          <w:bCs w:val="0"/>
          <w:color w:val="auto"/>
          <w:spacing w:val="6"/>
          <w:kern w:val="0"/>
          <w:sz w:val="24"/>
          <w:szCs w:val="24"/>
          <w:highlight w:val="none"/>
        </w:rPr>
        <w:t>、 技术条款偏离表</w:t>
      </w:r>
      <w:bookmarkEnd w:id="289"/>
      <w:bookmarkEnd w:id="290"/>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bl>
      <w:tblPr>
        <w:tblStyle w:val="3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96"/>
        <w:gridCol w:w="1695"/>
        <w:gridCol w:w="1695"/>
        <w:gridCol w:w="169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42" w:type="dxa"/>
            <w:vMerge w:val="restart"/>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91"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磋商文件条款</w:t>
            </w:r>
          </w:p>
        </w:tc>
        <w:tc>
          <w:tcPr>
            <w:tcW w:w="3392"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报价文件</w:t>
            </w:r>
            <w:r>
              <w:rPr>
                <w:rFonts w:hint="eastAsia" w:ascii="宋体" w:hAnsi="宋体" w:eastAsia="宋体" w:cs="宋体"/>
                <w:color w:val="auto"/>
                <w:sz w:val="24"/>
                <w:szCs w:val="24"/>
                <w:highlight w:val="none"/>
              </w:rPr>
              <w:t>条款</w:t>
            </w:r>
          </w:p>
        </w:tc>
        <w:tc>
          <w:tcPr>
            <w:tcW w:w="2195" w:type="dxa"/>
            <w:vMerge w:val="restart"/>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与磋商文件</w:t>
            </w:r>
          </w:p>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42" w:type="dxa"/>
            <w:vMerge w:val="continue"/>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69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2195" w:type="dxa"/>
            <w:vMerge w:val="continue"/>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2"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1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2"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1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2"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1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2"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19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bl>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pPr>
        <w:pStyle w:val="64"/>
        <w:pageBreakBefore w:val="0"/>
        <w:kinsoku/>
        <w:wordWrap/>
        <w:topLinePunct w:val="0"/>
        <w:bidi w:val="0"/>
        <w:adjustRightInd w:val="0"/>
        <w:snapToGrid w:val="0"/>
        <w:spacing w:afterAutospacing="0" w:line="360" w:lineRule="auto"/>
        <w:jc w:val="left"/>
        <w:textAlignment w:val="auto"/>
        <w:rPr>
          <w:rFonts w:hint="eastAsia" w:ascii="宋体" w:hAnsi="宋体" w:eastAsia="宋体" w:cs="宋体"/>
          <w:color w:val="auto"/>
          <w:sz w:val="24"/>
          <w:szCs w:val="24"/>
          <w:highlight w:val="none"/>
        </w:rPr>
      </w:pPr>
    </w:p>
    <w:p>
      <w:pPr>
        <w:pStyle w:val="64"/>
        <w:pageBreakBefore w:val="0"/>
        <w:kinsoku/>
        <w:wordWrap/>
        <w:topLinePunct w:val="0"/>
        <w:bidi w:val="0"/>
        <w:adjustRightInd w:val="0"/>
        <w:snapToGrid w:val="0"/>
        <w:spacing w:afterAutospacing="0" w:line="360" w:lineRule="auto"/>
        <w:jc w:val="left"/>
        <w:textAlignment w:val="auto"/>
        <w:rPr>
          <w:rFonts w:hint="eastAsia" w:ascii="宋体" w:hAnsi="宋体" w:eastAsia="宋体" w:cs="宋体"/>
          <w:color w:val="auto"/>
          <w:sz w:val="24"/>
          <w:szCs w:val="24"/>
          <w:highlight w:val="none"/>
        </w:rPr>
      </w:pPr>
    </w:p>
    <w:p>
      <w:pPr>
        <w:pStyle w:val="64"/>
        <w:pageBreakBefore w:val="0"/>
        <w:kinsoku/>
        <w:wordWrap/>
        <w:topLinePunct w:val="0"/>
        <w:bidi w:val="0"/>
        <w:adjustRightInd w:val="0"/>
        <w:snapToGrid w:val="0"/>
        <w:spacing w:afterAutospacing="0"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64"/>
        <w:pageBreakBefore w:val="0"/>
        <w:kinsoku/>
        <w:wordWrap/>
        <w:topLinePunct w:val="0"/>
        <w:bidi w:val="0"/>
        <w:adjustRightInd w:val="0"/>
        <w:snapToGrid w:val="0"/>
        <w:spacing w:afterAutospacing="0" w:line="360" w:lineRule="auto"/>
        <w:jc w:val="left"/>
        <w:textAlignment w:val="auto"/>
        <w:rPr>
          <w:rFonts w:hint="eastAsia" w:ascii="宋体" w:hAnsi="宋体" w:eastAsia="宋体" w:cs="宋体"/>
          <w:b/>
          <w:color w:val="auto"/>
          <w:spacing w:val="0"/>
          <w:sz w:val="24"/>
          <w:szCs w:val="24"/>
          <w:highlight w:val="none"/>
        </w:rPr>
      </w:pPr>
    </w:p>
    <w:p>
      <w:pPr>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br w:type="page"/>
      </w:r>
    </w:p>
    <w:p>
      <w:pPr>
        <w:pStyle w:val="5"/>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b w:val="0"/>
          <w:bCs w:val="0"/>
          <w:color w:val="auto"/>
          <w:spacing w:val="6"/>
          <w:kern w:val="0"/>
          <w:sz w:val="24"/>
          <w:szCs w:val="24"/>
          <w:highlight w:val="none"/>
        </w:rPr>
      </w:pPr>
      <w:bookmarkStart w:id="291" w:name="_Toc7488"/>
      <w:bookmarkStart w:id="292" w:name="_Toc4712"/>
      <w:r>
        <w:rPr>
          <w:rFonts w:hint="eastAsia" w:ascii="宋体" w:hAnsi="宋体" w:eastAsia="宋体" w:cs="宋体"/>
          <w:b w:val="0"/>
          <w:bCs w:val="0"/>
          <w:color w:val="auto"/>
          <w:spacing w:val="6"/>
          <w:kern w:val="0"/>
          <w:sz w:val="24"/>
          <w:szCs w:val="24"/>
          <w:highlight w:val="none"/>
          <w:lang w:eastAsia="zh-CN"/>
        </w:rPr>
        <w:t>二</w:t>
      </w:r>
      <w:r>
        <w:rPr>
          <w:rFonts w:hint="eastAsia" w:ascii="宋体" w:hAnsi="宋体" w:eastAsia="宋体" w:cs="宋体"/>
          <w:b w:val="0"/>
          <w:bCs w:val="0"/>
          <w:color w:val="auto"/>
          <w:spacing w:val="6"/>
          <w:kern w:val="0"/>
          <w:sz w:val="24"/>
          <w:szCs w:val="24"/>
          <w:highlight w:val="none"/>
        </w:rPr>
        <w:t>、商务条款偏离表</w:t>
      </w:r>
      <w:bookmarkEnd w:id="291"/>
      <w:bookmarkEnd w:id="292"/>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bl>
      <w:tblPr>
        <w:tblStyle w:val="3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89"/>
        <w:gridCol w:w="1688"/>
        <w:gridCol w:w="1688"/>
        <w:gridCol w:w="1690"/>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39" w:type="dxa"/>
            <w:vMerge w:val="restart"/>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7"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磋商文件条款</w:t>
            </w:r>
          </w:p>
        </w:tc>
        <w:tc>
          <w:tcPr>
            <w:tcW w:w="3378"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报价文件</w:t>
            </w:r>
            <w:r>
              <w:rPr>
                <w:rFonts w:hint="eastAsia" w:ascii="宋体" w:hAnsi="宋体" w:eastAsia="宋体" w:cs="宋体"/>
                <w:color w:val="auto"/>
                <w:sz w:val="24"/>
                <w:szCs w:val="24"/>
                <w:highlight w:val="none"/>
              </w:rPr>
              <w:t>条款</w:t>
            </w:r>
          </w:p>
        </w:tc>
        <w:tc>
          <w:tcPr>
            <w:tcW w:w="2186" w:type="dxa"/>
            <w:vMerge w:val="restart"/>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与磋商文件</w:t>
            </w:r>
          </w:p>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39" w:type="dxa"/>
            <w:vMerge w:val="continue"/>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690"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2186" w:type="dxa"/>
            <w:vMerge w:val="continue"/>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3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0"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18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3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0"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18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3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0"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18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88"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690"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18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bl>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pPr>
        <w:pageBreakBefore w:val="0"/>
        <w:kinsoku/>
        <w:wordWrap/>
        <w:topLinePunct w:val="0"/>
        <w:bidi w:val="0"/>
        <w:adjustRightInd w:val="0"/>
        <w:snapToGrid w:val="0"/>
        <w:spacing w:afterAutospacing="0"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b w:val="0"/>
          <w:bCs w:val="0"/>
          <w:color w:val="auto"/>
          <w:spacing w:val="6"/>
          <w:kern w:val="0"/>
          <w:sz w:val="24"/>
          <w:szCs w:val="24"/>
          <w:highlight w:val="none"/>
        </w:rPr>
      </w:pPr>
      <w:bookmarkStart w:id="293" w:name="_Toc26236"/>
      <w:bookmarkStart w:id="294" w:name="_Toc6772"/>
      <w:r>
        <w:rPr>
          <w:rFonts w:hint="eastAsia" w:ascii="宋体" w:hAnsi="宋体" w:eastAsia="宋体" w:cs="宋体"/>
          <w:b w:val="0"/>
          <w:bCs w:val="0"/>
          <w:color w:val="auto"/>
          <w:spacing w:val="6"/>
          <w:kern w:val="0"/>
          <w:sz w:val="24"/>
          <w:szCs w:val="24"/>
          <w:highlight w:val="none"/>
        </w:rPr>
        <w:br w:type="page"/>
      </w:r>
    </w:p>
    <w:p>
      <w:pPr>
        <w:pStyle w:val="5"/>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lang w:eastAsia="zh-CN"/>
        </w:rPr>
        <w:t>三</w:t>
      </w:r>
      <w:r>
        <w:rPr>
          <w:rFonts w:hint="eastAsia" w:ascii="宋体" w:hAnsi="宋体" w:eastAsia="宋体" w:cs="宋体"/>
          <w:b w:val="0"/>
          <w:bCs w:val="0"/>
          <w:color w:val="auto"/>
          <w:spacing w:val="6"/>
          <w:kern w:val="0"/>
          <w:sz w:val="24"/>
          <w:szCs w:val="24"/>
          <w:highlight w:val="none"/>
        </w:rPr>
        <w:t>、</w:t>
      </w:r>
      <w:r>
        <w:rPr>
          <w:rFonts w:hint="eastAsia" w:ascii="宋体" w:hAnsi="宋体" w:eastAsia="宋体" w:cs="宋体"/>
          <w:b w:val="0"/>
          <w:bCs w:val="0"/>
          <w:color w:val="auto"/>
          <w:spacing w:val="6"/>
          <w:kern w:val="0"/>
          <w:sz w:val="24"/>
          <w:szCs w:val="24"/>
          <w:highlight w:val="none"/>
          <w:lang w:eastAsia="zh-CN"/>
        </w:rPr>
        <w:t>供应商</w:t>
      </w:r>
      <w:r>
        <w:rPr>
          <w:rFonts w:hint="eastAsia" w:ascii="宋体" w:hAnsi="宋体" w:eastAsia="宋体" w:cs="宋体"/>
          <w:b w:val="0"/>
          <w:bCs w:val="0"/>
          <w:color w:val="auto"/>
          <w:spacing w:val="6"/>
          <w:kern w:val="0"/>
          <w:sz w:val="24"/>
          <w:szCs w:val="24"/>
          <w:highlight w:val="none"/>
        </w:rPr>
        <w:t>概况表</w:t>
      </w:r>
      <w:bookmarkEnd w:id="293"/>
      <w:bookmarkEnd w:id="294"/>
    </w:p>
    <w:tbl>
      <w:tblPr>
        <w:tblStyle w:val="37"/>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33"/>
        <w:gridCol w:w="100"/>
        <w:gridCol w:w="934"/>
        <w:gridCol w:w="733"/>
        <w:gridCol w:w="1130"/>
        <w:gridCol w:w="104"/>
        <w:gridCol w:w="830"/>
        <w:gridCol w:w="410"/>
        <w:gridCol w:w="1011"/>
        <w:gridCol w:w="849"/>
        <w:gridCol w:w="219"/>
        <w:gridCol w:w="61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3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单位性质</w:t>
            </w:r>
          </w:p>
        </w:tc>
        <w:tc>
          <w:tcPr>
            <w:tcW w:w="833"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934"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隶属 关系</w:t>
            </w:r>
          </w:p>
        </w:tc>
        <w:tc>
          <w:tcPr>
            <w:tcW w:w="733"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234"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c>
          <w:tcPr>
            <w:tcW w:w="1240" w:type="dxa"/>
            <w:gridSpan w:val="2"/>
            <w:vAlign w:val="center"/>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011"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   代表人</w:t>
            </w:r>
          </w:p>
        </w:tc>
        <w:tc>
          <w:tcPr>
            <w:tcW w:w="849" w:type="dxa"/>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838"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职务</w:t>
            </w:r>
          </w:p>
        </w:tc>
        <w:tc>
          <w:tcPr>
            <w:tcW w:w="816" w:type="dxa"/>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13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注册资本</w:t>
            </w:r>
          </w:p>
        </w:tc>
        <w:tc>
          <w:tcPr>
            <w:tcW w:w="833"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934"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职工  总数</w:t>
            </w:r>
          </w:p>
        </w:tc>
        <w:tc>
          <w:tcPr>
            <w:tcW w:w="733"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234"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平均工人</w:t>
            </w:r>
          </w:p>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技术等级</w:t>
            </w:r>
          </w:p>
        </w:tc>
        <w:tc>
          <w:tcPr>
            <w:tcW w:w="1240" w:type="dxa"/>
            <w:gridSpan w:val="2"/>
          </w:tcPr>
          <w:p>
            <w:pPr>
              <w:pStyle w:val="20"/>
              <w:pageBreakBefore w:val="0"/>
              <w:kinsoku/>
              <w:wordWrap/>
              <w:topLinePunct w:val="0"/>
              <w:bidi w:val="0"/>
              <w:adjustRightInd w:val="0"/>
              <w:snapToGrid w:val="0"/>
              <w:spacing w:afterAutospacing="0" w:line="360" w:lineRule="auto"/>
              <w:ind w:left="192"/>
              <w:textAlignment w:val="auto"/>
              <w:rPr>
                <w:rFonts w:hint="eastAsia" w:ascii="宋体" w:hAnsi="宋体" w:eastAsia="宋体" w:cs="宋体"/>
                <w:bCs/>
                <w:color w:val="auto"/>
                <w:sz w:val="24"/>
                <w:szCs w:val="24"/>
                <w:highlight w:val="none"/>
              </w:rPr>
            </w:pPr>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011"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w:t>
            </w:r>
          </w:p>
        </w:tc>
        <w:tc>
          <w:tcPr>
            <w:tcW w:w="849" w:type="dxa"/>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838"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传真</w:t>
            </w:r>
          </w:p>
        </w:tc>
        <w:tc>
          <w:tcPr>
            <w:tcW w:w="816" w:type="dxa"/>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13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成立/或注册日期</w:t>
            </w:r>
          </w:p>
        </w:tc>
        <w:tc>
          <w:tcPr>
            <w:tcW w:w="1767" w:type="dxa"/>
            <w:gridSpan w:val="3"/>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733"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主营</w:t>
            </w:r>
          </w:p>
        </w:tc>
        <w:tc>
          <w:tcPr>
            <w:tcW w:w="2474" w:type="dxa"/>
            <w:gridSpan w:val="4"/>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011"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兼营</w:t>
            </w:r>
          </w:p>
        </w:tc>
        <w:tc>
          <w:tcPr>
            <w:tcW w:w="2503" w:type="dxa"/>
            <w:gridSpan w:val="4"/>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13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注册资金</w:t>
            </w:r>
          </w:p>
        </w:tc>
        <w:tc>
          <w:tcPr>
            <w:tcW w:w="1767" w:type="dxa"/>
            <w:gridSpan w:val="3"/>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733"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固定资产</w:t>
            </w:r>
          </w:p>
        </w:tc>
        <w:tc>
          <w:tcPr>
            <w:tcW w:w="2474" w:type="dxa"/>
            <w:gridSpan w:val="4"/>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011"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净资产</w:t>
            </w:r>
          </w:p>
        </w:tc>
        <w:tc>
          <w:tcPr>
            <w:tcW w:w="2503" w:type="dxa"/>
            <w:gridSpan w:val="4"/>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13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有职称管理人员</w:t>
            </w:r>
          </w:p>
        </w:tc>
        <w:tc>
          <w:tcPr>
            <w:tcW w:w="733"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高级</w:t>
            </w:r>
          </w:p>
        </w:tc>
        <w:tc>
          <w:tcPr>
            <w:tcW w:w="1034"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733"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中级</w:t>
            </w:r>
          </w:p>
        </w:tc>
        <w:tc>
          <w:tcPr>
            <w:tcW w:w="1130"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934"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初级</w:t>
            </w:r>
          </w:p>
        </w:tc>
        <w:tc>
          <w:tcPr>
            <w:tcW w:w="1421"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068"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技术员</w:t>
            </w:r>
          </w:p>
        </w:tc>
        <w:tc>
          <w:tcPr>
            <w:tcW w:w="1435"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3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组织机构</w:t>
            </w:r>
          </w:p>
        </w:tc>
        <w:tc>
          <w:tcPr>
            <w:tcW w:w="2500" w:type="dxa"/>
            <w:gridSpan w:val="4"/>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（附本表后）</w:t>
            </w:r>
          </w:p>
        </w:tc>
        <w:tc>
          <w:tcPr>
            <w:tcW w:w="3485" w:type="dxa"/>
            <w:gridSpan w:val="5"/>
            <w:tcBorders>
              <w:top w:val="nil"/>
            </w:tcBorders>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法定代表人及技术负责人简历</w:t>
            </w:r>
          </w:p>
        </w:tc>
        <w:tc>
          <w:tcPr>
            <w:tcW w:w="2503" w:type="dxa"/>
            <w:gridSpan w:val="4"/>
            <w:tcBorders>
              <w:top w:val="nil"/>
            </w:tcBorders>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13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单位简历及概况</w:t>
            </w:r>
          </w:p>
        </w:tc>
        <w:tc>
          <w:tcPr>
            <w:tcW w:w="8488" w:type="dxa"/>
            <w:gridSpan w:val="13"/>
            <w:tcBorders>
              <w:right w:val="single" w:color="auto" w:sz="4" w:space="0"/>
            </w:tcBorders>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13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单位优势</w:t>
            </w:r>
          </w:p>
        </w:tc>
        <w:tc>
          <w:tcPr>
            <w:tcW w:w="8488" w:type="dxa"/>
            <w:gridSpan w:val="13"/>
            <w:tcBorders>
              <w:right w:val="single" w:color="auto" w:sz="4" w:space="0"/>
            </w:tcBorders>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bl>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注：附企业法人营业执照、资质证书、安全生产许可证等证件文件复印件。</w:t>
      </w:r>
    </w:p>
    <w:p>
      <w:pPr>
        <w:rPr>
          <w:rFonts w:hint="eastAsia" w:ascii="宋体" w:hAnsi="宋体" w:eastAsia="宋体" w:cs="宋体"/>
          <w:color w:val="auto"/>
          <w:sz w:val="24"/>
          <w:szCs w:val="24"/>
          <w:highlight w:val="none"/>
        </w:rPr>
      </w:pPr>
      <w:bookmarkStart w:id="295" w:name="_Toc14540"/>
      <w:r>
        <w:rPr>
          <w:rFonts w:hint="eastAsia" w:ascii="宋体" w:hAnsi="宋体" w:eastAsia="宋体" w:cs="宋体"/>
          <w:color w:val="auto"/>
          <w:sz w:val="24"/>
          <w:szCs w:val="24"/>
          <w:highlight w:val="none"/>
        </w:rPr>
        <w:br w:type="page"/>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、财务状况</w:t>
      </w:r>
      <w:bookmarkEnd w:id="295"/>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1、基本资料</w:t>
      </w:r>
    </w:p>
    <w:tbl>
      <w:tblPr>
        <w:tblStyle w:val="37"/>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086"/>
        <w:gridCol w:w="1080"/>
        <w:gridCol w:w="1942"/>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3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资产总额</w:t>
            </w:r>
          </w:p>
        </w:tc>
        <w:tc>
          <w:tcPr>
            <w:tcW w:w="208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元</w:t>
            </w:r>
          </w:p>
        </w:tc>
        <w:tc>
          <w:tcPr>
            <w:tcW w:w="1080"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tc>
        <w:tc>
          <w:tcPr>
            <w:tcW w:w="1942"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固定资产</w:t>
            </w:r>
          </w:p>
        </w:tc>
        <w:tc>
          <w:tcPr>
            <w:tcW w:w="3133" w:type="dxa"/>
            <w:vAlign w:val="center"/>
          </w:tcPr>
          <w:p>
            <w:pPr>
              <w:pStyle w:val="20"/>
              <w:pageBreakBefore w:val="0"/>
              <w:kinsoku/>
              <w:wordWrap/>
              <w:topLinePunct w:val="0"/>
              <w:bidi w:val="0"/>
              <w:adjustRightInd w:val="0"/>
              <w:snapToGrid w:val="0"/>
              <w:spacing w:afterAutospacing="0" w:line="360" w:lineRule="auto"/>
              <w:ind w:firstLine="2400" w:firstLineChars="10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39"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负债总额</w:t>
            </w:r>
          </w:p>
        </w:tc>
        <w:tc>
          <w:tcPr>
            <w:tcW w:w="208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元</w:t>
            </w:r>
          </w:p>
        </w:tc>
        <w:tc>
          <w:tcPr>
            <w:tcW w:w="1080"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tc>
        <w:tc>
          <w:tcPr>
            <w:tcW w:w="1942"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流动资产</w:t>
            </w:r>
          </w:p>
        </w:tc>
        <w:tc>
          <w:tcPr>
            <w:tcW w:w="3133" w:type="dxa"/>
            <w:vAlign w:val="center"/>
          </w:tcPr>
          <w:p>
            <w:pPr>
              <w:pStyle w:val="20"/>
              <w:pageBreakBefore w:val="0"/>
              <w:kinsoku/>
              <w:wordWrap/>
              <w:topLinePunct w:val="0"/>
              <w:bidi w:val="0"/>
              <w:adjustRightInd w:val="0"/>
              <w:snapToGrid w:val="0"/>
              <w:spacing w:afterAutospacing="0" w:line="360" w:lineRule="auto"/>
              <w:ind w:firstLine="2400" w:firstLineChars="10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3625"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年平均完成投资</w:t>
            </w:r>
          </w:p>
        </w:tc>
        <w:tc>
          <w:tcPr>
            <w:tcW w:w="6155" w:type="dxa"/>
            <w:gridSpan w:val="3"/>
          </w:tcPr>
          <w:p>
            <w:pPr>
              <w:pStyle w:val="20"/>
              <w:pageBreakBefore w:val="0"/>
              <w:kinsoku/>
              <w:wordWrap/>
              <w:topLinePunct w:val="0"/>
              <w:bidi w:val="0"/>
              <w:adjustRightInd w:val="0"/>
              <w:snapToGrid w:val="0"/>
              <w:spacing w:afterAutospacing="0" w:line="360" w:lineRule="auto"/>
              <w:ind w:firstLine="5520" w:firstLineChars="2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3625" w:type="dxa"/>
            <w:gridSpan w:val="2"/>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最高年制造/销售能力</w:t>
            </w:r>
          </w:p>
        </w:tc>
        <w:tc>
          <w:tcPr>
            <w:tcW w:w="6155" w:type="dxa"/>
            <w:gridSpan w:val="3"/>
          </w:tcPr>
          <w:p>
            <w:pPr>
              <w:pStyle w:val="20"/>
              <w:pageBreakBefore w:val="0"/>
              <w:kinsoku/>
              <w:wordWrap/>
              <w:topLinePunct w:val="0"/>
              <w:bidi w:val="0"/>
              <w:adjustRightInd w:val="0"/>
              <w:snapToGrid w:val="0"/>
              <w:spacing w:afterAutospacing="0" w:line="360" w:lineRule="auto"/>
              <w:ind w:firstLine="5520" w:firstLineChars="2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元</w:t>
            </w:r>
          </w:p>
        </w:tc>
      </w:tr>
    </w:tbl>
    <w:p>
      <w:pPr>
        <w:pStyle w:val="20"/>
        <w:pageBreakBefore w:val="0"/>
        <w:kinsoku/>
        <w:wordWrap/>
        <w:topLinePunct w:val="0"/>
        <w:bidi w:val="0"/>
        <w:adjustRightInd w:val="0"/>
        <w:snapToGrid w:val="0"/>
        <w:spacing w:afterAutospacing="0" w:line="360" w:lineRule="auto"/>
        <w:textAlignment w:val="auto"/>
        <w:rPr>
          <w:rFonts w:hint="eastAsia" w:hAnsi="宋体" w:cs="宋体"/>
          <w:bCs/>
          <w:color w:val="auto"/>
          <w:sz w:val="24"/>
          <w:szCs w:val="24"/>
          <w:highlight w:val="none"/>
          <w:lang w:val="en-US" w:eastAsia="zh-CN"/>
        </w:rPr>
      </w:pPr>
    </w:p>
    <w:p>
      <w:pPr>
        <w:pStyle w:val="20"/>
        <w:pageBreakBefore w:val="0"/>
        <w:kinsoku/>
        <w:wordWrap/>
        <w:topLinePunct w:val="0"/>
        <w:bidi w:val="0"/>
        <w:adjustRightInd w:val="0"/>
        <w:snapToGrid w:val="0"/>
        <w:spacing w:afterAutospacing="0" w:line="360" w:lineRule="auto"/>
        <w:textAlignment w:val="auto"/>
        <w:rPr>
          <w:rFonts w:hint="eastAsia" w:hAnsi="宋体" w:cs="宋体"/>
          <w:bCs/>
          <w:color w:val="auto"/>
          <w:sz w:val="24"/>
          <w:szCs w:val="24"/>
          <w:highlight w:val="none"/>
          <w:lang w:val="en-US" w:eastAsia="zh-CN"/>
        </w:rPr>
      </w:pPr>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、可以查到财务信息的开户银行的银行名称、地址。</w:t>
      </w:r>
    </w:p>
    <w:p>
      <w:pPr>
        <w:rPr>
          <w:rFonts w:hint="eastAsia" w:ascii="宋体" w:hAnsi="宋体" w:eastAsia="宋体" w:cs="宋体"/>
          <w:color w:val="auto"/>
          <w:sz w:val="24"/>
          <w:szCs w:val="24"/>
          <w:highlight w:val="none"/>
        </w:rPr>
      </w:pPr>
      <w:bookmarkStart w:id="296" w:name="_Toc7734"/>
      <w:bookmarkStart w:id="297" w:name="_Toc8602"/>
      <w:r>
        <w:rPr>
          <w:rFonts w:hint="eastAsia" w:ascii="宋体" w:hAnsi="宋体" w:eastAsia="宋体" w:cs="宋体"/>
          <w:color w:val="auto"/>
          <w:sz w:val="24"/>
          <w:szCs w:val="24"/>
          <w:highlight w:val="none"/>
        </w:rPr>
        <w:br w:type="page"/>
      </w:r>
    </w:p>
    <w:p>
      <w:pPr>
        <w:pStyle w:val="64"/>
        <w:pageBreakBefore w:val="0"/>
        <w:kinsoku/>
        <w:wordWrap/>
        <w:topLinePunct w:val="0"/>
        <w:bidi w:val="0"/>
        <w:adjustRightInd w:val="0"/>
        <w:snapToGrid w:val="0"/>
        <w:spacing w:afterAutospacing="0"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、业绩一览表</w:t>
      </w:r>
      <w:bookmarkEnd w:id="296"/>
      <w:bookmarkEnd w:id="297"/>
    </w:p>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bl>
      <w:tblPr>
        <w:tblStyle w:val="37"/>
        <w:tblW w:w="944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16"/>
        <w:gridCol w:w="1816"/>
        <w:gridCol w:w="1816"/>
        <w:gridCol w:w="181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1816" w:type="dxa"/>
            <w:vAlign w:val="center"/>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w:t>
            </w:r>
          </w:p>
        </w:tc>
        <w:tc>
          <w:tcPr>
            <w:tcW w:w="1440"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440" w:type="dxa"/>
            <w:vMerge w:val="restart"/>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若有评价材料，请附在本表之后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440" w:type="dxa"/>
            <w:vMerge w:val="continue"/>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440" w:type="dxa"/>
            <w:vMerge w:val="continue"/>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440" w:type="dxa"/>
            <w:vMerge w:val="continue"/>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440" w:type="dxa"/>
            <w:vMerge w:val="continue"/>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440" w:type="dxa"/>
            <w:vMerge w:val="continue"/>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440" w:type="dxa"/>
            <w:vMerge w:val="continue"/>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440" w:type="dxa"/>
            <w:vMerge w:val="continue"/>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6"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817" w:type="dxa"/>
            <w:vAlign w:val="center"/>
          </w:tcPr>
          <w:p>
            <w:pPr>
              <w:pStyle w:val="20"/>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1440" w:type="dxa"/>
            <w:vMerge w:val="continue"/>
          </w:tcPr>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bl>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b/>
          <w:color w:val="auto"/>
          <w:sz w:val="24"/>
          <w:szCs w:val="24"/>
          <w:highlight w:val="none"/>
        </w:rPr>
      </w:pPr>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后附本表中所列类似业绩的合同的复印件,加盖公章。</w:t>
      </w:r>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p>
      <w:pPr>
        <w:pStyle w:val="20"/>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授权代表（签名）：</w:t>
      </w:r>
    </w:p>
    <w:p>
      <w:pPr>
        <w:pStyle w:val="20"/>
        <w:pageBreakBefore w:val="0"/>
        <w:kinsoku/>
        <w:wordWrap/>
        <w:topLinePunct w:val="0"/>
        <w:bidi w:val="0"/>
        <w:adjustRightInd w:val="0"/>
        <w:snapToGrid w:val="0"/>
        <w:spacing w:afterAutospacing="0"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64"/>
        <w:pageBreakBefore w:val="0"/>
        <w:kinsoku/>
        <w:wordWrap/>
        <w:topLinePunct w:val="0"/>
        <w:bidi w:val="0"/>
        <w:adjustRightInd w:val="0"/>
        <w:snapToGrid w:val="0"/>
        <w:spacing w:afterAutospacing="0" w:line="360" w:lineRule="auto"/>
        <w:jc w:val="left"/>
        <w:textAlignment w:val="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bookmarkStart w:id="298" w:name="_Toc426014353"/>
      <w:bookmarkStart w:id="299" w:name="_Toc2693"/>
      <w:r>
        <w:rPr>
          <w:rFonts w:hint="eastAsia" w:ascii="宋体" w:hAnsi="宋体" w:eastAsia="宋体" w:cs="宋体"/>
          <w:color w:val="auto"/>
          <w:sz w:val="24"/>
          <w:szCs w:val="24"/>
          <w:highlight w:val="none"/>
        </w:rPr>
        <w:br w:type="page"/>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、近三年内，在经营活动中没有重大违法记录的声明</w:t>
      </w:r>
      <w:bookmarkEnd w:id="298"/>
    </w:p>
    <w:p>
      <w:pPr>
        <w:pageBreakBefore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
          <w:bCs/>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山东蓝盾招标代理有限公司</w:t>
      </w: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我单位近三年内在经营活动中没有重大违法记录，特此声明。</w:t>
      </w: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若招标采购单位在本项目采购过程中，发现我单位近三年内在经营活动中有重大违法记录，我单位将无条件退出本项目的</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，并承担因此引起的一切后果。</w:t>
      </w: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rPr>
      </w:pPr>
    </w:p>
    <w:p>
      <w:pPr>
        <w:pStyle w:val="13"/>
        <w:rPr>
          <w:rFonts w:hint="eastAsia" w:ascii="宋体" w:hAnsi="宋体" w:eastAsia="宋体" w:cs="宋体"/>
        </w:rPr>
      </w:pP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法人代表或其授权人（签字）：</w:t>
      </w:r>
      <w:r>
        <w:rPr>
          <w:rFonts w:hint="eastAsia" w:ascii="宋体" w:hAnsi="宋体" w:eastAsia="宋体" w:cs="宋体"/>
          <w:color w:val="auto"/>
          <w:sz w:val="24"/>
          <w:szCs w:val="24"/>
          <w:highlight w:val="none"/>
          <w:u w:val="single"/>
        </w:rPr>
        <w:t xml:space="preserve">              </w:t>
      </w:r>
    </w:p>
    <w:p>
      <w:pPr>
        <w:pStyle w:val="20"/>
        <w:pageBreakBefore w:val="0"/>
        <w:kinsoku/>
        <w:wordWrap/>
        <w:topLinePunct w:val="0"/>
        <w:bidi w:val="0"/>
        <w:adjustRightInd w:val="0"/>
        <w:snapToGrid w:val="0"/>
        <w:spacing w:afterAutospacing="0"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rPr>
      </w:pPr>
    </w:p>
    <w:p>
      <w:pPr>
        <w:pageBreakBefore w:val="0"/>
        <w:widowControl w:val="0"/>
        <w:tabs>
          <w:tab w:val="left" w:pos="0"/>
          <w:tab w:val="left" w:pos="720"/>
          <w:tab w:val="left" w:pos="1440"/>
          <w:tab w:val="left" w:pos="2160"/>
          <w:tab w:val="left" w:pos="2880"/>
          <w:tab w:val="left" w:pos="3600"/>
          <w:tab w:val="left" w:pos="4320"/>
        </w:tabs>
        <w:kinsoku/>
        <w:wordWrap/>
        <w:topLinePunct w:val="0"/>
        <w:autoSpaceDE w:val="0"/>
        <w:autoSpaceDN w:val="0"/>
        <w:bidi w:val="0"/>
        <w:adjustRightInd w:val="0"/>
        <w:snapToGrid w:val="0"/>
        <w:spacing w:afterAutospacing="0" w:line="360" w:lineRule="auto"/>
        <w:ind w:firstLine="49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解释：《中华人民共和国政府采购法实施条例》条例第十九条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rPr>
          <w:rFonts w:hint="eastAsia" w:ascii="宋体" w:hAnsi="宋体" w:eastAsia="宋体" w:cs="宋体"/>
          <w:b/>
          <w:color w:val="auto"/>
          <w:sz w:val="24"/>
          <w:szCs w:val="24"/>
          <w:highlight w:val="none"/>
          <w:lang w:val="en-GB"/>
        </w:rPr>
      </w:pPr>
      <w:bookmarkStart w:id="300" w:name="_Toc2843"/>
      <w:bookmarkStart w:id="301" w:name="_Toc19080"/>
      <w:r>
        <w:rPr>
          <w:rFonts w:hint="eastAsia" w:ascii="宋体" w:hAnsi="宋体" w:eastAsia="宋体" w:cs="宋体"/>
          <w:b/>
          <w:color w:val="auto"/>
          <w:sz w:val="24"/>
          <w:szCs w:val="24"/>
          <w:highlight w:val="none"/>
          <w:lang w:val="en-GB"/>
        </w:rPr>
        <w:br w:type="page"/>
      </w:r>
    </w:p>
    <w:p>
      <w:pPr>
        <w:pageBreakBefore w:val="0"/>
        <w:kinsoku/>
        <w:wordWrap/>
        <w:topLinePunct w:val="0"/>
        <w:bidi w:val="0"/>
        <w:adjustRightInd w:val="0"/>
        <w:snapToGrid w:val="0"/>
        <w:spacing w:afterAutospacing="0" w:line="360" w:lineRule="auto"/>
        <w:jc w:val="center"/>
        <w:textAlignment w:val="auto"/>
        <w:outlineLvl w:val="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GB" w:eastAsia="zh-CN"/>
        </w:rPr>
        <w:t>七</w:t>
      </w:r>
      <w:r>
        <w:rPr>
          <w:rFonts w:hint="eastAsia" w:ascii="宋体" w:hAnsi="宋体" w:eastAsia="宋体" w:cs="宋体"/>
          <w:b/>
          <w:color w:val="auto"/>
          <w:sz w:val="24"/>
          <w:szCs w:val="24"/>
          <w:highlight w:val="none"/>
          <w:lang w:val="en-GB"/>
        </w:rPr>
        <w:t xml:space="preserve">、 </w:t>
      </w:r>
      <w:r>
        <w:rPr>
          <w:rFonts w:hint="eastAsia" w:ascii="宋体" w:hAnsi="宋体" w:eastAsia="宋体" w:cs="宋体"/>
          <w:b/>
          <w:color w:val="auto"/>
          <w:sz w:val="24"/>
          <w:szCs w:val="24"/>
          <w:highlight w:val="none"/>
        </w:rPr>
        <w:t>封面及密封包格式</w:t>
      </w:r>
      <w:bookmarkEnd w:id="299"/>
      <w:bookmarkEnd w:id="300"/>
      <w:bookmarkEnd w:id="301"/>
    </w:p>
    <w:tbl>
      <w:tblPr>
        <w:tblStyle w:val="37"/>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4590" w:type="dxa"/>
          </w:tcPr>
          <w:p>
            <w:pPr>
              <w:pageBreakBefore w:val="0"/>
              <w:kinsoku/>
              <w:wordWrap/>
              <w:topLinePunct w:val="0"/>
              <w:bidi w:val="0"/>
              <w:adjustRightInd w:val="0"/>
              <w:snapToGrid w:val="0"/>
              <w:spacing w:afterAutospacing="0" w:line="360" w:lineRule="auto"/>
              <w:ind w:left="-153"/>
              <w:textAlignment w:val="auto"/>
              <w:rPr>
                <w:rFonts w:hint="eastAsia" w:ascii="宋体" w:hAnsi="宋体" w:eastAsia="宋体" w:cs="宋体"/>
                <w:color w:val="auto"/>
                <w:sz w:val="24"/>
                <w:szCs w:val="24"/>
                <w:highlight w:val="none"/>
              </w:rPr>
            </w:pPr>
          </w:p>
          <w:p>
            <w:pPr>
              <w:pageBreakBefore w:val="0"/>
              <w:kinsoku/>
              <w:wordWrap/>
              <w:topLinePunct w:val="0"/>
              <w:autoSpaceDE w:val="0"/>
              <w:autoSpaceDN w:val="0"/>
              <w:bidi w:val="0"/>
              <w:adjustRightInd w:val="0"/>
              <w:snapToGrid w:val="0"/>
              <w:spacing w:afterAutospacing="0" w:line="360" w:lineRule="auto"/>
              <w:jc w:val="righ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（正本）</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报价文件 </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4591" w:type="dxa"/>
          </w:tcPr>
          <w:p>
            <w:pPr>
              <w:pageBreakBefore w:val="0"/>
              <w:kinsoku/>
              <w:wordWrap/>
              <w:topLinePunct w:val="0"/>
              <w:bidi w:val="0"/>
              <w:adjustRightInd w:val="0"/>
              <w:snapToGrid w:val="0"/>
              <w:spacing w:afterAutospacing="0" w:line="360" w:lineRule="auto"/>
              <w:ind w:left="-153"/>
              <w:textAlignment w:val="auto"/>
              <w:rPr>
                <w:rFonts w:hint="eastAsia" w:ascii="宋体" w:hAnsi="宋体" w:eastAsia="宋体" w:cs="宋体"/>
                <w:color w:val="auto"/>
                <w:sz w:val="24"/>
                <w:szCs w:val="24"/>
                <w:highlight w:val="none"/>
              </w:rPr>
            </w:pPr>
          </w:p>
          <w:p>
            <w:pPr>
              <w:pageBreakBefore w:val="0"/>
              <w:kinsoku/>
              <w:wordWrap/>
              <w:topLinePunct w:val="0"/>
              <w:autoSpaceDE w:val="0"/>
              <w:autoSpaceDN w:val="0"/>
              <w:bidi w:val="0"/>
              <w:adjustRightInd w:val="0"/>
              <w:snapToGrid w:val="0"/>
              <w:spacing w:afterAutospacing="0" w:line="360" w:lineRule="auto"/>
              <w:jc w:val="righ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（副本）</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报价文件 </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r>
    </w:tbl>
    <w:p>
      <w:pPr>
        <w:pageBreakBefore w:val="0"/>
        <w:kinsoku/>
        <w:wordWrap/>
        <w:topLinePunct w:val="0"/>
        <w:bidi w:val="0"/>
        <w:adjustRightInd w:val="0"/>
        <w:snapToGrid w:val="0"/>
        <w:spacing w:afterAutospacing="0" w:line="360" w:lineRule="auto"/>
        <w:ind w:firstLine="723" w:firstLineChars="300"/>
        <w:jc w:val="center"/>
        <w:textAlignment w:val="auto"/>
        <w:rPr>
          <w:rFonts w:hint="eastAsia" w:ascii="宋体" w:hAnsi="宋体" w:eastAsia="宋体" w:cs="宋体"/>
          <w:b/>
          <w:bCs/>
          <w:color w:val="auto"/>
          <w:sz w:val="24"/>
          <w:szCs w:val="24"/>
          <w:highlight w:val="none"/>
        </w:rPr>
      </w:pPr>
    </w:p>
    <w:tbl>
      <w:tblPr>
        <w:tblStyle w:val="37"/>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4590" w:type="dxa"/>
          </w:tcPr>
          <w:p>
            <w:pPr>
              <w:pageBreakBefore w:val="0"/>
              <w:kinsoku/>
              <w:wordWrap/>
              <w:topLinePunct w:val="0"/>
              <w:bidi w:val="0"/>
              <w:adjustRightInd w:val="0"/>
              <w:snapToGrid w:val="0"/>
              <w:spacing w:afterAutospacing="0" w:line="360" w:lineRule="auto"/>
              <w:ind w:left="-153"/>
              <w:textAlignment w:val="auto"/>
              <w:rPr>
                <w:rFonts w:hint="eastAsia" w:ascii="宋体" w:hAnsi="宋体" w:eastAsia="宋体" w:cs="宋体"/>
                <w:color w:val="auto"/>
                <w:sz w:val="24"/>
                <w:szCs w:val="24"/>
                <w:highlight w:val="none"/>
              </w:rPr>
            </w:pP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w:t>
            </w:r>
            <w:r>
              <w:rPr>
                <w:rFonts w:hint="eastAsia" w:ascii="宋体" w:hAnsi="宋体" w:cs="宋体"/>
                <w:color w:val="auto"/>
                <w:sz w:val="24"/>
                <w:szCs w:val="24"/>
                <w:highlight w:val="none"/>
                <w:lang w:val="zh-CN"/>
              </w:rPr>
              <w:t>一览表</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4591" w:type="dxa"/>
          </w:tcPr>
          <w:p>
            <w:pPr>
              <w:pageBreakBefore w:val="0"/>
              <w:kinsoku/>
              <w:wordWrap/>
              <w:topLinePunct w:val="0"/>
              <w:bidi w:val="0"/>
              <w:adjustRightInd w:val="0"/>
              <w:snapToGrid w:val="0"/>
              <w:spacing w:afterAutospacing="0" w:line="360" w:lineRule="auto"/>
              <w:ind w:left="-153"/>
              <w:textAlignment w:val="auto"/>
              <w:rPr>
                <w:rFonts w:hint="eastAsia" w:ascii="宋体" w:hAnsi="宋体" w:eastAsia="宋体" w:cs="宋体"/>
                <w:color w:val="auto"/>
                <w:sz w:val="24"/>
                <w:szCs w:val="24"/>
                <w:highlight w:val="none"/>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资格审查文件</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r>
    </w:tbl>
    <w:p>
      <w:pPr>
        <w:pageBreakBefore w:val="0"/>
        <w:kinsoku/>
        <w:wordWrap/>
        <w:topLinePunct w:val="0"/>
        <w:bidi w:val="0"/>
        <w:adjustRightInd w:val="0"/>
        <w:snapToGrid w:val="0"/>
        <w:spacing w:afterAutospacing="0" w:line="360" w:lineRule="auto"/>
        <w:ind w:firstLine="723" w:firstLineChars="300"/>
        <w:jc w:val="center"/>
        <w:textAlignment w:val="auto"/>
        <w:rPr>
          <w:rFonts w:hint="eastAsia" w:ascii="宋体" w:hAnsi="宋体" w:eastAsia="宋体" w:cs="宋体"/>
          <w:b/>
          <w:bCs/>
          <w:color w:val="auto"/>
          <w:sz w:val="24"/>
          <w:szCs w:val="24"/>
          <w:highlight w:val="none"/>
        </w:rPr>
      </w:pP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b/>
          <w:bCs/>
          <w:color w:val="auto"/>
          <w:sz w:val="24"/>
          <w:szCs w:val="24"/>
          <w:highlight w:val="none"/>
        </w:rPr>
      </w:pPr>
    </w:p>
    <w:p>
      <w:pPr>
        <w:pageBreakBefore w:val="0"/>
        <w:kinsoku/>
        <w:wordWrap/>
        <w:topLinePunct w:val="0"/>
        <w:bidi w:val="0"/>
        <w:adjustRightInd w:val="0"/>
        <w:snapToGrid w:val="0"/>
        <w:spacing w:afterAutospacing="0" w:line="360" w:lineRule="auto"/>
        <w:ind w:firstLine="723" w:firstLineChars="3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封口格式：</w:t>
      </w:r>
    </w:p>
    <w:tbl>
      <w:tblPr>
        <w:tblStyle w:val="37"/>
        <w:tblW w:w="916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62" w:type="dxa"/>
            <w:vAlign w:val="center"/>
          </w:tcPr>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于     年   月    日    之前不准启封（公章）</w:t>
            </w:r>
            <w:r>
              <w:rPr>
                <w:rFonts w:hint="eastAsia" w:ascii="宋体" w:hAnsi="宋体" w:eastAsia="宋体" w:cs="宋体"/>
                <w:b/>
                <w:bCs/>
                <w:color w:val="auto"/>
                <w:sz w:val="24"/>
                <w:szCs w:val="24"/>
                <w:highlight w:val="none"/>
              </w:rPr>
              <w:t>......</w:t>
            </w:r>
          </w:p>
        </w:tc>
      </w:tr>
    </w:tbl>
    <w:p>
      <w:pPr>
        <w:pStyle w:val="64"/>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b/>
          <w:color w:val="auto"/>
          <w:sz w:val="24"/>
          <w:szCs w:val="24"/>
          <w:highlight w:val="none"/>
        </w:rPr>
      </w:pP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br w:type="page"/>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各</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，书脊内容请按照以下格式填写。（见附件）</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kern w:val="2"/>
          <w:sz w:val="24"/>
          <w:szCs w:val="24"/>
          <w:highlight w:val="none"/>
        </w:rPr>
      </w:pP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附件：</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eastAsia="zh-CN"/>
        </w:rPr>
        <w:t>报价文件</w:t>
      </w:r>
      <w:r>
        <w:rPr>
          <w:rFonts w:hint="eastAsia" w:ascii="宋体" w:hAnsi="宋体" w:eastAsia="宋体" w:cs="宋体"/>
          <w:b/>
          <w:bCs/>
          <w:color w:val="auto"/>
          <w:kern w:val="2"/>
          <w:sz w:val="24"/>
          <w:szCs w:val="24"/>
          <w:highlight w:val="none"/>
        </w:rPr>
        <w:t>书脊</w:t>
      </w:r>
    </w:p>
    <w:p>
      <w:pPr>
        <w:pStyle w:val="94"/>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cr/>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2"/>
        <w:gridCol w:w="88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trPr>
        <w:tc>
          <w:tcPr>
            <w:tcW w:w="3842" w:type="dxa"/>
          </w:tcPr>
          <w:p>
            <w:pPr>
              <w:pStyle w:val="94"/>
              <w:pageBreakBefore w:val="0"/>
              <w:widowControl w:val="0"/>
              <w:kinsoku/>
              <w:wordWrap/>
              <w:topLinePunct w:val="0"/>
              <w:bidi w:val="0"/>
              <w:adjustRightInd w:val="0"/>
              <w:snapToGrid w:val="0"/>
              <w:spacing w:before="0" w:after="0" w:afterAutospacing="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pStyle w:val="94"/>
              <w:pageBreakBefore w:val="0"/>
              <w:widowControl w:val="0"/>
              <w:kinsoku/>
              <w:wordWrap/>
              <w:topLinePunct w:val="0"/>
              <w:bidi w:val="0"/>
              <w:adjustRightInd w:val="0"/>
              <w:snapToGrid w:val="0"/>
              <w:spacing w:before="0" w:after="0" w:afterAutospacing="0" w:line="360" w:lineRule="auto"/>
              <w:ind w:firstLine="1680" w:firstLineChars="7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标书背面</w:t>
            </w:r>
          </w:p>
        </w:tc>
        <w:tc>
          <w:tcPr>
            <w:tcW w:w="885" w:type="dxa"/>
          </w:tcPr>
          <w:p>
            <w:pPr>
              <w:pStyle w:val="94"/>
              <w:pageBreakBefore w:val="0"/>
              <w:widowControl w:val="0"/>
              <w:kinsoku/>
              <w:wordWrap/>
              <w:topLinePunct w:val="0"/>
              <w:bidi w:val="0"/>
              <w:adjustRightInd w:val="0"/>
              <w:snapToGrid w:val="0"/>
              <w:spacing w:before="0" w:after="0" w:afterAutospacing="0" w:line="360" w:lineRule="auto"/>
              <w:ind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正本（副本）     </w:t>
            </w:r>
          </w:p>
          <w:p>
            <w:pPr>
              <w:pStyle w:val="94"/>
              <w:pageBreakBefore w:val="0"/>
              <w:widowControl w:val="0"/>
              <w:kinsoku/>
              <w:wordWrap/>
              <w:topLinePunct w:val="0"/>
              <w:bidi w:val="0"/>
              <w:adjustRightInd w:val="0"/>
              <w:snapToGrid w:val="0"/>
              <w:spacing w:before="0" w:after="0" w:afterAutospacing="0" w:line="360" w:lineRule="auto"/>
              <w:ind w:left="200" w:leftChars="10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项  目   名  称     </w:t>
            </w:r>
          </w:p>
          <w:p>
            <w:pPr>
              <w:pStyle w:val="94"/>
              <w:pageBreakBefore w:val="0"/>
              <w:widowControl w:val="0"/>
              <w:kinsoku/>
              <w:wordWrap/>
              <w:topLinePunct w:val="0"/>
              <w:bidi w:val="0"/>
              <w:adjustRightInd w:val="0"/>
              <w:snapToGrid w:val="0"/>
              <w:spacing w:before="0" w:after="0" w:afterAutospacing="0" w:line="360" w:lineRule="auto"/>
              <w:ind w:left="200" w:left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投  标  单  位  名  称                           </w:t>
            </w:r>
          </w:p>
        </w:tc>
        <w:tc>
          <w:tcPr>
            <w:tcW w:w="3795" w:type="dxa"/>
          </w:tcPr>
          <w:p>
            <w:pPr>
              <w:pStyle w:val="94"/>
              <w:pageBreakBefore w:val="0"/>
              <w:widowControl w:val="0"/>
              <w:kinsoku/>
              <w:wordWrap/>
              <w:topLinePunct w:val="0"/>
              <w:bidi w:val="0"/>
              <w:adjustRightInd w:val="0"/>
              <w:snapToGrid w:val="0"/>
              <w:spacing w:before="0" w:after="0" w:afterAutospacing="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报价文件 </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pStyle w:val="94"/>
              <w:pageBreakBefore w:val="0"/>
              <w:widowControl w:val="0"/>
              <w:kinsoku/>
              <w:wordWrap/>
              <w:topLinePunct w:val="0"/>
              <w:bidi w:val="0"/>
              <w:adjustRightInd w:val="0"/>
              <w:snapToGrid w:val="0"/>
              <w:spacing w:before="0" w:after="0" w:afterAutospacing="0" w:line="360" w:lineRule="auto"/>
              <w:ind w:firstLine="1920" w:firstLineChars="8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p>
        </w:tc>
      </w:tr>
    </w:tbl>
    <w:p>
      <w:pPr>
        <w:pStyle w:val="94"/>
        <w:pageBreakBefore w:val="0"/>
        <w:kinsoku/>
        <w:wordWrap/>
        <w:topLinePunct w:val="0"/>
        <w:bidi w:val="0"/>
        <w:adjustRightInd w:val="0"/>
        <w:snapToGrid w:val="0"/>
        <w:spacing w:before="0" w:after="0" w:afterAutospacing="0" w:line="360" w:lineRule="auto"/>
        <w:jc w:val="left"/>
        <w:textAlignment w:val="auto"/>
        <w:rPr>
          <w:rFonts w:hint="eastAsia" w:ascii="宋体" w:hAnsi="宋体" w:eastAsia="宋体" w:cs="宋体"/>
          <w:color w:val="auto"/>
          <w:sz w:val="24"/>
          <w:szCs w:val="24"/>
          <w:highlight w:val="none"/>
          <w:lang w:eastAsia="zh-CN"/>
        </w:rPr>
      </w:pPr>
    </w:p>
    <w:p>
      <w:pPr>
        <w:pStyle w:val="94"/>
        <w:pageBreakBefore w:val="0"/>
        <w:kinsoku/>
        <w:wordWrap/>
        <w:topLinePunct w:val="0"/>
        <w:bidi w:val="0"/>
        <w:adjustRightInd w:val="0"/>
        <w:snapToGrid w:val="0"/>
        <w:spacing w:before="0" w:after="0" w:afterAutospacing="0" w:line="360" w:lineRule="auto"/>
        <w:jc w:val="left"/>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注：书脊内容从上到下分别是：正（副）本、项目名称、供应商名称。</w:t>
      </w:r>
    </w:p>
    <w:p>
      <w:pP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br w:type="page"/>
      </w:r>
    </w:p>
    <w:p>
      <w:pPr>
        <w:pStyle w:val="4"/>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color w:val="auto"/>
          <w:szCs w:val="36"/>
          <w:highlight w:val="none"/>
        </w:rPr>
      </w:pPr>
      <w:bookmarkStart w:id="302" w:name="_Toc19483"/>
      <w:bookmarkStart w:id="303" w:name="_Toc5034"/>
      <w:bookmarkStart w:id="304" w:name="_Toc6016"/>
      <w:bookmarkStart w:id="305" w:name="_Toc17698"/>
      <w:bookmarkStart w:id="306" w:name="_Toc17773"/>
      <w:bookmarkStart w:id="307" w:name="_Toc32376"/>
      <w:bookmarkStart w:id="308" w:name="_Toc22216"/>
      <w:bookmarkStart w:id="309" w:name="_Toc27874"/>
      <w:bookmarkStart w:id="310" w:name="_Toc16024"/>
      <w:bookmarkStart w:id="311" w:name="_Toc1734"/>
      <w:bookmarkStart w:id="312" w:name="_Toc21835"/>
      <w:bookmarkStart w:id="313" w:name="_Toc18013"/>
      <w:bookmarkStart w:id="314" w:name="_Toc11827"/>
      <w:bookmarkStart w:id="315" w:name="_Toc31804"/>
      <w:bookmarkStart w:id="316" w:name="_Toc25544"/>
      <w:bookmarkStart w:id="317" w:name="_Toc19567"/>
      <w:bookmarkStart w:id="318" w:name="_Toc31143"/>
      <w:bookmarkStart w:id="319" w:name="_Toc22648"/>
      <w:bookmarkStart w:id="320" w:name="_Toc3983"/>
      <w:bookmarkStart w:id="321" w:name="_Toc9814"/>
      <w:r>
        <w:rPr>
          <w:rFonts w:hint="eastAsia" w:ascii="宋体" w:hAnsi="宋体" w:eastAsia="宋体" w:cs="宋体"/>
          <w:color w:val="auto"/>
          <w:highlight w:val="none"/>
        </w:rPr>
        <w:t>第八部分  报价文件商务部分格式</w:t>
      </w:r>
      <w:bookmarkEnd w:id="302"/>
      <w:bookmarkEnd w:id="303"/>
      <w:bookmarkEnd w:id="304"/>
      <w:bookmarkEnd w:id="305"/>
      <w:bookmarkEnd w:id="306"/>
      <w:bookmarkEnd w:id="307"/>
      <w:bookmarkEnd w:id="308"/>
      <w:bookmarkEnd w:id="309"/>
      <w:bookmarkEnd w:id="310"/>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highlight w:val="none"/>
          <w:u w:val="single"/>
        </w:rPr>
      </w:pPr>
      <w:r>
        <w:rPr>
          <w:rFonts w:hint="eastAsia" w:ascii="宋体" w:hAnsi="宋体" w:eastAsia="宋体" w:cs="宋体"/>
          <w:b/>
          <w:color w:val="auto"/>
          <w:sz w:val="36"/>
          <w:szCs w:val="36"/>
          <w:highlight w:val="none"/>
        </w:rPr>
        <w:t>目  录</w:t>
      </w:r>
    </w:p>
    <w:p>
      <w:pPr>
        <w:pageBreakBefore w:val="0"/>
        <w:kinsoku/>
        <w:wordWrap/>
        <w:topLinePunct w:val="0"/>
        <w:bidi w:val="0"/>
        <w:adjustRightInd w:val="0"/>
        <w:snapToGrid w:val="0"/>
        <w:spacing w:afterAutospacing="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1、总说明</w:t>
      </w:r>
    </w:p>
    <w:p>
      <w:pPr>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工程量清单与</w:t>
      </w:r>
      <w:r>
        <w:rPr>
          <w:rFonts w:hint="eastAsia" w:ascii="宋体" w:hAnsi="宋体" w:eastAsia="宋体" w:cs="宋体"/>
          <w:color w:val="auto"/>
          <w:sz w:val="24"/>
          <w:szCs w:val="24"/>
          <w:highlight w:val="none"/>
        </w:rPr>
        <w:t>计价表</w:t>
      </w:r>
    </w:p>
    <w:p>
      <w:pPr>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、近三年完成同类业绩一览表（后附业绩合同）</w:t>
      </w:r>
    </w:p>
    <w:p>
      <w:pPr>
        <w:pageBreakBefore w:val="0"/>
        <w:kinsoku/>
        <w:wordWrap/>
        <w:topLinePunct w:val="0"/>
        <w:bidi w:val="0"/>
        <w:adjustRightInd w:val="0"/>
        <w:snapToGrid w:val="0"/>
        <w:spacing w:afterAutospacing="0" w:line="360" w:lineRule="auto"/>
        <w:ind w:firstLine="504"/>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、商务条款偏离表；</w:t>
      </w:r>
    </w:p>
    <w:p>
      <w:pPr>
        <w:pageBreakBefore w:val="0"/>
        <w:numPr>
          <w:ilvl w:val="0"/>
          <w:numId w:val="0"/>
        </w:numPr>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认为有必要提供的其他表格及资料</w:t>
      </w:r>
    </w:p>
    <w:p>
      <w:pPr>
        <w:pStyle w:val="13"/>
        <w:numPr>
          <w:ilvl w:val="0"/>
          <w:numId w:val="0"/>
        </w:numPr>
        <w:rPr>
          <w:rFonts w:hint="eastAsia"/>
        </w:rPr>
      </w:pP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pStyle w:val="13"/>
        <w:rPr>
          <w:rFonts w:hint="eastAsia"/>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工程量清单计价表格</w:t>
      </w:r>
    </w:p>
    <w:p>
      <w:pPr>
        <w:pageBreakBefore w:val="0"/>
        <w:tabs>
          <w:tab w:val="left" w:pos="3780"/>
        </w:tabs>
        <w:kinsoku/>
        <w:wordWrap/>
        <w:topLinePunct w:val="0"/>
        <w:bidi w:val="0"/>
        <w:adjustRightInd w:val="0"/>
        <w:snapToGrid w:val="0"/>
        <w:spacing w:afterAutospacing="0" w:line="360" w:lineRule="auto"/>
        <w:ind w:firstLine="482" w:firstLineChars="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1、计价表格使用规定</w:t>
      </w:r>
    </w:p>
    <w:p>
      <w:pPr>
        <w:pageBreakBefore w:val="0"/>
        <w:kinsoku/>
        <w:wordWrap/>
        <w:topLinePunct w:val="0"/>
        <w:bidi w:val="0"/>
        <w:adjustRightInd w:val="0"/>
        <w:snapToGrid w:val="0"/>
        <w:spacing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1、封面应按规定的内容填写、造价员签字并盖章。</w:t>
      </w:r>
    </w:p>
    <w:p>
      <w:pPr>
        <w:pageBreakBefore w:val="0"/>
        <w:kinsoku/>
        <w:wordWrap/>
        <w:topLinePunct w:val="0"/>
        <w:bidi w:val="0"/>
        <w:adjustRightInd w:val="0"/>
        <w:snapToGrid w:val="0"/>
        <w:spacing w:afterAutospacing="0" w:line="360" w:lineRule="auto"/>
        <w:ind w:left="342" w:leftChars="171"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2、总说明应按下列内容填写：</w:t>
      </w:r>
    </w:p>
    <w:p>
      <w:pPr>
        <w:pageBreakBefore w:val="0"/>
        <w:widowControl w:val="0"/>
        <w:kinsoku/>
        <w:wordWrap/>
        <w:topLinePunct w:val="0"/>
        <w:bidi w:val="0"/>
        <w:adjustRightInd w:val="0"/>
        <w:snapToGrid w:val="0"/>
        <w:spacing w:afterAutospacing="0" w:line="360" w:lineRule="auto"/>
        <w:ind w:left="7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（1）工程概况：建设规模、工程特征、计划工期、合同工期、实际工期、施工现场及变化情况、施工组织设计的特点、自然地理条件、环境保护要求等。</w:t>
      </w:r>
    </w:p>
    <w:p>
      <w:pPr>
        <w:pageBreakBefore w:val="0"/>
        <w:widowControl w:val="0"/>
        <w:kinsoku/>
        <w:wordWrap/>
        <w:topLinePunct w:val="0"/>
        <w:bidi w:val="0"/>
        <w:adjustRightInd w:val="0"/>
        <w:snapToGrid w:val="0"/>
        <w:spacing w:afterAutospacing="0" w:line="360" w:lineRule="auto"/>
        <w:ind w:left="7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（2）编制依据等。</w:t>
      </w:r>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3、工程量清单与计价表中列明的所有需要填写的单价和合价，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均应填写，未填写的单价和合价，视为此项费用已包含在工程量清单的其他单价和合价中。</w:t>
      </w:r>
    </w:p>
    <w:p>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pPr>
        <w:pStyle w:val="13"/>
        <w:rPr>
          <w:rFonts w:hint="eastAsia" w:ascii="宋体" w:hAnsi="宋体" w:eastAsia="宋体" w:cs="宋体"/>
        </w:rPr>
      </w:pPr>
    </w:p>
    <w:tbl>
      <w:tblPr>
        <w:tblStyle w:val="37"/>
        <w:tblW w:w="9134" w:type="dxa"/>
        <w:tblInd w:w="0" w:type="dxa"/>
        <w:shd w:val="clear" w:color="auto" w:fill="auto"/>
        <w:tblLayout w:type="fixed"/>
        <w:tblCellMar>
          <w:top w:w="0" w:type="dxa"/>
          <w:left w:w="0" w:type="dxa"/>
          <w:bottom w:w="0" w:type="dxa"/>
          <w:right w:w="0" w:type="dxa"/>
        </w:tblCellMar>
      </w:tblPr>
      <w:tblGrid>
        <w:gridCol w:w="2000"/>
        <w:gridCol w:w="112"/>
        <w:gridCol w:w="240"/>
        <w:gridCol w:w="5889"/>
        <w:gridCol w:w="893"/>
      </w:tblGrid>
      <w:tr>
        <w:tblPrEx>
          <w:shd w:val="clear" w:color="auto" w:fill="auto"/>
          <w:tblCellMar>
            <w:top w:w="0" w:type="dxa"/>
            <w:left w:w="0" w:type="dxa"/>
            <w:bottom w:w="0" w:type="dxa"/>
            <w:right w:w="0" w:type="dxa"/>
          </w:tblCellMar>
        </w:tblPrEx>
        <w:trPr>
          <w:gridAfter w:val="1"/>
          <w:wAfter w:w="893" w:type="dxa"/>
          <w:trHeight w:val="810" w:hRule="atLeast"/>
        </w:trPr>
        <w:tc>
          <w:tcPr>
            <w:tcW w:w="2000" w:type="dxa"/>
            <w:tcBorders>
              <w:top w:val="nil"/>
              <w:left w:val="nil"/>
              <w:bottom w:val="nil"/>
              <w:right w:val="nil"/>
            </w:tcBorders>
            <w:shd w:val="clear" w:color="FFFFFF" w:fill="FFFFFF"/>
            <w:tcMar>
              <w:top w:w="12" w:type="dxa"/>
              <w:left w:w="12" w:type="dxa"/>
              <w:right w:w="12" w:type="dxa"/>
            </w:tcMar>
            <w:vAlign w:val="center"/>
          </w:tcPr>
          <w:p>
            <w:pPr>
              <w:jc w:val="left"/>
              <w:rPr>
                <w:rFonts w:hint="eastAsia" w:ascii="宋体" w:hAnsi="宋体" w:eastAsia="宋体" w:cs="宋体"/>
                <w:b/>
                <w:i w:val="0"/>
                <w:color w:val="000000"/>
                <w:sz w:val="36"/>
                <w:szCs w:val="36"/>
                <w:u w:val="none"/>
              </w:rPr>
            </w:pPr>
          </w:p>
        </w:tc>
        <w:tc>
          <w:tcPr>
            <w:tcW w:w="6241" w:type="dxa"/>
            <w:gridSpan w:val="3"/>
            <w:tcBorders>
              <w:top w:val="nil"/>
              <w:left w:val="nil"/>
              <w:bottom w:val="nil"/>
              <w:right w:val="nil"/>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投  标  报  价</w:t>
            </w:r>
          </w:p>
        </w:tc>
      </w:tr>
      <w:tr>
        <w:tblPrEx>
          <w:tblCellMar>
            <w:top w:w="0" w:type="dxa"/>
            <w:left w:w="0" w:type="dxa"/>
            <w:bottom w:w="0" w:type="dxa"/>
            <w:right w:w="0" w:type="dxa"/>
          </w:tblCellMar>
        </w:tblPrEx>
        <w:trPr>
          <w:trHeight w:val="1155"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     标    人：</w:t>
            </w:r>
          </w:p>
        </w:tc>
        <w:tc>
          <w:tcPr>
            <w:tcW w:w="7022" w:type="dxa"/>
            <w:gridSpan w:val="3"/>
            <w:tcBorders>
              <w:top w:val="nil"/>
              <w:left w:val="nil"/>
              <w:bottom w:val="single" w:color="000000" w:sz="4" w:space="0"/>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  程   名  称：</w:t>
            </w:r>
          </w:p>
        </w:tc>
        <w:tc>
          <w:tcPr>
            <w:tcW w:w="7022" w:type="dxa"/>
            <w:gridSpan w:val="3"/>
            <w:tcBorders>
              <w:top w:val="single" w:color="000000" w:sz="4" w:space="0"/>
              <w:left w:val="nil"/>
              <w:bottom w:val="single" w:color="000000" w:sz="4" w:space="0"/>
              <w:right w:val="nil"/>
            </w:tcBorders>
            <w:shd w:val="clear" w:color="FFFFFF"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600"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报价（小写）：</w:t>
            </w:r>
          </w:p>
        </w:tc>
        <w:tc>
          <w:tcPr>
            <w:tcW w:w="7022" w:type="dxa"/>
            <w:gridSpan w:val="3"/>
            <w:tcBorders>
              <w:top w:val="single" w:color="000000" w:sz="4" w:space="0"/>
              <w:left w:val="nil"/>
              <w:bottom w:val="single" w:color="000000" w:sz="4" w:space="0"/>
              <w:right w:val="nil"/>
            </w:tcBorders>
            <w:shd w:val="clear" w:color="FFFFFF"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645"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（大写）：</w:t>
            </w:r>
          </w:p>
        </w:tc>
        <w:tc>
          <w:tcPr>
            <w:tcW w:w="7022" w:type="dxa"/>
            <w:gridSpan w:val="3"/>
            <w:tcBorders>
              <w:top w:val="single" w:color="000000" w:sz="4" w:space="0"/>
              <w:left w:val="nil"/>
              <w:bottom w:val="single" w:color="000000" w:sz="4" w:space="0"/>
              <w:right w:val="nil"/>
            </w:tcBorders>
            <w:shd w:val="clear" w:color="FFFFFF" w:fill="FFFFFF"/>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1155"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  标  人：</w:t>
            </w:r>
          </w:p>
        </w:tc>
        <w:tc>
          <w:tcPr>
            <w:tcW w:w="240" w:type="dxa"/>
            <w:tcBorders>
              <w:top w:val="nil"/>
              <w:left w:val="nil"/>
              <w:bottom w:val="single" w:color="000000" w:sz="4" w:space="0"/>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c>
          <w:tcPr>
            <w:tcW w:w="6782" w:type="dxa"/>
            <w:gridSpan w:val="2"/>
            <w:tcBorders>
              <w:top w:val="nil"/>
              <w:left w:val="nil"/>
              <w:bottom w:val="single" w:color="000000" w:sz="4" w:space="0"/>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jc w:val="center"/>
              <w:rPr>
                <w:rFonts w:hint="eastAsia" w:ascii="宋体" w:hAnsi="宋体" w:eastAsia="宋体" w:cs="宋体"/>
                <w:i w:val="0"/>
                <w:color w:val="000000"/>
                <w:sz w:val="24"/>
                <w:szCs w:val="24"/>
                <w:u w:val="none"/>
              </w:rPr>
            </w:pPr>
          </w:p>
        </w:tc>
        <w:tc>
          <w:tcPr>
            <w:tcW w:w="240" w:type="dxa"/>
            <w:tcBorders>
              <w:top w:val="single" w:color="000000" w:sz="4" w:space="0"/>
              <w:left w:val="nil"/>
              <w:bottom w:val="nil"/>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c>
          <w:tcPr>
            <w:tcW w:w="6782" w:type="dxa"/>
            <w:gridSpan w:val="2"/>
            <w:tcBorders>
              <w:top w:val="single" w:color="000000" w:sz="4" w:space="0"/>
              <w:left w:val="nil"/>
              <w:bottom w:val="nil"/>
              <w:right w:val="nil"/>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(单位盖章)</w:t>
            </w:r>
          </w:p>
        </w:tc>
      </w:tr>
      <w:tr>
        <w:tblPrEx>
          <w:tblCellMar>
            <w:top w:w="0" w:type="dxa"/>
            <w:left w:w="0" w:type="dxa"/>
            <w:bottom w:w="0" w:type="dxa"/>
            <w:right w:w="0" w:type="dxa"/>
          </w:tblCellMar>
        </w:tblPrEx>
        <w:trPr>
          <w:trHeight w:val="1515"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法定代表人</w:t>
            </w:r>
          </w:p>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或其授权人：</w:t>
            </w:r>
          </w:p>
        </w:tc>
        <w:tc>
          <w:tcPr>
            <w:tcW w:w="240" w:type="dxa"/>
            <w:tcBorders>
              <w:top w:val="nil"/>
              <w:left w:val="nil"/>
              <w:bottom w:val="single" w:color="000000" w:sz="4" w:space="0"/>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c>
          <w:tcPr>
            <w:tcW w:w="6782" w:type="dxa"/>
            <w:gridSpan w:val="2"/>
            <w:tcBorders>
              <w:top w:val="nil"/>
              <w:left w:val="nil"/>
              <w:bottom w:val="single" w:color="000000" w:sz="4" w:space="0"/>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75"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jc w:val="center"/>
              <w:rPr>
                <w:rFonts w:hint="eastAsia" w:ascii="宋体" w:hAnsi="宋体" w:eastAsia="宋体" w:cs="宋体"/>
                <w:i w:val="0"/>
                <w:color w:val="000000"/>
                <w:sz w:val="24"/>
                <w:szCs w:val="24"/>
                <w:u w:val="none"/>
              </w:rPr>
            </w:pPr>
          </w:p>
        </w:tc>
        <w:tc>
          <w:tcPr>
            <w:tcW w:w="240" w:type="dxa"/>
            <w:tcBorders>
              <w:top w:val="single" w:color="000000" w:sz="4" w:space="0"/>
              <w:left w:val="nil"/>
              <w:bottom w:val="nil"/>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c>
          <w:tcPr>
            <w:tcW w:w="6782" w:type="dxa"/>
            <w:gridSpan w:val="2"/>
            <w:tcBorders>
              <w:top w:val="single" w:color="000000" w:sz="4" w:space="0"/>
              <w:left w:val="nil"/>
              <w:bottom w:val="nil"/>
              <w:right w:val="nil"/>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(签字或盖章)</w:t>
            </w:r>
          </w:p>
        </w:tc>
      </w:tr>
      <w:tr>
        <w:tblPrEx>
          <w:tblCellMar>
            <w:top w:w="0" w:type="dxa"/>
            <w:left w:w="0" w:type="dxa"/>
            <w:bottom w:w="0" w:type="dxa"/>
            <w:right w:w="0" w:type="dxa"/>
          </w:tblCellMar>
        </w:tblPrEx>
        <w:trPr>
          <w:trHeight w:val="1515"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  制  人：</w:t>
            </w:r>
          </w:p>
        </w:tc>
        <w:tc>
          <w:tcPr>
            <w:tcW w:w="240" w:type="dxa"/>
            <w:tcBorders>
              <w:top w:val="nil"/>
              <w:left w:val="nil"/>
              <w:bottom w:val="single" w:color="000000" w:sz="4" w:space="0"/>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c>
          <w:tcPr>
            <w:tcW w:w="6782" w:type="dxa"/>
            <w:gridSpan w:val="2"/>
            <w:tcBorders>
              <w:top w:val="nil"/>
              <w:left w:val="nil"/>
              <w:bottom w:val="single" w:color="000000" w:sz="4" w:space="0"/>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0"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jc w:val="center"/>
              <w:rPr>
                <w:rFonts w:hint="eastAsia" w:ascii="宋体" w:hAnsi="宋体" w:eastAsia="宋体" w:cs="宋体"/>
                <w:i w:val="0"/>
                <w:color w:val="000000"/>
                <w:sz w:val="24"/>
                <w:szCs w:val="24"/>
                <w:u w:val="none"/>
              </w:rPr>
            </w:pPr>
          </w:p>
        </w:tc>
        <w:tc>
          <w:tcPr>
            <w:tcW w:w="240" w:type="dxa"/>
            <w:tcBorders>
              <w:top w:val="single" w:color="000000" w:sz="4" w:space="0"/>
              <w:left w:val="nil"/>
              <w:bottom w:val="nil"/>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c>
          <w:tcPr>
            <w:tcW w:w="6782" w:type="dxa"/>
            <w:gridSpan w:val="2"/>
            <w:tcBorders>
              <w:top w:val="single" w:color="000000" w:sz="4" w:space="0"/>
              <w:left w:val="nil"/>
              <w:bottom w:val="nil"/>
              <w:right w:val="nil"/>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(造价人员签字盖专用章)</w:t>
            </w:r>
          </w:p>
        </w:tc>
      </w:tr>
      <w:tr>
        <w:tblPrEx>
          <w:tblCellMar>
            <w:top w:w="0" w:type="dxa"/>
            <w:left w:w="0" w:type="dxa"/>
            <w:bottom w:w="0" w:type="dxa"/>
            <w:right w:w="0" w:type="dxa"/>
          </w:tblCellMar>
        </w:tblPrEx>
        <w:trPr>
          <w:trHeight w:val="1515" w:hRule="atLeast"/>
        </w:trPr>
        <w:tc>
          <w:tcPr>
            <w:tcW w:w="2112" w:type="dxa"/>
            <w:gridSpan w:val="2"/>
            <w:tcBorders>
              <w:top w:val="nil"/>
              <w:left w:val="nil"/>
              <w:bottom w:val="nil"/>
              <w:right w:val="nil"/>
            </w:tcBorders>
            <w:shd w:val="clear" w:color="FFFFFF" w:fill="FFFFFF"/>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 制 时 间：</w:t>
            </w:r>
          </w:p>
        </w:tc>
        <w:tc>
          <w:tcPr>
            <w:tcW w:w="240" w:type="dxa"/>
            <w:tcBorders>
              <w:top w:val="nil"/>
              <w:left w:val="nil"/>
              <w:bottom w:val="single" w:color="000000" w:sz="4" w:space="0"/>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c>
          <w:tcPr>
            <w:tcW w:w="6782" w:type="dxa"/>
            <w:gridSpan w:val="2"/>
            <w:tcBorders>
              <w:top w:val="nil"/>
              <w:left w:val="nil"/>
              <w:bottom w:val="single" w:color="000000" w:sz="4" w:space="0"/>
              <w:right w:val="nil"/>
            </w:tcBorders>
            <w:shd w:val="clear" w:color="FFFFFF" w:fill="FFFFFF"/>
            <w:tcMar>
              <w:top w:w="12" w:type="dxa"/>
              <w:left w:w="12" w:type="dxa"/>
              <w:right w:w="12" w:type="dxa"/>
            </w:tcMar>
            <w:vAlign w:val="bottom"/>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16" w:hRule="atLeast"/>
        </w:trPr>
        <w:tc>
          <w:tcPr>
            <w:tcW w:w="2000" w:type="dxa"/>
            <w:tcBorders>
              <w:top w:val="nil"/>
              <w:left w:val="nil"/>
              <w:bottom w:val="single" w:color="FFFFFF" w:sz="4" w:space="0"/>
              <w:right w:val="single" w:color="FFFFFF"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112" w:type="dxa"/>
            <w:tcBorders>
              <w:top w:val="nil"/>
              <w:left w:val="nil"/>
              <w:bottom w:val="single" w:color="FFFFFF" w:sz="4" w:space="0"/>
              <w:right w:val="single" w:color="FFFFFF"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240" w:type="dxa"/>
            <w:tcBorders>
              <w:top w:val="nil"/>
              <w:left w:val="nil"/>
              <w:bottom w:val="single" w:color="FFFFFF" w:sz="4" w:space="0"/>
              <w:right w:val="single" w:color="FFFFFF"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5889" w:type="dxa"/>
            <w:tcBorders>
              <w:top w:val="nil"/>
              <w:left w:val="nil"/>
              <w:bottom w:val="single" w:color="FFFFFF" w:sz="4" w:space="0"/>
              <w:right w:val="single" w:color="FFFFFF"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893" w:type="dxa"/>
            <w:tcBorders>
              <w:top w:val="nil"/>
              <w:left w:val="nil"/>
              <w:bottom w:val="single" w:color="FFFFFF" w:sz="4" w:space="0"/>
              <w:right w:val="single" w:color="FFFFFF"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18"/>
                <w:szCs w:val="18"/>
                <w:u w:val="none"/>
              </w:rPr>
            </w:pPr>
          </w:p>
        </w:tc>
      </w:tr>
    </w:tbl>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13"/>
        <w:rPr>
          <w:rFonts w:hint="eastAsia" w:ascii="宋体" w:hAnsi="宋体" w:eastAsia="宋体" w:cs="宋体"/>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0</wp:posOffset>
                </wp:positionV>
                <wp:extent cx="571500" cy="297180"/>
                <wp:effectExtent l="0" t="0" r="0" b="0"/>
                <wp:wrapNone/>
                <wp:docPr id="4" name="Text Box 2"/>
                <wp:cNvGraphicFramePr/>
                <a:graphic xmlns:a="http://schemas.openxmlformats.org/drawingml/2006/main">
                  <a:graphicData uri="http://schemas.microsoft.com/office/word/2010/wordprocessingShape">
                    <wps:wsp>
                      <wps:cNvSpPr txBox="1"/>
                      <wps:spPr>
                        <a:xfrm>
                          <a:off x="0" y="0"/>
                          <a:ext cx="571500" cy="297180"/>
                        </a:xfrm>
                        <a:prstGeom prst="rect">
                          <a:avLst/>
                        </a:prstGeom>
                        <a:noFill/>
                        <a:ln w="9525">
                          <a:noFill/>
                          <a:miter/>
                        </a:ln>
                        <a:effectLst/>
                      </wps:spPr>
                      <wps:txbx>
                        <w:txbxContent>
                          <w:p>
                            <w:pPr>
                              <w:rPr>
                                <w:rFonts w:ascii="仿宋_GB2312" w:hAnsi="楷体" w:eastAsia="仿宋_GB2312"/>
                              </w:rPr>
                            </w:pPr>
                            <w:r>
                              <w:rPr>
                                <w:rFonts w:hint="eastAsia" w:ascii="仿宋_GB2312" w:hAnsi="楷体" w:eastAsia="仿宋_GB2312"/>
                              </w:rPr>
                              <w:t>封—1</w:t>
                            </w:r>
                          </w:p>
                        </w:txbxContent>
                      </wps:txbx>
                      <wps:bodyPr upright="1"/>
                    </wps:wsp>
                  </a:graphicData>
                </a:graphic>
              </wp:anchor>
            </w:drawing>
          </mc:Choice>
          <mc:Fallback>
            <w:pict>
              <v:shape id="Text Box 2" o:spid="_x0000_s1026" o:spt="202" type="#_x0000_t202" style="position:absolute;left:0pt;margin-left:396pt;margin-top:0pt;height:23.4pt;width:45pt;z-index:251658240;mso-width-relative:page;mso-height-relative:page;" filled="f" stroked="f" coordsize="21600,21600" o:gfxdata="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iiCxp9UAAAAHAQAADwAAAAAAAAABACAAAAAiAAAAZHJzL2Rv&#10;d25yZXYueG1sUEsBAhQAFAAAAAgAh07iQLy2dDuSAQAAHwMAAA4AAAAAAAAAAQAgAAAAJAEAAGRy&#10;cy9lMm9Eb2MueG1sUEsFBgAAAAAGAAYAWQEAACgFAAAAAA==&#10;">
                <v:fill on="f" focussize="0,0"/>
                <v:stroke on="f" joinstyle="miter"/>
                <v:imagedata o:title=""/>
                <o:lock v:ext="edit" aspectratio="f"/>
                <v:textbox>
                  <w:txbxContent>
                    <w:p>
                      <w:pPr>
                        <w:rPr>
                          <w:rFonts w:ascii="仿宋_GB2312" w:hAnsi="楷体" w:eastAsia="仿宋_GB2312"/>
                        </w:rPr>
                      </w:pPr>
                      <w:r>
                        <w:rPr>
                          <w:rFonts w:hint="eastAsia" w:ascii="仿宋_GB2312" w:hAnsi="楷体" w:eastAsia="仿宋_GB2312"/>
                        </w:rPr>
                        <w:t>封—1</w:t>
                      </w:r>
                    </w:p>
                  </w:txbxContent>
                </v:textbox>
              </v:shape>
            </w:pict>
          </mc:Fallback>
        </mc:AlternateContent>
      </w:r>
      <w:r>
        <w:rPr>
          <w:rFonts w:hint="eastAsia" w:ascii="宋体" w:hAnsi="宋体" w:eastAsia="宋体" w:cs="宋体"/>
          <w:color w:val="auto"/>
          <w:sz w:val="32"/>
          <w:szCs w:val="32"/>
          <w:highlight w:val="none"/>
        </w:rPr>
        <w:t>总  说  明</w:t>
      </w:r>
    </w:p>
    <w:p>
      <w:pPr>
        <w:pageBreakBefore w:val="0"/>
        <w:tabs>
          <w:tab w:val="left" w:pos="3780"/>
        </w:tabs>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工程名称：                                         第   页 共   页    </w:t>
      </w:r>
    </w:p>
    <w:tbl>
      <w:tblPr>
        <w:tblStyle w:val="37"/>
        <w:tblW w:w="98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03" w:hRule="atLeast"/>
          <w:jc w:val="center"/>
        </w:trPr>
        <w:tc>
          <w:tcPr>
            <w:tcW w:w="9823" w:type="dxa"/>
          </w:tcPr>
          <w:p>
            <w:pPr>
              <w:pageBreakBefore w:val="0"/>
              <w:tabs>
                <w:tab w:val="left" w:pos="3780"/>
              </w:tabs>
              <w:kinsoku/>
              <w:wordWrap/>
              <w:topLinePunct w:val="0"/>
              <w:bidi w:val="0"/>
              <w:adjustRightInd w:val="0"/>
              <w:snapToGrid w:val="0"/>
              <w:spacing w:afterAutospacing="0" w:line="360" w:lineRule="auto"/>
              <w:textAlignment w:val="auto"/>
              <w:rPr>
                <w:rFonts w:hint="eastAsia" w:ascii="宋体" w:hAnsi="宋体" w:eastAsia="宋体" w:cs="宋体"/>
                <w:color w:val="auto"/>
                <w:highlight w:val="none"/>
              </w:rPr>
            </w:pPr>
          </w:p>
        </w:tc>
      </w:tr>
    </w:tbl>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13"/>
        <w:rPr>
          <w:rFonts w:hint="eastAsia" w:ascii="宋体" w:hAnsi="宋体" w:eastAsia="宋体" w:cs="宋体"/>
        </w:rPr>
      </w:pPr>
    </w:p>
    <w:p>
      <w:pPr>
        <w:pStyle w:val="4"/>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color w:val="auto"/>
          <w:highlight w:val="none"/>
          <w:lang w:eastAsia="zh-CN"/>
        </w:rPr>
      </w:pPr>
      <w:bookmarkStart w:id="322" w:name="_Toc16801"/>
      <w:bookmarkStart w:id="323" w:name="_Toc3863"/>
      <w:bookmarkStart w:id="324" w:name="_Toc16247"/>
      <w:bookmarkStart w:id="325" w:name="_Toc28558"/>
      <w:bookmarkStart w:id="326" w:name="_Toc29014"/>
      <w:bookmarkStart w:id="327" w:name="_Toc9836"/>
      <w:bookmarkStart w:id="328" w:name="_Toc30916"/>
      <w:bookmarkStart w:id="329" w:name="_Toc17578"/>
      <w:r>
        <w:rPr>
          <w:rFonts w:hint="eastAsia" w:ascii="宋体" w:hAnsi="宋体" w:eastAsia="宋体" w:cs="宋体"/>
          <w:color w:val="auto"/>
          <w:highlight w:val="none"/>
        </w:rPr>
        <w:t>第九部分  报价文件技术部分</w:t>
      </w:r>
      <w:bookmarkEnd w:id="322"/>
      <w:bookmarkEnd w:id="323"/>
      <w:bookmarkEnd w:id="324"/>
      <w:bookmarkEnd w:id="325"/>
      <w:bookmarkEnd w:id="326"/>
      <w:bookmarkEnd w:id="327"/>
      <w:bookmarkEnd w:id="328"/>
      <w:bookmarkEnd w:id="329"/>
      <w:r>
        <w:rPr>
          <w:rFonts w:hint="eastAsia" w:ascii="宋体" w:hAnsi="宋体" w:cs="宋体"/>
          <w:color w:val="auto"/>
          <w:highlight w:val="none"/>
          <w:lang w:eastAsia="zh-CN"/>
        </w:rPr>
        <w:t>格式</w:t>
      </w:r>
    </w:p>
    <w:p>
      <w:pPr>
        <w:pageBreakBefore w:val="0"/>
        <w:kinsoku/>
        <w:wordWrap/>
        <w:overflowPunct w:val="0"/>
        <w:topLinePunct w:val="0"/>
        <w:autoSpaceDE w:val="0"/>
        <w:autoSpaceDN w:val="0"/>
        <w:bidi w:val="0"/>
        <w:adjustRightInd w:val="0"/>
        <w:snapToGrid w:val="0"/>
        <w:spacing w:afterAutospacing="0" w:line="360" w:lineRule="auto"/>
        <w:ind w:firstLine="567"/>
        <w:jc w:val="center"/>
        <w:textAlignment w:val="auto"/>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一、施工组织设计；</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（1）施工方案及技术措施；</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（2）质量保证措施和创优计划；</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（4）施工管理措施计划；</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（5）安全文明施工措施计划及安全保证措施；</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（6）季节施工措施计划；</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（7）施工环保措施计划；</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（8）减少噪音、降低环境污染、管线设施的保护加固措施等；</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（9）成品保护和工程保修工作的管理措施和承诺；</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（10）任何可能的紧急情况的处理措施、预案以及抵抗风险（包括工程施工过程中可能遇到的各种风险）的措施；</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（11）材料的质量保证措施；</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（12）施工机具配备及设备的质量保证措施；</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（13）质量通病的防治措施；</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对自身承建本工程的施工的有利条件和优势说明，有关质量、工期、文明施工、服务等方面对业主的承诺、合理化建议及优惠条件；（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自行列报）</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的服务及承诺；</w:t>
      </w:r>
    </w:p>
    <w:p>
      <w:pPr>
        <w:keepNext w:val="0"/>
        <w:keepLines w:val="0"/>
        <w:pageBreakBefore w:val="0"/>
        <w:widowControl/>
        <w:tabs>
          <w:tab w:val="left" w:pos="3920"/>
        </w:tabs>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认为有必要说明的其他内容。（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自行列报）</w:t>
      </w:r>
    </w:p>
    <w:p>
      <w:pPr>
        <w:keepNext w:val="0"/>
        <w:keepLines w:val="0"/>
        <w:pageBreakBefore w:val="0"/>
        <w:widowControl/>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 xml:space="preserve"> 项目管理班子配备：</w:t>
      </w:r>
    </w:p>
    <w:p>
      <w:pPr>
        <w:keepNext w:val="0"/>
        <w:keepLines w:val="0"/>
        <w:pageBreakBefore w:val="0"/>
        <w:widowControl/>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（1）项目管理班子配备情况表、组织机构图；</w:t>
      </w:r>
    </w:p>
    <w:p>
      <w:pPr>
        <w:keepNext w:val="0"/>
        <w:keepLines w:val="0"/>
        <w:pageBreakBefore w:val="0"/>
        <w:widowControl/>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（2）项目经理简历表、近三年（201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月1日至今）负责的类似工程和规模相当的工程项目情况介绍，后附项目合同；</w:t>
      </w:r>
    </w:p>
    <w:p>
      <w:pPr>
        <w:keepNext w:val="0"/>
        <w:keepLines w:val="0"/>
        <w:pageBreakBefore w:val="0"/>
        <w:widowControl/>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（3）项目技术负责人简历表、近三年（201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月1日至今）负责的类似工程和规模相当的工程项目情况介绍，后附项目合同；</w:t>
      </w:r>
    </w:p>
    <w:p>
      <w:pPr>
        <w:keepNext w:val="0"/>
        <w:keepLines w:val="0"/>
        <w:pageBreakBefore w:val="0"/>
        <w:widowControl/>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（4）拟投入本工程的主要人员及承建类似工程情况介绍；</w:t>
      </w:r>
    </w:p>
    <w:p>
      <w:pPr>
        <w:keepNext w:val="0"/>
        <w:keepLines w:val="0"/>
        <w:pageBreakBefore w:val="0"/>
        <w:widowControl/>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（5）项目管理班子配备情况及其它辅助说明资料、施工力量部署。</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（6）技术偏离表</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一、施工组织设计</w:t>
      </w:r>
    </w:p>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编制递交完整的施工组织设计，施工组织设计应包括磋商文件规定的施工组织设计基本内容．编制具体要求是：编制时应采用文字并结合图表阐述说明各分部分项工程的施工方法；主要材料、施工机械设备、劳动力、采购、运输、使用、计划安排；结合工程特点提出切实可行的工程质量、安全生产、文明施工、工程进度技术组织措施，同时应对关键工序、复杂环节重点提出相应技术措施，如季节性施工技术措施、减少扰民噪音、降低环境污染技术措施、地上地下设施的保护加固措施等。</w:t>
      </w:r>
    </w:p>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2、施工组织设计除采用文字表述外应附下列图表，图表及格式要求附后。</w:t>
      </w:r>
    </w:p>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（1）拟投入的主要施工机械设备表；</w:t>
      </w:r>
    </w:p>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（2）劳动力计划表；</w:t>
      </w:r>
    </w:p>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（3）计划开、竣工日期和施工进度网络图；</w:t>
      </w:r>
    </w:p>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（4）施工总平面布置图及临时用地表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(一)拟投入的主要施工机械设备表</w:t>
      </w:r>
    </w:p>
    <w:tbl>
      <w:tblPr>
        <w:tblStyle w:val="37"/>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76"/>
        <w:gridCol w:w="1052"/>
        <w:gridCol w:w="1052"/>
        <w:gridCol w:w="1052"/>
        <w:gridCol w:w="1061"/>
        <w:gridCol w:w="1065"/>
        <w:gridCol w:w="105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77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机械设备名称</w:t>
            </w:r>
          </w:p>
        </w:tc>
        <w:tc>
          <w:tcPr>
            <w:tcW w:w="105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型号</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w:t>
            </w:r>
          </w:p>
        </w:tc>
        <w:tc>
          <w:tcPr>
            <w:tcW w:w="105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05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国别</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产地</w:t>
            </w:r>
          </w:p>
        </w:tc>
        <w:tc>
          <w:tcPr>
            <w:tcW w:w="1061"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制造</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年份</w:t>
            </w:r>
          </w:p>
        </w:tc>
        <w:tc>
          <w:tcPr>
            <w:tcW w:w="1065"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额定</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功率</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(KW)</w:t>
            </w:r>
          </w:p>
        </w:tc>
        <w:tc>
          <w:tcPr>
            <w:tcW w:w="105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生产</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能力</w:t>
            </w:r>
          </w:p>
        </w:tc>
        <w:tc>
          <w:tcPr>
            <w:tcW w:w="105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7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77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65"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c>
          <w:tcPr>
            <w:tcW w:w="105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tc>
      </w:tr>
    </w:tbl>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(二)劳动力计划表</w:t>
      </w:r>
    </w:p>
    <w:p>
      <w:pPr>
        <w:pageBreakBefore w:val="0"/>
        <w:kinsoku/>
        <w:wordWrap/>
        <w:topLinePunct w:val="0"/>
        <w:autoSpaceDE w:val="0"/>
        <w:autoSpaceDN w:val="0"/>
        <w:bidi w:val="0"/>
        <w:adjustRightInd w:val="0"/>
        <w:snapToGrid w:val="0"/>
        <w:spacing w:afterAutospacing="0" w:line="360" w:lineRule="auto"/>
        <w:ind w:firstLine="5586" w:firstLineChars="1995"/>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8"/>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单位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人</w:t>
      </w:r>
    </w:p>
    <w:tbl>
      <w:tblPr>
        <w:tblStyle w:val="37"/>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21"/>
        <w:gridCol w:w="822"/>
        <w:gridCol w:w="822"/>
        <w:gridCol w:w="822"/>
        <w:gridCol w:w="821"/>
        <w:gridCol w:w="822"/>
        <w:gridCol w:w="822"/>
        <w:gridCol w:w="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40" w:type="dxa"/>
            <w:vMerge w:val="restart"/>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工种级别</w:t>
            </w:r>
          </w:p>
        </w:tc>
        <w:tc>
          <w:tcPr>
            <w:tcW w:w="7084" w:type="dxa"/>
            <w:gridSpan w:val="9"/>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540" w:type="dxa"/>
            <w:vMerge w:val="continue"/>
            <w:vAlign w:val="center"/>
          </w:tcPr>
          <w:p>
            <w:pPr>
              <w:pageBreakBefore w:val="0"/>
              <w:kinsoku/>
              <w:wordWrap/>
              <w:topLinePunct w:val="0"/>
              <w:autoSpaceDE w:val="0"/>
              <w:autoSpaceDN w:val="0"/>
              <w:bidi w:val="0"/>
              <w:adjustRightInd w:val="0"/>
              <w:snapToGrid w:val="0"/>
              <w:spacing w:afterAutospacing="0" w:line="360" w:lineRule="auto"/>
              <w:ind w:firstLine="567"/>
              <w:jc w:val="center"/>
              <w:textAlignment w:val="auto"/>
              <w:rPr>
                <w:rFonts w:hint="eastAsia" w:ascii="宋体" w:hAnsi="宋体" w:eastAsia="宋体" w:cs="宋体"/>
                <w:bCs/>
                <w:color w:val="auto"/>
                <w:sz w:val="28"/>
                <w:highlight w:val="none"/>
              </w:rPr>
            </w:pPr>
          </w:p>
        </w:tc>
        <w:tc>
          <w:tcPr>
            <w:tcW w:w="821" w:type="dxa"/>
            <w:vAlign w:val="center"/>
          </w:tcPr>
          <w:p>
            <w:pPr>
              <w:pageBreakBefore w:val="0"/>
              <w:kinsoku/>
              <w:wordWrap/>
              <w:topLinePunct w:val="0"/>
              <w:autoSpaceDE w:val="0"/>
              <w:autoSpaceDN w:val="0"/>
              <w:bidi w:val="0"/>
              <w:adjustRightInd w:val="0"/>
              <w:snapToGrid w:val="0"/>
              <w:spacing w:afterAutospacing="0" w:line="360" w:lineRule="auto"/>
              <w:ind w:firstLine="567"/>
              <w:jc w:val="center"/>
              <w:textAlignment w:val="auto"/>
              <w:rPr>
                <w:rFonts w:hint="eastAsia" w:ascii="宋体" w:hAnsi="宋体" w:eastAsia="宋体" w:cs="宋体"/>
                <w:bCs/>
                <w:color w:val="auto"/>
                <w:sz w:val="28"/>
                <w:highlight w:val="none"/>
              </w:rPr>
            </w:pPr>
          </w:p>
        </w:tc>
        <w:tc>
          <w:tcPr>
            <w:tcW w:w="822" w:type="dxa"/>
            <w:vAlign w:val="center"/>
          </w:tcPr>
          <w:p>
            <w:pPr>
              <w:pageBreakBefore w:val="0"/>
              <w:kinsoku/>
              <w:wordWrap/>
              <w:topLinePunct w:val="0"/>
              <w:autoSpaceDE w:val="0"/>
              <w:autoSpaceDN w:val="0"/>
              <w:bidi w:val="0"/>
              <w:adjustRightInd w:val="0"/>
              <w:snapToGrid w:val="0"/>
              <w:spacing w:afterAutospacing="0" w:line="360" w:lineRule="auto"/>
              <w:ind w:firstLine="567"/>
              <w:jc w:val="center"/>
              <w:textAlignment w:val="auto"/>
              <w:rPr>
                <w:rFonts w:hint="eastAsia" w:ascii="宋体" w:hAnsi="宋体" w:eastAsia="宋体" w:cs="宋体"/>
                <w:bCs/>
                <w:color w:val="auto"/>
                <w:sz w:val="28"/>
                <w:highlight w:val="none"/>
              </w:rPr>
            </w:pPr>
          </w:p>
        </w:tc>
        <w:tc>
          <w:tcPr>
            <w:tcW w:w="822" w:type="dxa"/>
            <w:vAlign w:val="center"/>
          </w:tcPr>
          <w:p>
            <w:pPr>
              <w:pageBreakBefore w:val="0"/>
              <w:kinsoku/>
              <w:wordWrap/>
              <w:topLinePunct w:val="0"/>
              <w:autoSpaceDE w:val="0"/>
              <w:autoSpaceDN w:val="0"/>
              <w:bidi w:val="0"/>
              <w:adjustRightInd w:val="0"/>
              <w:snapToGrid w:val="0"/>
              <w:spacing w:afterAutospacing="0" w:line="360" w:lineRule="auto"/>
              <w:ind w:firstLine="567"/>
              <w:jc w:val="center"/>
              <w:textAlignment w:val="auto"/>
              <w:rPr>
                <w:rFonts w:hint="eastAsia" w:ascii="宋体" w:hAnsi="宋体" w:eastAsia="宋体" w:cs="宋体"/>
                <w:bCs/>
                <w:color w:val="auto"/>
                <w:sz w:val="28"/>
                <w:highlight w:val="none"/>
              </w:rPr>
            </w:pPr>
          </w:p>
        </w:tc>
        <w:tc>
          <w:tcPr>
            <w:tcW w:w="822" w:type="dxa"/>
            <w:vAlign w:val="center"/>
          </w:tcPr>
          <w:p>
            <w:pPr>
              <w:pageBreakBefore w:val="0"/>
              <w:kinsoku/>
              <w:wordWrap/>
              <w:topLinePunct w:val="0"/>
              <w:autoSpaceDE w:val="0"/>
              <w:autoSpaceDN w:val="0"/>
              <w:bidi w:val="0"/>
              <w:adjustRightInd w:val="0"/>
              <w:snapToGrid w:val="0"/>
              <w:spacing w:afterAutospacing="0" w:line="360" w:lineRule="auto"/>
              <w:ind w:firstLine="567"/>
              <w:jc w:val="center"/>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1332"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1"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2"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828" w:type="dxa"/>
            <w:gridSpan w:val="2"/>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c>
          <w:tcPr>
            <w:tcW w:w="1326" w:type="dxa"/>
          </w:tcPr>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8"/>
                <w:highlight w:val="none"/>
              </w:rPr>
            </w:pPr>
          </w:p>
        </w:tc>
      </w:tr>
    </w:tbl>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应按所列格式提交包括分包人在内的估计的劳动力计划表。</w:t>
      </w:r>
    </w:p>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本计划表是以每班八小时工作制为基础的。</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(三)计划开、竣工日期和施工进度网络图</w:t>
      </w:r>
    </w:p>
    <w:p>
      <w:pPr>
        <w:pageBreakBefore w:val="0"/>
        <w:kinsoku/>
        <w:wordWrap/>
        <w:overflowPunct w:val="0"/>
        <w:topLinePunct w:val="0"/>
        <w:autoSpaceDE w:val="0"/>
        <w:autoSpaceDN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应提交的施工进度网络图或施工进度表，说明按磋商文件要求的工期进行施工的各个关键日期。</w:t>
      </w:r>
    </w:p>
    <w:p>
      <w:pPr>
        <w:pageBreakBefore w:val="0"/>
        <w:kinsoku/>
        <w:wordWrap/>
        <w:overflowPunct w:val="0"/>
        <w:topLinePunct w:val="0"/>
        <w:autoSpaceDE w:val="0"/>
        <w:autoSpaceDN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施工进度表可采用关键线路网络图表示，说明计划开工日期和各分项工程各阶段的完工日期。</w:t>
      </w:r>
    </w:p>
    <w:p>
      <w:pPr>
        <w:pageBreakBefore w:val="0"/>
        <w:kinsoku/>
        <w:wordWrap/>
        <w:overflowPunct w:val="0"/>
        <w:topLinePunct w:val="0"/>
        <w:autoSpaceDE w:val="0"/>
        <w:autoSpaceDN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施工进度计划应与施工组织设计或施工方案相适应。</w:t>
      </w:r>
    </w:p>
    <w:p>
      <w:pPr>
        <w:pageBreakBefore w:val="0"/>
        <w:kinsoku/>
        <w:wordWrap/>
        <w:topLinePunct w:val="0"/>
        <w:autoSpaceDE w:val="0"/>
        <w:autoSpaceDN w:val="0"/>
        <w:bidi w:val="0"/>
        <w:adjustRightInd w:val="0"/>
        <w:snapToGrid w:val="0"/>
        <w:spacing w:afterAutospacing="0" w:line="360" w:lineRule="auto"/>
        <w:ind w:firstLine="567"/>
        <w:textAlignment w:val="auto"/>
        <w:rPr>
          <w:rFonts w:hint="eastAsia" w:ascii="宋体" w:hAnsi="宋体" w:eastAsia="宋体" w:cs="宋体"/>
          <w:color w:val="auto"/>
          <w:highlight w:val="none"/>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(四)施工总平面布置图及临时用地表</w:t>
      </w:r>
    </w:p>
    <w:p>
      <w:pPr>
        <w:pageBreakBefore w:val="0"/>
        <w:kinsoku/>
        <w:wordWrap/>
        <w:topLinePunct w:val="0"/>
        <w:autoSpaceDE w:val="0"/>
        <w:autoSpaceDN w:val="0"/>
        <w:bidi w:val="0"/>
        <w:adjustRightInd w:val="0"/>
        <w:snapToGrid w:val="0"/>
        <w:spacing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1、施工总平面布置图</w:t>
      </w:r>
    </w:p>
    <w:p>
      <w:pPr>
        <w:pageBreakBefore w:val="0"/>
        <w:kinsoku/>
        <w:wordWrap/>
        <w:topLinePunct w:val="0"/>
        <w:autoSpaceDE w:val="0"/>
        <w:autoSpaceDN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应提交一份施工总平面图，给出现场临时设施布置图表并附文字说明，说明临时设施、加工车间、现场办公、设备及仓储、供电、供水、卫生、生活等设施的情况和布置。</w:t>
      </w:r>
    </w:p>
    <w:p>
      <w:pPr>
        <w:pageBreakBefore w:val="0"/>
        <w:kinsoku/>
        <w:wordWrap/>
        <w:topLinePunct w:val="0"/>
        <w:autoSpaceDE w:val="0"/>
        <w:autoSpaceDN w:val="0"/>
        <w:bidi w:val="0"/>
        <w:adjustRightInd w:val="0"/>
        <w:snapToGrid w:val="0"/>
        <w:spacing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2、临时用地表</w:t>
      </w:r>
    </w:p>
    <w:tbl>
      <w:tblPr>
        <w:tblStyle w:val="37"/>
        <w:tblW w:w="9246"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246"/>
        <w:gridCol w:w="2530"/>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c>
          <w:tcPr>
            <w:tcW w:w="224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面积（平方米）</w:t>
            </w:r>
          </w:p>
        </w:tc>
        <w:tc>
          <w:tcPr>
            <w:tcW w:w="253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位置</w:t>
            </w:r>
          </w:p>
        </w:tc>
        <w:tc>
          <w:tcPr>
            <w:tcW w:w="326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20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24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53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326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0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24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53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326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0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24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253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c>
          <w:tcPr>
            <w:tcW w:w="326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0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
                <w:bCs/>
                <w:color w:val="auto"/>
                <w:sz w:val="24"/>
                <w:szCs w:val="24"/>
                <w:highlight w:val="none"/>
              </w:rPr>
            </w:pPr>
          </w:p>
        </w:tc>
        <w:tc>
          <w:tcPr>
            <w:tcW w:w="224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
                <w:bCs/>
                <w:color w:val="auto"/>
                <w:sz w:val="24"/>
                <w:szCs w:val="24"/>
                <w:highlight w:val="none"/>
              </w:rPr>
            </w:pPr>
          </w:p>
        </w:tc>
        <w:tc>
          <w:tcPr>
            <w:tcW w:w="253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
                <w:bCs/>
                <w:color w:val="auto"/>
                <w:sz w:val="24"/>
                <w:szCs w:val="24"/>
                <w:highlight w:val="none"/>
              </w:rPr>
            </w:pPr>
          </w:p>
        </w:tc>
        <w:tc>
          <w:tcPr>
            <w:tcW w:w="326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0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合计</w:t>
            </w:r>
          </w:p>
        </w:tc>
        <w:tc>
          <w:tcPr>
            <w:tcW w:w="224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253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326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bl>
    <w:p>
      <w:pPr>
        <w:pageBreakBefore w:val="0"/>
        <w:kinsoku/>
        <w:wordWrap/>
        <w:topLinePunct w:val="0"/>
        <w:autoSpaceDE w:val="0"/>
        <w:autoSpaceDN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应逐项填写本表，指出全部临时设施用地面积及详细用途。</w:t>
      </w:r>
    </w:p>
    <w:p>
      <w:pPr>
        <w:pageBreakBefore w:val="0"/>
        <w:kinsoku/>
        <w:wordWrap/>
        <w:topLinePunct w:val="0"/>
        <w:autoSpaceDE w:val="0"/>
        <w:autoSpaceDN w:val="0"/>
        <w:bidi w:val="0"/>
        <w:adjustRightInd w:val="0"/>
        <w:snapToGrid w:val="0"/>
        <w:spacing w:after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（2）若本表不够，可加附页。</w:t>
      </w:r>
    </w:p>
    <w:p>
      <w:pPr>
        <w:pStyle w:val="6"/>
        <w:pageBreakBefore w:val="0"/>
        <w:kinsoku/>
        <w:wordWrap/>
        <w:topLinePunct w:val="0"/>
        <w:bidi w:val="0"/>
        <w:adjustRightInd w:val="0"/>
        <w:snapToGrid w:val="0"/>
        <w:spacing w:before="0" w:after="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二、项目管理机构配备情况</w:t>
      </w:r>
    </w:p>
    <w:p>
      <w:pPr>
        <w:pageBreakBefore w:val="0"/>
        <w:kinsoku/>
        <w:wordWrap/>
        <w:overflowPunct w:val="0"/>
        <w:topLinePunct w:val="0"/>
        <w:autoSpaceDE w:val="0"/>
        <w:autoSpaceDN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（1）项目管理班子配备情况表</w:t>
      </w:r>
    </w:p>
    <w:p>
      <w:pPr>
        <w:pageBreakBefore w:val="0"/>
        <w:kinsoku/>
        <w:wordWrap/>
        <w:overflowPunct w:val="0"/>
        <w:topLinePunct w:val="0"/>
        <w:autoSpaceDE w:val="0"/>
        <w:autoSpaceDN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（2）项目经理简历表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近三年（201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月1日至今）负责的类似工程和规模相当的工程项目情况介绍，后附项目合同；</w:t>
      </w:r>
    </w:p>
    <w:p>
      <w:pPr>
        <w:pageBreakBefore w:val="0"/>
        <w:kinsoku/>
        <w:wordWrap/>
        <w:overflowPunct w:val="0"/>
        <w:topLinePunct w:val="0"/>
        <w:autoSpaceDE w:val="0"/>
        <w:autoSpaceDN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（3）项目技术负责人简历表，近三年（201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月1日至今）负责的类似工程和规模相当的工程项目情况介绍，后附项目合同；</w:t>
      </w:r>
    </w:p>
    <w:p>
      <w:pPr>
        <w:pageBreakBefore w:val="0"/>
        <w:kinsoku/>
        <w:wordWrap/>
        <w:overflowPunct w:val="0"/>
        <w:topLinePunct w:val="0"/>
        <w:autoSpaceDE w:val="0"/>
        <w:autoSpaceDN w:val="0"/>
        <w:bidi w:val="0"/>
        <w:adjustRightInd w:val="0"/>
        <w:snapToGrid w:val="0"/>
        <w:spacing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（4）项目管理机构配备情况辅助说明资料</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(一)项目管理机构配备情况表</w:t>
      </w:r>
    </w:p>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none"/>
        </w:rPr>
        <w:t>：</w:t>
      </w:r>
    </w:p>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u w:val="single"/>
        </w:rPr>
      </w:pPr>
    </w:p>
    <w:tbl>
      <w:tblPr>
        <w:tblStyle w:val="37"/>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17"/>
        <w:gridCol w:w="720"/>
        <w:gridCol w:w="900"/>
        <w:gridCol w:w="720"/>
        <w:gridCol w:w="990"/>
        <w:gridCol w:w="990"/>
        <w:gridCol w:w="1440"/>
        <w:gridCol w:w="108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20" w:type="dxa"/>
            <w:vMerge w:val="restart"/>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务</w:t>
            </w:r>
          </w:p>
        </w:tc>
        <w:tc>
          <w:tcPr>
            <w:tcW w:w="1017" w:type="dxa"/>
            <w:vMerge w:val="restart"/>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w:t>
            </w:r>
          </w:p>
        </w:tc>
        <w:tc>
          <w:tcPr>
            <w:tcW w:w="720" w:type="dxa"/>
            <w:vMerge w:val="restart"/>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称</w:t>
            </w:r>
          </w:p>
        </w:tc>
        <w:tc>
          <w:tcPr>
            <w:tcW w:w="5040" w:type="dxa"/>
            <w:gridSpan w:val="5"/>
            <w:vAlign w:val="center"/>
          </w:tcPr>
          <w:p>
            <w:pPr>
              <w:pageBreakBefore w:val="0"/>
              <w:kinsoku/>
              <w:wordWrap/>
              <w:topLinePunct w:val="0"/>
              <w:autoSpaceDE w:val="0"/>
              <w:autoSpaceDN w:val="0"/>
              <w:bidi w:val="0"/>
              <w:adjustRightInd w:val="0"/>
              <w:snapToGrid w:val="0"/>
              <w:spacing w:afterAutospacing="0" w:line="360" w:lineRule="auto"/>
              <w:ind w:firstLine="1432" w:firstLineChars="59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上岗资格证明</w:t>
            </w:r>
          </w:p>
        </w:tc>
        <w:tc>
          <w:tcPr>
            <w:tcW w:w="2092"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已承担</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20" w:type="dxa"/>
            <w:vMerge w:val="continue"/>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017" w:type="dxa"/>
            <w:vMerge w:val="continue"/>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720" w:type="dxa"/>
            <w:vMerge w:val="continue"/>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90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证书</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p>
        </w:tc>
        <w:tc>
          <w:tcPr>
            <w:tcW w:w="72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级</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别</w:t>
            </w:r>
          </w:p>
        </w:tc>
        <w:tc>
          <w:tcPr>
            <w:tcW w:w="99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证号</w:t>
            </w:r>
          </w:p>
        </w:tc>
        <w:tc>
          <w:tcPr>
            <w:tcW w:w="99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专业</w:t>
            </w:r>
          </w:p>
        </w:tc>
        <w:tc>
          <w:tcPr>
            <w:tcW w:w="14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原服务</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108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项目数</w:t>
            </w:r>
          </w:p>
        </w:tc>
        <w:tc>
          <w:tcPr>
            <w:tcW w:w="101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7"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0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44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8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7"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0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44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8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7"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0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44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8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7"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0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44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8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7"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0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72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99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44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8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c>
          <w:tcPr>
            <w:tcW w:w="101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589" w:type="dxa"/>
            <w:gridSpan w:val="10"/>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highlight w:val="none"/>
        </w:rPr>
      </w:pPr>
    </w:p>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highlight w:val="none"/>
        </w:rPr>
      </w:pPr>
    </w:p>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 xml:space="preserve">                      年   月   日</w:t>
      </w:r>
    </w:p>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highlight w:val="none"/>
        </w:rPr>
      </w:pP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30"/>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(二)项目经理简历表</w:t>
      </w:r>
    </w:p>
    <w:tbl>
      <w:tblPr>
        <w:tblStyle w:val="3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6"/>
        <w:gridCol w:w="1540"/>
        <w:gridCol w:w="1232"/>
        <w:gridCol w:w="164"/>
        <w:gridCol w:w="1684"/>
        <w:gridCol w:w="1386"/>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220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23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性别</w:t>
            </w:r>
          </w:p>
        </w:tc>
        <w:tc>
          <w:tcPr>
            <w:tcW w:w="1848"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年龄</w:t>
            </w: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职务</w:t>
            </w:r>
          </w:p>
        </w:tc>
        <w:tc>
          <w:tcPr>
            <w:tcW w:w="220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23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职称</w:t>
            </w:r>
          </w:p>
        </w:tc>
        <w:tc>
          <w:tcPr>
            <w:tcW w:w="1848"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学历</w:t>
            </w: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34" w:type="dxa"/>
            <w:gridSpan w:val="3"/>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参加工作时间</w:t>
            </w:r>
          </w:p>
        </w:tc>
        <w:tc>
          <w:tcPr>
            <w:tcW w:w="123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3234" w:type="dxa"/>
            <w:gridSpan w:val="3"/>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从事项目经理年限</w:t>
            </w: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trPr>
        <w:tc>
          <w:tcPr>
            <w:tcW w:w="3034" w:type="dxa"/>
            <w:gridSpan w:val="3"/>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建造师资格证书编号/专业</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及级别</w:t>
            </w:r>
          </w:p>
        </w:tc>
        <w:tc>
          <w:tcPr>
            <w:tcW w:w="6254" w:type="dxa"/>
            <w:gridSpan w:val="5"/>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88" w:type="dxa"/>
            <w:gridSpan w:val="8"/>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建设单位</w:t>
            </w: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建设规模</w:t>
            </w: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开、竣工</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w:t>
            </w: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在建或</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已完</w:t>
            </w: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54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9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684"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8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788"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54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96"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84"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6"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788"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94"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54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96"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84"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6"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788"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bl>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注：可另附承建类似工程情况介绍。</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(三)项目技术负责人简历表</w:t>
      </w:r>
    </w:p>
    <w:tbl>
      <w:tblPr>
        <w:tblStyle w:val="37"/>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444"/>
        <w:gridCol w:w="1492"/>
        <w:gridCol w:w="1460"/>
        <w:gridCol w:w="1536"/>
        <w:gridCol w:w="114"/>
        <w:gridCol w:w="1232"/>
        <w:gridCol w:w="14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3"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93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46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性别</w:t>
            </w:r>
          </w:p>
        </w:tc>
        <w:tc>
          <w:tcPr>
            <w:tcW w:w="153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4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年龄</w:t>
            </w:r>
          </w:p>
        </w:tc>
        <w:tc>
          <w:tcPr>
            <w:tcW w:w="2227"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3"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职务</w:t>
            </w:r>
          </w:p>
        </w:tc>
        <w:tc>
          <w:tcPr>
            <w:tcW w:w="193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46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职称</w:t>
            </w:r>
          </w:p>
        </w:tc>
        <w:tc>
          <w:tcPr>
            <w:tcW w:w="1536"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1346"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学历</w:t>
            </w:r>
          </w:p>
        </w:tc>
        <w:tc>
          <w:tcPr>
            <w:tcW w:w="2227"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9" w:type="dxa"/>
            <w:gridSpan w:val="3"/>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参加工作时间</w:t>
            </w:r>
          </w:p>
        </w:tc>
        <w:tc>
          <w:tcPr>
            <w:tcW w:w="146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c>
          <w:tcPr>
            <w:tcW w:w="2882" w:type="dxa"/>
            <w:gridSpan w:val="3"/>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从事技术负责人年限</w:t>
            </w:r>
          </w:p>
        </w:tc>
        <w:tc>
          <w:tcPr>
            <w:tcW w:w="2227"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08" w:type="dxa"/>
            <w:gridSpan w:val="9"/>
            <w:tcBorders>
              <w:bottom w:val="single" w:color="auto" w:sz="4" w:space="0"/>
            </w:tcBorders>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7"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建设单位</w:t>
            </w:r>
          </w:p>
        </w:tc>
        <w:tc>
          <w:tcPr>
            <w:tcW w:w="1492"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1460"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建设规模</w:t>
            </w:r>
          </w:p>
        </w:tc>
        <w:tc>
          <w:tcPr>
            <w:tcW w:w="1650" w:type="dxa"/>
            <w:gridSpan w:val="2"/>
            <w:vAlign w:val="center"/>
          </w:tcPr>
          <w:p>
            <w:pPr>
              <w:pageBreakBefore w:val="0"/>
              <w:kinsoku/>
              <w:wordWrap/>
              <w:topLinePunct w:val="0"/>
              <w:autoSpaceDE w:val="0"/>
              <w:autoSpaceDN w:val="0"/>
              <w:bidi w:val="0"/>
              <w:adjustRightInd w:val="0"/>
              <w:snapToGrid w:val="0"/>
              <w:spacing w:afterAutospacing="0"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开、竣工日期</w:t>
            </w:r>
          </w:p>
        </w:tc>
        <w:tc>
          <w:tcPr>
            <w:tcW w:w="1380" w:type="dxa"/>
            <w:gridSpan w:val="2"/>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在建或</w:t>
            </w:r>
          </w:p>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已完</w:t>
            </w:r>
          </w:p>
        </w:tc>
        <w:tc>
          <w:tcPr>
            <w:tcW w:w="2079" w:type="dxa"/>
            <w:vAlign w:val="center"/>
          </w:tcPr>
          <w:p>
            <w:pPr>
              <w:pageBreakBefore w:val="0"/>
              <w:kinsoku/>
              <w:wordWrap/>
              <w:topLinePunct w:val="0"/>
              <w:autoSpaceDE w:val="0"/>
              <w:autoSpaceDN w:val="0"/>
              <w:bidi w:val="0"/>
              <w:adjustRightInd w:val="0"/>
              <w:snapToGrid w:val="0"/>
              <w:spacing w:afterAutospacing="0"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47"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92"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460"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65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1380" w:type="dxa"/>
            <w:gridSpan w:val="2"/>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c>
          <w:tcPr>
            <w:tcW w:w="2079" w:type="dxa"/>
          </w:tcPr>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p>
        </w:tc>
      </w:tr>
    </w:tbl>
    <w:p>
      <w:pPr>
        <w:pageBreakBefore w:val="0"/>
        <w:kinsoku/>
        <w:wordWrap/>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8"/>
          <w:highlight w:val="none"/>
        </w:rPr>
        <w:t xml:space="preserve">   </w:t>
      </w:r>
      <w:r>
        <w:rPr>
          <w:rFonts w:hint="eastAsia" w:ascii="宋体" w:hAnsi="宋体" w:eastAsia="宋体" w:cs="宋体"/>
          <w:bCs/>
          <w:color w:val="auto"/>
          <w:sz w:val="24"/>
          <w:szCs w:val="24"/>
          <w:highlight w:val="none"/>
        </w:rPr>
        <w:t>注：可另附承建类似工程情况介绍。</w:t>
      </w:r>
    </w:p>
    <w:p>
      <w:pPr>
        <w:pageBreakBefore w:val="0"/>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(四)项目管理机构配备情况辅助说明资料</w:t>
      </w:r>
    </w:p>
    <w:tbl>
      <w:tblPr>
        <w:tblStyle w:val="37"/>
        <w:tblW w:w="9154"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9" w:hRule="atLeast"/>
        </w:trPr>
        <w:tc>
          <w:tcPr>
            <w:tcW w:w="9154" w:type="dxa"/>
          </w:tcPr>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bCs/>
                <w:color w:val="auto"/>
                <w:sz w:val="28"/>
                <w:highlight w:val="none"/>
              </w:rPr>
            </w:pPr>
          </w:p>
        </w:tc>
      </w:tr>
    </w:tbl>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注：1、辅助说明资料主要包括管理班子机构设置、职责分工、有关复印证明资料以及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认为有必要提供的资料。辅助说明资料格式不做统一规定，由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自行设计。</w:t>
      </w:r>
    </w:p>
    <w:p>
      <w:pPr>
        <w:pageBreakBefore w:val="0"/>
        <w:kinsoku/>
        <w:wordWrap/>
        <w:overflowPunct w:val="0"/>
        <w:topLinePunct w:val="0"/>
        <w:autoSpaceDE w:val="0"/>
        <w:autoSpaceDN w:val="0"/>
        <w:bidi w:val="0"/>
        <w:adjustRightInd w:val="0"/>
        <w:snapToGrid w:val="0"/>
        <w:spacing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2、项目管理班子配备情况辅助说明资料另附(与本</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一起装订)。</w:t>
      </w:r>
    </w:p>
    <w:p>
      <w:pP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pPr>
        <w:pStyle w:val="13"/>
        <w:rPr>
          <w:rFonts w:hint="eastAsia" w:ascii="宋体" w:hAnsi="宋体" w:eastAsia="宋体" w:cs="宋体"/>
        </w:rPr>
      </w:pPr>
    </w:p>
    <w:p>
      <w:pPr>
        <w:pStyle w:val="4"/>
        <w:pageBreakBefore w:val="0"/>
        <w:numPr>
          <w:ilvl w:val="0"/>
          <w:numId w:val="3"/>
        </w:numPr>
        <w:kinsoku/>
        <w:wordWrap/>
        <w:topLinePunct w:val="0"/>
        <w:bidi w:val="0"/>
        <w:adjustRightInd w:val="0"/>
        <w:snapToGrid w:val="0"/>
        <w:spacing w:before="0" w:after="0" w:afterAutospacing="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30" w:name="_Toc10522"/>
      <w:r>
        <w:rPr>
          <w:rFonts w:hint="eastAsia" w:ascii="宋体" w:hAnsi="宋体" w:eastAsia="宋体" w:cs="宋体"/>
          <w:color w:val="auto"/>
          <w:highlight w:val="none"/>
        </w:rPr>
        <w:t>评分办法</w:t>
      </w:r>
      <w:bookmarkEnd w:id="311"/>
      <w:bookmarkEnd w:id="312"/>
      <w:bookmarkEnd w:id="313"/>
      <w:bookmarkEnd w:id="314"/>
      <w:bookmarkEnd w:id="315"/>
      <w:bookmarkEnd w:id="316"/>
      <w:bookmarkEnd w:id="317"/>
      <w:bookmarkEnd w:id="318"/>
      <w:bookmarkEnd w:id="319"/>
      <w:bookmarkEnd w:id="320"/>
      <w:bookmarkEnd w:id="321"/>
      <w:bookmarkEnd w:id="330"/>
    </w:p>
    <w:p>
      <w:pPr>
        <w:pageBreakBefore w:val="0"/>
        <w:kinsoku/>
        <w:wordWrap/>
        <w:topLinePunct w:val="0"/>
        <w:bidi w:val="0"/>
        <w:adjustRightInd w:val="0"/>
        <w:snapToGrid w:val="0"/>
        <w:spacing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本次评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采用综合评分法，</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根据竞争性磋商文件中确定的评分办法综合评定各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本项目分为商务标、技术标</w:t>
      </w:r>
      <w:r>
        <w:rPr>
          <w:rFonts w:hint="eastAsia" w:ascii="宋体" w:hAnsi="宋体" w:eastAsia="宋体" w:cs="宋体"/>
          <w:color w:val="auto"/>
          <w:sz w:val="24"/>
          <w:highlight w:val="none"/>
          <w:lang w:eastAsia="zh-CN"/>
        </w:rPr>
        <w:t>两</w:t>
      </w:r>
      <w:r>
        <w:rPr>
          <w:rFonts w:hint="eastAsia" w:ascii="宋体" w:hAnsi="宋体" w:eastAsia="宋体" w:cs="宋体"/>
          <w:color w:val="auto"/>
          <w:sz w:val="24"/>
          <w:highlight w:val="none"/>
        </w:rPr>
        <w:t>部分进行评审。</w:t>
      </w:r>
    </w:p>
    <w:tbl>
      <w:tblPr>
        <w:tblStyle w:val="37"/>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462"/>
        <w:gridCol w:w="6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32" w:type="dxa"/>
            <w:gridSpan w:val="2"/>
            <w:tcBorders>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评分项</w:t>
            </w:r>
          </w:p>
        </w:tc>
        <w:tc>
          <w:tcPr>
            <w:tcW w:w="65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2632" w:type="dxa"/>
            <w:gridSpan w:val="2"/>
            <w:tcBorders>
              <w:top w:val="single" w:color="auto" w:sz="4" w:space="0"/>
              <w:bottom w:val="single" w:color="auto" w:sz="4" w:space="0"/>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报价部分</w:t>
            </w:r>
            <w:r>
              <w:rPr>
                <w:rFonts w:hint="eastAsia" w:ascii="宋体" w:hAnsi="宋体" w:eastAsia="宋体" w:cs="宋体"/>
                <w:color w:val="auto"/>
                <w:sz w:val="24"/>
                <w:szCs w:val="24"/>
                <w:highlight w:val="none"/>
                <w:lang w:val="en-US" w:eastAsia="zh-CN"/>
              </w:rPr>
              <w:t>（30分）</w:t>
            </w:r>
          </w:p>
        </w:tc>
        <w:tc>
          <w:tcPr>
            <w:tcW w:w="651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价格分采用低价优先法，即满足采购文件要求且最终有效报价最低的报价为评标基准价，其价格分为满分。其他供应商的价格分统一按照下列公式计算：报价得分＝（评标基准价/报价）×30%×100。最终计算分值保留小数报价分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1170" w:type="dxa"/>
            <w:vMerge w:val="restart"/>
            <w:tcBorders>
              <w:top w:val="single" w:color="auto" w:sz="4" w:space="0"/>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w:t>
            </w:r>
          </w:p>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术</w:t>
            </w:r>
          </w:p>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施工组织</w:t>
            </w:r>
          </w:p>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设计方案</w:t>
            </w:r>
          </w:p>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c>
          <w:tcPr>
            <w:tcW w:w="651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1、主要施工</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及技术措施，</w:t>
            </w:r>
            <w:r>
              <w:rPr>
                <w:rFonts w:hint="eastAsia" w:ascii="宋体" w:hAnsi="宋体" w:eastAsia="宋体" w:cs="宋体"/>
                <w:color w:val="auto"/>
                <w:sz w:val="24"/>
                <w:szCs w:val="24"/>
                <w:highlight w:val="none"/>
                <w:lang w:eastAsia="zh-CN"/>
              </w:rPr>
              <w:t>满分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sz w:val="24"/>
                <w:szCs w:val="24"/>
              </w:rPr>
              <w:t>表述不完善或者可行性较低减 0.5 分，减完为止；无此项内容不得分</w:t>
            </w:r>
            <w:r>
              <w:rPr>
                <w:rFonts w:hint="eastAsia" w:ascii="宋体" w:hAnsi="宋体" w:eastAsia="宋体" w:cs="宋体"/>
                <w:color w:val="auto"/>
                <w:sz w:val="24"/>
                <w:szCs w:val="24"/>
                <w:highlight w:val="none"/>
              </w:rPr>
              <w:t>；</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施工现场平面布置图。</w:t>
            </w:r>
            <w:r>
              <w:rPr>
                <w:rFonts w:hint="eastAsia" w:ascii="宋体" w:hAnsi="宋体" w:eastAsia="宋体" w:cs="宋体"/>
                <w:color w:val="auto"/>
                <w:sz w:val="24"/>
                <w:szCs w:val="24"/>
                <w:highlight w:val="none"/>
                <w:lang w:eastAsia="zh-CN"/>
              </w:rPr>
              <w:t>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sz w:val="24"/>
                <w:szCs w:val="24"/>
              </w:rPr>
              <w:t>表述不完善</w:t>
            </w:r>
            <w:r>
              <w:rPr>
                <w:rFonts w:hint="eastAsia" w:ascii="宋体" w:hAnsi="宋体" w:eastAsia="宋体" w:cs="宋体"/>
                <w:color w:val="000000"/>
                <w:sz w:val="24"/>
                <w:szCs w:val="24"/>
                <w:lang w:eastAsia="zh-CN"/>
              </w:rPr>
              <w:t>、不合理</w:t>
            </w:r>
            <w:r>
              <w:rPr>
                <w:rFonts w:hint="eastAsia" w:ascii="宋体" w:hAnsi="宋体" w:eastAsia="宋体" w:cs="宋体"/>
                <w:color w:val="000000"/>
                <w:sz w:val="24"/>
                <w:szCs w:val="24"/>
              </w:rPr>
              <w:t>或者可行性较低减 0.5 分，减完为止；无此项内容不得分</w:t>
            </w:r>
            <w:r>
              <w:rPr>
                <w:rFonts w:hint="eastAsia" w:ascii="宋体" w:hAnsi="宋体" w:eastAsia="宋体" w:cs="宋体"/>
                <w:color w:val="auto"/>
                <w:sz w:val="24"/>
                <w:szCs w:val="24"/>
                <w:highlight w:val="none"/>
                <w:lang w:eastAsia="zh-CN"/>
              </w:rPr>
              <w:t>；</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主要施工</w:t>
            </w:r>
            <w:r>
              <w:rPr>
                <w:rFonts w:hint="eastAsia" w:ascii="宋体" w:hAnsi="宋体" w:eastAsia="宋体" w:cs="宋体"/>
                <w:color w:val="auto"/>
                <w:sz w:val="24"/>
                <w:szCs w:val="24"/>
                <w:highlight w:val="none"/>
                <w:lang w:val="en-US" w:eastAsia="zh-CN"/>
              </w:rPr>
              <w:t>方法</w:t>
            </w:r>
            <w:r>
              <w:rPr>
                <w:rFonts w:hint="eastAsia" w:ascii="宋体" w:hAnsi="宋体" w:eastAsia="宋体" w:cs="宋体"/>
                <w:color w:val="auto"/>
                <w:sz w:val="24"/>
                <w:szCs w:val="24"/>
                <w:highlight w:val="none"/>
                <w:lang w:eastAsia="zh-CN"/>
              </w:rPr>
              <w:t>及质量保证</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eastAsia="zh-CN"/>
              </w:rPr>
              <w:t>满分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sz w:val="24"/>
                <w:szCs w:val="24"/>
              </w:rPr>
              <w:t>表述不完善或者可行性较低减 0.5 分，减完为止；无此项内容不得分</w:t>
            </w:r>
            <w:r>
              <w:rPr>
                <w:rFonts w:hint="eastAsia" w:ascii="宋体" w:hAnsi="宋体" w:eastAsia="宋体" w:cs="宋体"/>
                <w:color w:val="auto"/>
                <w:sz w:val="24"/>
                <w:szCs w:val="24"/>
                <w:highlight w:val="none"/>
              </w:rPr>
              <w:t>；</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eastAsia="zh-CN"/>
              </w:rPr>
              <w:t>保证</w:t>
            </w:r>
            <w:r>
              <w:rPr>
                <w:rFonts w:hint="eastAsia" w:ascii="宋体" w:hAnsi="宋体" w:eastAsia="宋体" w:cs="宋体"/>
                <w:color w:val="auto"/>
                <w:sz w:val="24"/>
                <w:szCs w:val="24"/>
                <w:highlight w:val="none"/>
              </w:rPr>
              <w:t>施工措施，</w:t>
            </w:r>
            <w:r>
              <w:rPr>
                <w:rFonts w:hint="eastAsia" w:ascii="宋体" w:hAnsi="宋体" w:eastAsia="宋体" w:cs="宋体"/>
                <w:color w:val="auto"/>
                <w:sz w:val="24"/>
                <w:szCs w:val="24"/>
                <w:highlight w:val="none"/>
                <w:lang w:eastAsia="zh-CN"/>
              </w:rPr>
              <w:t>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sz w:val="24"/>
                <w:szCs w:val="24"/>
              </w:rPr>
              <w:t>表述不完善或者可行性较低减 0.5 分，减完为止；无此项内容不得分</w:t>
            </w:r>
            <w:r>
              <w:rPr>
                <w:rFonts w:hint="eastAsia" w:ascii="宋体" w:hAnsi="宋体" w:eastAsia="宋体" w:cs="宋体"/>
                <w:color w:val="auto"/>
                <w:sz w:val="24"/>
                <w:szCs w:val="24"/>
                <w:highlight w:val="none"/>
              </w:rPr>
              <w:t>；</w:t>
            </w:r>
          </w:p>
          <w:p>
            <w:pPr>
              <w:pStyle w:val="96"/>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lang w:val="en-US" w:eastAsia="zh-CN"/>
              </w:rPr>
              <w:t>5、水电计划用量，</w:t>
            </w:r>
            <w:r>
              <w:rPr>
                <w:rFonts w:hint="eastAsia" w:ascii="宋体" w:hAnsi="宋体" w:eastAsia="宋体" w:cs="宋体"/>
                <w:color w:val="auto"/>
                <w:sz w:val="24"/>
                <w:szCs w:val="24"/>
                <w:highlight w:val="none"/>
                <w:lang w:eastAsia="zh-CN"/>
              </w:rPr>
              <w:t>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sz w:val="24"/>
                <w:szCs w:val="24"/>
              </w:rPr>
              <w:t>表述不</w:t>
            </w:r>
            <w:r>
              <w:rPr>
                <w:rFonts w:hint="eastAsia" w:ascii="宋体" w:hAnsi="宋体" w:eastAsia="宋体" w:cs="宋体"/>
                <w:color w:val="000000"/>
                <w:sz w:val="24"/>
                <w:szCs w:val="24"/>
                <w:lang w:eastAsia="zh-CN"/>
              </w:rPr>
              <w:t>合理</w:t>
            </w:r>
            <w:r>
              <w:rPr>
                <w:rFonts w:hint="eastAsia" w:ascii="宋体" w:hAnsi="宋体" w:eastAsia="宋体" w:cs="宋体"/>
                <w:color w:val="000000"/>
                <w:sz w:val="24"/>
                <w:szCs w:val="24"/>
              </w:rPr>
              <w:t>或者可行性较低减 0.5 分，减完为止；无此项内容不得分</w:t>
            </w:r>
            <w:r>
              <w:rPr>
                <w:rFonts w:hint="eastAsia" w:ascii="宋体" w:hAnsi="宋体" w:eastAsia="宋体" w:cs="宋体"/>
                <w:color w:val="auto"/>
                <w:sz w:val="24"/>
                <w:szCs w:val="24"/>
                <w:highlight w:val="none"/>
              </w:rPr>
              <w:t>；</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6、现场文明施工的保障措施，</w:t>
            </w:r>
            <w:r>
              <w:rPr>
                <w:rFonts w:hint="eastAsia" w:ascii="宋体" w:hAnsi="宋体" w:eastAsia="宋体" w:cs="宋体"/>
                <w:color w:val="000000"/>
                <w:sz w:val="24"/>
                <w:szCs w:val="24"/>
                <w:lang w:eastAsia="zh-CN"/>
              </w:rPr>
              <w:t>满分</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表述不完善或者可行性较低减 0.5 分，减完为止；无此项内容不得分；</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7、劳动力安排保证措施，</w:t>
            </w:r>
            <w:r>
              <w:rPr>
                <w:rFonts w:hint="eastAsia" w:ascii="宋体" w:hAnsi="宋体" w:eastAsia="宋体" w:cs="宋体"/>
                <w:color w:val="000000"/>
                <w:sz w:val="24"/>
                <w:szCs w:val="24"/>
                <w:lang w:eastAsia="zh-CN"/>
              </w:rPr>
              <w:t>满分</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，安排不合理</w:t>
            </w:r>
            <w:r>
              <w:rPr>
                <w:rFonts w:hint="eastAsia" w:ascii="宋体" w:hAnsi="宋体" w:eastAsia="宋体" w:cs="宋体"/>
                <w:color w:val="000000"/>
                <w:sz w:val="24"/>
                <w:szCs w:val="24"/>
              </w:rPr>
              <w:t>或者</w:t>
            </w:r>
            <w:r>
              <w:rPr>
                <w:rFonts w:hint="eastAsia" w:ascii="宋体" w:hAnsi="宋体" w:eastAsia="宋体" w:cs="宋体"/>
                <w:color w:val="000000"/>
                <w:sz w:val="24"/>
                <w:szCs w:val="24"/>
                <w:lang w:eastAsia="zh-CN"/>
              </w:rPr>
              <w:t>岗位责任不明确</w:t>
            </w:r>
            <w:r>
              <w:rPr>
                <w:rFonts w:hint="eastAsia" w:ascii="宋体" w:hAnsi="宋体" w:eastAsia="宋体" w:cs="宋体"/>
                <w:color w:val="000000"/>
                <w:sz w:val="24"/>
                <w:szCs w:val="24"/>
              </w:rPr>
              <w:t>减 0.5 分，减完为止；无此项内容不得分；</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机械设备选用</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保证措施，满分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分，机械设备选用</w:t>
            </w:r>
            <w:r>
              <w:rPr>
                <w:rFonts w:hint="eastAsia" w:ascii="宋体" w:hAnsi="宋体" w:eastAsia="宋体" w:cs="宋体"/>
                <w:color w:val="auto"/>
                <w:sz w:val="24"/>
                <w:szCs w:val="24"/>
                <w:highlight w:val="none"/>
                <w:lang w:eastAsia="zh-CN"/>
              </w:rPr>
              <w:t>不合理、不科学等</w:t>
            </w:r>
            <w:r>
              <w:rPr>
                <w:rFonts w:hint="eastAsia" w:ascii="宋体" w:hAnsi="宋体" w:eastAsia="宋体" w:cs="宋体"/>
                <w:color w:val="auto"/>
                <w:sz w:val="24"/>
                <w:szCs w:val="24"/>
                <w:highlight w:val="none"/>
              </w:rPr>
              <w:t>减 0.5 分，减完为止；无此项内容不得分；</w:t>
            </w:r>
          </w:p>
          <w:p>
            <w:pPr>
              <w:spacing w:line="360" w:lineRule="auto"/>
              <w:rPr>
                <w:rFonts w:hint="eastAsia" w:ascii="宋体" w:hAnsi="宋体" w:eastAsia="宋体" w:cs="宋体"/>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施工总进度计划及保证措施（包括以横道图或标明关键线路的网络进度计划、</w:t>
            </w:r>
            <w:r>
              <w:rPr>
                <w:rFonts w:hint="eastAsia" w:ascii="宋体" w:hAnsi="宋体" w:eastAsia="宋体" w:cs="宋体"/>
                <w:color w:val="auto"/>
                <w:sz w:val="24"/>
                <w:szCs w:val="24"/>
                <w:highlight w:val="none"/>
                <w:lang w:eastAsia="zh-CN"/>
              </w:rPr>
              <w:t>施工进度表</w:t>
            </w:r>
            <w:r>
              <w:rPr>
                <w:rFonts w:hint="eastAsia" w:ascii="宋体" w:hAnsi="宋体" w:eastAsia="宋体" w:cs="宋体"/>
                <w:color w:val="auto"/>
                <w:sz w:val="24"/>
                <w:szCs w:val="24"/>
                <w:highlight w:val="none"/>
              </w:rPr>
              <w:t>、材料设备进场计划及其他保证措施等）</w:t>
            </w:r>
            <w:r>
              <w:rPr>
                <w:rFonts w:hint="eastAsia" w:ascii="宋体" w:hAnsi="宋体" w:eastAsia="宋体" w:cs="宋体"/>
                <w:sz w:val="24"/>
                <w:szCs w:val="24"/>
                <w:lang w:eastAsia="zh-CN"/>
              </w:rPr>
              <w:t>合理、科学有效等切实可行为第一档满分</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 xml:space="preserve"> 分；</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施工总进度计划及保证措施基本合理、科学有效为第二档满分3 分；</w:t>
            </w:r>
          </w:p>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专家针对同档次响应文件横向比较，依次扣减 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eastAsia="zh-CN"/>
              </w:rPr>
              <w:t>无此项内容</w:t>
            </w:r>
            <w:r>
              <w:rPr>
                <w:rFonts w:hint="eastAsia" w:ascii="宋体" w:hAnsi="宋体" w:eastAsia="宋体" w:cs="宋体"/>
                <w:color w:val="auto"/>
                <w:sz w:val="24"/>
                <w:szCs w:val="24"/>
                <w:highlight w:val="none"/>
              </w:rPr>
              <w:t>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70" w:type="dxa"/>
            <w:vMerge w:val="continue"/>
            <w:tcBorders>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ind w:firstLine="480"/>
              <w:jc w:val="both"/>
              <w:textAlignment w:val="auto"/>
              <w:rPr>
                <w:rFonts w:hint="eastAsia" w:ascii="宋体" w:hAnsi="宋体" w:eastAsia="宋体" w:cs="宋体"/>
                <w:color w:val="auto"/>
                <w:sz w:val="24"/>
                <w:szCs w:val="24"/>
                <w:highlight w:val="none"/>
                <w:lang w:val="en-US" w:eastAsia="zh-CN"/>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主要材料质量（</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51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spacing w:afterAutospacing="0"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专家对</w:t>
            </w:r>
            <w:r>
              <w:rPr>
                <w:rFonts w:hint="eastAsia" w:ascii="宋体" w:hAnsi="宋体" w:eastAsia="宋体" w:cs="宋体"/>
                <w:color w:val="auto"/>
                <w:sz w:val="24"/>
                <w:szCs w:val="24"/>
                <w:highlight w:val="none"/>
                <w:lang w:val="en-US" w:eastAsia="zh-CN"/>
              </w:rPr>
              <w:t>各供应商所提供的主材表，综合考虑各主材的市场知名度</w:t>
            </w:r>
            <w:r>
              <w:rPr>
                <w:rFonts w:hint="eastAsia" w:ascii="宋体" w:hAnsi="宋体" w:cs="宋体"/>
                <w:color w:val="auto"/>
                <w:sz w:val="24"/>
                <w:szCs w:val="24"/>
                <w:highlight w:val="none"/>
                <w:lang w:val="en-US" w:eastAsia="zh-CN"/>
              </w:rPr>
              <w:t>打分，满分5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市场占有率及材料质量等相关证明材料综</w:t>
            </w:r>
            <w:r>
              <w:rPr>
                <w:rFonts w:hint="eastAsia" w:ascii="宋体" w:hAnsi="宋体" w:cs="宋体"/>
                <w:color w:val="auto"/>
                <w:sz w:val="24"/>
                <w:szCs w:val="24"/>
                <w:highlight w:val="none"/>
                <w:lang w:val="en-US" w:eastAsia="zh-CN"/>
              </w:rPr>
              <w:t>不完善、不科学减0.2分，减完为止。</w:t>
            </w:r>
            <w:r>
              <w:rPr>
                <w:rFonts w:hint="eastAsia" w:ascii="宋体" w:hAnsi="宋体" w:eastAsia="宋体" w:cs="宋体"/>
                <w:color w:val="auto"/>
                <w:sz w:val="24"/>
                <w:szCs w:val="24"/>
                <w:highlight w:val="none"/>
                <w:lang w:val="en-US" w:eastAsia="zh-CN"/>
              </w:rPr>
              <w:t>此条缺项不得分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1170" w:type="dxa"/>
            <w:vMerge w:val="continue"/>
            <w:tcBorders>
              <w:bottom w:val="single" w:color="auto" w:sz="4" w:space="0"/>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ind w:firstLine="480"/>
              <w:jc w:val="both"/>
              <w:textAlignment w:val="auto"/>
              <w:rPr>
                <w:rFonts w:hint="eastAsia" w:ascii="宋体" w:hAnsi="宋体" w:eastAsia="宋体" w:cs="宋体"/>
                <w:color w:val="auto"/>
                <w:sz w:val="24"/>
                <w:szCs w:val="24"/>
                <w:highlight w:val="none"/>
                <w:lang w:val="en-US" w:eastAsia="zh-CN"/>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项目管理班子配备</w:t>
            </w:r>
          </w:p>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51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项目班子人员配备齐全</w:t>
            </w:r>
            <w:r>
              <w:rPr>
                <w:rFonts w:hint="eastAsia" w:ascii="宋体" w:hAnsi="宋体" w:cs="宋体"/>
                <w:color w:val="auto"/>
                <w:sz w:val="24"/>
                <w:szCs w:val="24"/>
                <w:highlight w:val="none"/>
                <w:lang w:val="en-US" w:eastAsia="zh-CN"/>
              </w:rPr>
              <w:t>、完善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，专家根据供应商所提供的</w:t>
            </w:r>
            <w:r>
              <w:rPr>
                <w:rFonts w:hint="eastAsia" w:ascii="宋体" w:hAnsi="宋体" w:eastAsia="宋体" w:cs="宋体"/>
                <w:color w:val="auto"/>
                <w:sz w:val="24"/>
                <w:szCs w:val="24"/>
                <w:highlight w:val="none"/>
                <w:lang w:val="en-US" w:eastAsia="zh-CN"/>
              </w:rPr>
              <w:t>项目管理班子配备</w:t>
            </w:r>
            <w:r>
              <w:rPr>
                <w:rFonts w:hint="eastAsia" w:ascii="宋体" w:hAnsi="宋体" w:cs="宋体"/>
                <w:color w:val="auto"/>
                <w:sz w:val="24"/>
                <w:szCs w:val="24"/>
                <w:highlight w:val="none"/>
                <w:lang w:val="en-US" w:eastAsia="zh-CN"/>
              </w:rPr>
              <w:t>进行横向比较，</w:t>
            </w:r>
            <w:r>
              <w:rPr>
                <w:rFonts w:hint="eastAsia" w:ascii="宋体" w:hAnsi="宋体" w:eastAsia="宋体" w:cs="宋体"/>
                <w:color w:val="auto"/>
                <w:sz w:val="24"/>
                <w:szCs w:val="24"/>
                <w:highlight w:val="none"/>
              </w:rPr>
              <w:t>依次扣减 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eastAsia="zh-CN"/>
              </w:rPr>
              <w:t>无此项内容</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1170" w:type="dxa"/>
            <w:tcBorders>
              <w:top w:val="single" w:color="auto" w:sz="4" w:space="0"/>
              <w:bottom w:val="single" w:color="auto" w:sz="4" w:space="0"/>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商务部分</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类似业绩及企业信誉</w:t>
            </w:r>
          </w:p>
          <w:p>
            <w:pPr>
              <w:pageBreakBefore w:val="0"/>
              <w:tabs>
                <w:tab w:val="left" w:pos="2745"/>
              </w:tabs>
              <w:kinsoku/>
              <w:wordWrap/>
              <w:topLinePunct w:val="0"/>
              <w:bidi w:val="0"/>
              <w:adjustRightInd w:val="0"/>
              <w:snapToGrid w:val="0"/>
              <w:spacing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c>
          <w:tcPr>
            <w:tcW w:w="6513"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4"/>
              </w:numPr>
              <w:tabs>
                <w:tab w:val="left" w:pos="2745"/>
              </w:tabs>
              <w:kinsoku/>
              <w:wordWrap/>
              <w:topLinePunct w:val="0"/>
              <w:bidi w:val="0"/>
              <w:adjustRightInd w:val="0"/>
              <w:snapToGrid w:val="0"/>
              <w:spacing w:afterAutospacing="0"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供应商近三年（2016年</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月至今以合同签订时间为准）具类似工程业绩每个得2分，最高得6分。</w:t>
            </w:r>
          </w:p>
          <w:p>
            <w:pPr>
              <w:pageBreakBefore w:val="0"/>
              <w:numPr>
                <w:ilvl w:val="0"/>
                <w:numId w:val="0"/>
              </w:numPr>
              <w:tabs>
                <w:tab w:val="left" w:pos="2745"/>
              </w:tabs>
              <w:kinsoku/>
              <w:wordWrap/>
              <w:topLinePunct w:val="0"/>
              <w:bidi w:val="0"/>
              <w:adjustRightInd w:val="0"/>
              <w:snapToGrid w:val="0"/>
              <w:spacing w:afterAutospacing="0"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（报价文件中需体现合同复印件及中标通知书，均需加盖供应商公章，否则不得分）</w:t>
            </w:r>
          </w:p>
          <w:p>
            <w:pPr>
              <w:pageBreakBefore w:val="0"/>
              <w:numPr>
                <w:ilvl w:val="0"/>
                <w:numId w:val="0"/>
              </w:numPr>
              <w:tabs>
                <w:tab w:val="left" w:pos="2745"/>
              </w:tabs>
              <w:kinsoku/>
              <w:wordWrap/>
              <w:topLinePunct w:val="0"/>
              <w:bidi w:val="0"/>
              <w:adjustRightInd w:val="0"/>
              <w:snapToGrid w:val="0"/>
              <w:spacing w:afterAutospacing="0"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企业近三年获得省级及以上工程质量奖的一个得2分，最多得4分。</w:t>
            </w:r>
          </w:p>
          <w:p>
            <w:pPr>
              <w:pageBreakBefore w:val="0"/>
              <w:numPr>
                <w:ilvl w:val="0"/>
                <w:numId w:val="0"/>
              </w:numPr>
              <w:tabs>
                <w:tab w:val="left" w:pos="2745"/>
              </w:tabs>
              <w:kinsoku/>
              <w:wordWrap/>
              <w:topLinePunct w:val="0"/>
              <w:bidi w:val="0"/>
              <w:adjustRightInd w:val="0"/>
              <w:snapToGrid w:val="0"/>
              <w:spacing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企业近三年获得AAA信用等级证书的得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分，最多得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p>
        </w:tc>
      </w:tr>
    </w:tbl>
    <w:p>
      <w:pPr>
        <w:rPr>
          <w:rFonts w:hint="eastAsia" w:ascii="宋体" w:hAnsi="宋体" w:eastAsia="宋体" w:cs="宋体"/>
        </w:rPr>
      </w:pPr>
    </w:p>
    <w:p>
      <w:pPr>
        <w:keepNext w:val="0"/>
        <w:keepLines w:val="0"/>
        <w:pageBreakBefore w:val="0"/>
        <w:kinsoku/>
        <w:wordWrap/>
        <w:overflowPunct/>
        <w:topLinePunct w:val="0"/>
        <w:autoSpaceDE/>
        <w:autoSpaceDN/>
        <w:bidi w:val="0"/>
        <w:adjustRightInd w:val="0"/>
        <w:snapToGrid w:val="0"/>
        <w:spacing w:line="240" w:lineRule="atLeast"/>
        <w:ind w:firstLine="422" w:firstLineChars="200"/>
        <w:jc w:val="left"/>
        <w:textAlignment w:val="auto"/>
        <w:rPr>
          <w:rFonts w:hint="eastAsia" w:ascii="宋体" w:hAnsi="宋体" w:eastAsia="宋体" w:cs="宋体"/>
          <w:b/>
          <w:bCs w:val="0"/>
          <w:color w:val="000000"/>
          <w:spacing w:val="0"/>
          <w:kern w:val="0"/>
          <w:sz w:val="21"/>
          <w:szCs w:val="21"/>
          <w:lang w:val="en-US" w:eastAsia="zh-CN" w:bidi="ar-SA"/>
        </w:rPr>
      </w:pPr>
      <w:r>
        <w:rPr>
          <w:rFonts w:hint="eastAsia" w:ascii="宋体" w:hAnsi="宋体" w:eastAsia="宋体" w:cs="宋体"/>
          <w:b/>
          <w:bCs w:val="0"/>
          <w:color w:val="000000"/>
          <w:spacing w:val="0"/>
          <w:kern w:val="0"/>
          <w:sz w:val="21"/>
          <w:szCs w:val="21"/>
          <w:lang w:val="en-US" w:eastAsia="zh-CN" w:bidi="ar-SA"/>
        </w:rPr>
        <w:t>备注：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spacing w:val="0"/>
          <w:kern w:val="0"/>
          <w:sz w:val="24"/>
          <w:szCs w:val="24"/>
          <w:lang w:val="en-US" w:eastAsia="zh-CN" w:bidi="ar-SA"/>
        </w:rPr>
      </w:pPr>
      <w:r>
        <w:rPr>
          <w:rFonts w:hint="eastAsia" w:ascii="宋体" w:hAnsi="宋体" w:eastAsia="宋体" w:cs="宋体"/>
          <w:b w:val="0"/>
          <w:bCs/>
          <w:color w:val="000000"/>
          <w:spacing w:val="0"/>
          <w:kern w:val="0"/>
          <w:sz w:val="24"/>
          <w:szCs w:val="24"/>
          <w:lang w:val="en-US" w:eastAsia="zh-CN" w:bidi="ar-SA"/>
        </w:rPr>
        <w:t>1、商务标计算按报价人最终报价计算。本次评</w:t>
      </w:r>
      <w:r>
        <w:rPr>
          <w:rFonts w:hint="eastAsia" w:ascii="宋体" w:hAnsi="宋体" w:cs="宋体"/>
          <w:b w:val="0"/>
          <w:bCs/>
          <w:color w:val="000000"/>
          <w:spacing w:val="0"/>
          <w:kern w:val="0"/>
          <w:sz w:val="24"/>
          <w:szCs w:val="24"/>
          <w:lang w:val="en-US" w:eastAsia="zh-CN" w:bidi="ar-SA"/>
        </w:rPr>
        <w:t>审</w:t>
      </w:r>
      <w:r>
        <w:rPr>
          <w:rFonts w:hint="eastAsia" w:ascii="宋体" w:hAnsi="宋体" w:eastAsia="宋体" w:cs="宋体"/>
          <w:b w:val="0"/>
          <w:bCs/>
          <w:color w:val="000000"/>
          <w:spacing w:val="0"/>
          <w:kern w:val="0"/>
          <w:sz w:val="24"/>
          <w:szCs w:val="24"/>
          <w:lang w:val="en-US" w:eastAsia="zh-CN" w:bidi="ar-SA"/>
        </w:rPr>
        <w:t>采用综合评分法。磋商小组对满足竞争性磋商文件实质性要求的报价文件，按照本章规定的评分标准进行打分，并按得分由高到低顺序推荐候选</w:t>
      </w:r>
      <w:r>
        <w:rPr>
          <w:rFonts w:hint="eastAsia" w:ascii="宋体" w:hAnsi="宋体" w:cs="宋体"/>
          <w:b w:val="0"/>
          <w:bCs/>
          <w:color w:val="000000"/>
          <w:spacing w:val="0"/>
          <w:kern w:val="0"/>
          <w:sz w:val="24"/>
          <w:szCs w:val="24"/>
          <w:lang w:val="en-US" w:eastAsia="zh-CN" w:bidi="ar-SA"/>
        </w:rPr>
        <w:t>成交供应商</w:t>
      </w:r>
      <w:r>
        <w:rPr>
          <w:rFonts w:hint="eastAsia" w:ascii="宋体" w:hAnsi="宋体" w:eastAsia="宋体" w:cs="宋体"/>
          <w:b w:val="0"/>
          <w:bCs/>
          <w:color w:val="000000"/>
          <w:spacing w:val="0"/>
          <w:kern w:val="0"/>
          <w:sz w:val="24"/>
          <w:szCs w:val="24"/>
          <w:lang w:val="en-US" w:eastAsia="zh-CN" w:bidi="ar-SA"/>
        </w:rPr>
        <w:t>，或根据采购人授权直接确定</w:t>
      </w:r>
      <w:r>
        <w:rPr>
          <w:rFonts w:hint="eastAsia" w:ascii="宋体" w:hAnsi="宋体" w:cs="宋体"/>
          <w:b w:val="0"/>
          <w:bCs/>
          <w:color w:val="000000"/>
          <w:spacing w:val="0"/>
          <w:kern w:val="0"/>
          <w:sz w:val="24"/>
          <w:szCs w:val="24"/>
          <w:lang w:val="en-US" w:eastAsia="zh-CN" w:bidi="ar-SA"/>
        </w:rPr>
        <w:t>成交供应商</w:t>
      </w:r>
      <w:r>
        <w:rPr>
          <w:rFonts w:hint="eastAsia" w:ascii="宋体" w:hAnsi="宋体" w:eastAsia="宋体" w:cs="宋体"/>
          <w:b w:val="0"/>
          <w:bCs/>
          <w:color w:val="000000"/>
          <w:spacing w:val="0"/>
          <w:kern w:val="0"/>
          <w:sz w:val="24"/>
          <w:szCs w:val="24"/>
          <w:lang w:val="en-US" w:eastAsia="zh-CN" w:bidi="ar-SA"/>
        </w:rPr>
        <w:t>，但报价低于其成本的除外。评审得分相同的，按照最后报价由低到高的顺序推荐。评审得分且最后报价相同的，按照技术指标优劣顺序推荐。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pacing w:val="0"/>
          <w:kern w:val="0"/>
          <w:sz w:val="24"/>
          <w:szCs w:val="24"/>
          <w:lang w:val="en-US" w:eastAsia="zh-CN" w:bidi="ar-SA"/>
        </w:rPr>
      </w:pPr>
      <w:r>
        <w:rPr>
          <w:rFonts w:hint="eastAsia" w:ascii="宋体" w:hAnsi="宋体" w:eastAsia="宋体" w:cs="宋体"/>
          <w:bCs/>
          <w:color w:val="000000"/>
          <w:spacing w:val="0"/>
          <w:kern w:val="0"/>
          <w:sz w:val="24"/>
          <w:szCs w:val="24"/>
          <w:lang w:val="en-US" w:eastAsia="zh-CN" w:bidi="ar-SA"/>
        </w:rPr>
        <w:t>2、供应商的每次报价均不得高于采购人预算，否则按照无效报价处理。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pacing w:val="0"/>
          <w:kern w:val="0"/>
          <w:sz w:val="24"/>
          <w:szCs w:val="24"/>
          <w:lang w:val="en-US" w:eastAsia="zh-CN" w:bidi="ar-SA"/>
        </w:rPr>
      </w:pPr>
      <w:r>
        <w:rPr>
          <w:rFonts w:hint="eastAsia" w:ascii="宋体" w:hAnsi="宋体" w:eastAsia="宋体" w:cs="宋体"/>
          <w:bCs/>
          <w:color w:val="000000"/>
          <w:spacing w:val="0"/>
          <w:kern w:val="0"/>
          <w:sz w:val="24"/>
          <w:szCs w:val="24"/>
          <w:lang w:val="en-US" w:eastAsia="zh-CN" w:bidi="ar-SA"/>
        </w:rPr>
        <w:t>3、得分小数点后保留2位有效数字，四舍五入。</w:t>
      </w:r>
    </w:p>
    <w:p>
      <w:pPr>
        <w:pageBreakBefore w:val="0"/>
        <w:kinsoku/>
        <w:wordWrap/>
        <w:topLinePunct w:val="0"/>
        <w:bidi w:val="0"/>
        <w:adjustRightInd w:val="0"/>
        <w:snapToGrid w:val="0"/>
        <w:spacing w:afterAutospacing="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pageBreakBefore w:val="0"/>
        <w:numPr>
          <w:ilvl w:val="0"/>
          <w:numId w:val="3"/>
        </w:numPr>
        <w:kinsoku/>
        <w:wordWrap/>
        <w:topLinePunct w:val="0"/>
        <w:bidi w:val="0"/>
        <w:adjustRightInd w:val="0"/>
        <w:snapToGrid w:val="0"/>
        <w:spacing w:before="0" w:after="0" w:afterAutospacing="0" w:line="360" w:lineRule="auto"/>
        <w:jc w:val="center"/>
        <w:textAlignment w:val="auto"/>
        <w:rPr>
          <w:rFonts w:hint="default" w:ascii="宋体" w:hAnsi="宋体" w:eastAsia="宋体" w:cs="宋体"/>
          <w:lang w:val="en-US" w:eastAsia="zh-CN"/>
        </w:rPr>
      </w:pPr>
      <w:r>
        <w:rPr>
          <w:rFonts w:hint="eastAsia" w:ascii="宋体" w:hAnsi="宋体" w:eastAsia="宋体" w:cs="宋体"/>
          <w:color w:val="auto"/>
          <w:highlight w:val="none"/>
        </w:rPr>
        <w:t xml:space="preserve"> </w:t>
      </w:r>
      <w:bookmarkStart w:id="331" w:name="_Toc19046"/>
      <w:r>
        <w:rPr>
          <w:rFonts w:hint="eastAsia" w:ascii="宋体" w:hAnsi="宋体" w:eastAsia="宋体" w:cs="宋体"/>
          <w:color w:val="auto"/>
          <w:highlight w:val="none"/>
        </w:rPr>
        <w:t>工程量清单</w:t>
      </w:r>
      <w:bookmarkEnd w:id="331"/>
    </w:p>
    <w:p>
      <w:pPr>
        <w:pStyle w:val="4"/>
        <w:pageBreakBefore w:val="0"/>
        <w:numPr>
          <w:ilvl w:val="0"/>
          <w:numId w:val="0"/>
        </w:numPr>
        <w:kinsoku/>
        <w:wordWrap/>
        <w:topLinePunct w:val="0"/>
        <w:bidi w:val="0"/>
        <w:adjustRightInd w:val="0"/>
        <w:snapToGrid w:val="0"/>
        <w:spacing w:before="0" w:after="0" w:afterAutospacing="0" w:line="360" w:lineRule="auto"/>
        <w:jc w:val="both"/>
        <w:textAlignment w:val="auto"/>
        <w:rPr>
          <w:rFonts w:hint="default" w:ascii="宋体" w:hAnsi="宋体" w:eastAsia="宋体" w:cs="宋体"/>
          <w:sz w:val="36"/>
          <w:szCs w:val="16"/>
          <w:lang w:val="en-US" w:eastAsia="zh-CN"/>
        </w:rPr>
      </w:pPr>
      <w:r>
        <w:rPr>
          <w:rFonts w:hint="eastAsia" w:ascii="宋体" w:hAnsi="宋体" w:cs="宋体"/>
          <w:color w:val="auto"/>
          <w:sz w:val="36"/>
          <w:szCs w:val="16"/>
          <w:highlight w:val="none"/>
          <w:lang w:eastAsia="zh-CN"/>
        </w:rPr>
        <w:t>详见附件。</w:t>
      </w:r>
    </w:p>
    <w:sectPr>
      <w:footerReference r:id="rId5" w:type="default"/>
      <w:pgSz w:w="11907" w:h="16840"/>
      <w:pgMar w:top="1304" w:right="1417" w:bottom="1304" w:left="1417" w:header="510" w:footer="720" w:gutter="0"/>
      <w:pgNumType w:fmt="decimal"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altName w:val="宋体"/>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left"/>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left"/>
      <w:rPr>
        <w:rFonts w:ascii="仿宋_GB2312" w:eastAsia="仿宋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4865"/>
      </w:tabs>
      <w:jc w:val="center"/>
      <w:rPr>
        <w:rFonts w:hint="default" w:eastAsia="宋体"/>
        <w:lang w:val="en-US" w:eastAsia="zh-CN"/>
      </w:rPr>
    </w:pPr>
    <w:r>
      <w:rPr>
        <w:rFonts w:hint="eastAsia" w:ascii="仿宋" w:hAnsi="仿宋" w:eastAsia="仿宋" w:cs="仿宋"/>
        <w:b/>
        <w:sz w:val="32"/>
        <w:szCs w:val="32"/>
        <w:u w:val="single"/>
      </w:rPr>
      <w:drawing>
        <wp:inline distT="0" distB="0" distL="0" distR="0">
          <wp:extent cx="336550" cy="319405"/>
          <wp:effectExtent l="0" t="0" r="13970" b="635"/>
          <wp:docPr id="6"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LOGO"/>
                  <pic:cNvPicPr>
                    <a:picLocks noChangeAspect="1" noChangeArrowheads="1"/>
                  </pic:cNvPicPr>
                </pic:nvPicPr>
                <pic:blipFill>
                  <a:blip r:embed="rId1"/>
                  <a:srcRect/>
                  <a:stretch>
                    <a:fillRect/>
                  </a:stretch>
                </pic:blipFill>
                <pic:spPr>
                  <a:xfrm>
                    <a:off x="0" y="0"/>
                    <a:ext cx="336550" cy="319405"/>
                  </a:xfrm>
                  <a:prstGeom prst="rect">
                    <a:avLst/>
                  </a:prstGeom>
                  <a:noFill/>
                  <a:ln w="9525" cmpd="sng">
                    <a:noFill/>
                    <a:miter lim="800000"/>
                    <a:headEnd/>
                    <a:tailEnd/>
                  </a:ln>
                </pic:spPr>
              </pic:pic>
            </a:graphicData>
          </a:graphic>
        </wp:inline>
      </w:drawing>
    </w:r>
    <w:r>
      <w:rPr>
        <w:rFonts w:hint="eastAsia"/>
        <w:u w:val="single"/>
      </w:rPr>
      <w:t>山东蓝盾招标代理有限公司         网址：http://www.sdldzb.com            联系方式：0531-88809762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01475"/>
    <w:multiLevelType w:val="singleLevel"/>
    <w:tmpl w:val="DDE01475"/>
    <w:lvl w:ilvl="0" w:tentative="0">
      <w:start w:val="8"/>
      <w:numFmt w:val="chineseCounting"/>
      <w:suff w:val="nothing"/>
      <w:lvlText w:val="%1、"/>
      <w:lvlJc w:val="left"/>
      <w:rPr>
        <w:rFonts w:hint="eastAsia"/>
      </w:rPr>
    </w:lvl>
  </w:abstractNum>
  <w:abstractNum w:abstractNumId="1">
    <w:nsid w:val="58C0A688"/>
    <w:multiLevelType w:val="singleLevel"/>
    <w:tmpl w:val="58C0A688"/>
    <w:lvl w:ilvl="0" w:tentative="0">
      <w:start w:val="2"/>
      <w:numFmt w:val="decimal"/>
      <w:suff w:val="nothing"/>
      <w:lvlText w:val="%1、"/>
      <w:lvlJc w:val="left"/>
    </w:lvl>
  </w:abstractNum>
  <w:abstractNum w:abstractNumId="2">
    <w:nsid w:val="690DE1C2"/>
    <w:multiLevelType w:val="singleLevel"/>
    <w:tmpl w:val="690DE1C2"/>
    <w:lvl w:ilvl="0" w:tentative="0">
      <w:start w:val="1"/>
      <w:numFmt w:val="decimal"/>
      <w:suff w:val="nothing"/>
      <w:lvlText w:val="%1、"/>
      <w:lvlJc w:val="left"/>
    </w:lvl>
  </w:abstractNum>
  <w:abstractNum w:abstractNumId="3">
    <w:nsid w:val="69B58D9C"/>
    <w:multiLevelType w:val="singleLevel"/>
    <w:tmpl w:val="69B58D9C"/>
    <w:lvl w:ilvl="0" w:tentative="0">
      <w:start w:val="10"/>
      <w:numFmt w:val="chineseCounting"/>
      <w:suff w:val="space"/>
      <w:lvlText w:val="第%1部分"/>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0F"/>
    <w:rsid w:val="00000B32"/>
    <w:rsid w:val="00001FB7"/>
    <w:rsid w:val="0000589E"/>
    <w:rsid w:val="000058F6"/>
    <w:rsid w:val="00006670"/>
    <w:rsid w:val="00012253"/>
    <w:rsid w:val="00012729"/>
    <w:rsid w:val="0001406E"/>
    <w:rsid w:val="0001431C"/>
    <w:rsid w:val="00014F20"/>
    <w:rsid w:val="00016341"/>
    <w:rsid w:val="0001760C"/>
    <w:rsid w:val="00020B1C"/>
    <w:rsid w:val="00023F5F"/>
    <w:rsid w:val="00024278"/>
    <w:rsid w:val="000257AF"/>
    <w:rsid w:val="00027FD1"/>
    <w:rsid w:val="00031FD8"/>
    <w:rsid w:val="000326E2"/>
    <w:rsid w:val="0003349D"/>
    <w:rsid w:val="00034298"/>
    <w:rsid w:val="00036A31"/>
    <w:rsid w:val="00036C95"/>
    <w:rsid w:val="00036D0D"/>
    <w:rsid w:val="0003750F"/>
    <w:rsid w:val="00037D04"/>
    <w:rsid w:val="00040C1D"/>
    <w:rsid w:val="00041478"/>
    <w:rsid w:val="00041BC0"/>
    <w:rsid w:val="00041CCD"/>
    <w:rsid w:val="000431F7"/>
    <w:rsid w:val="0004333A"/>
    <w:rsid w:val="0004428D"/>
    <w:rsid w:val="00045721"/>
    <w:rsid w:val="00046F78"/>
    <w:rsid w:val="00047257"/>
    <w:rsid w:val="00050FD6"/>
    <w:rsid w:val="00051149"/>
    <w:rsid w:val="00051879"/>
    <w:rsid w:val="0005235E"/>
    <w:rsid w:val="000542F7"/>
    <w:rsid w:val="000542FF"/>
    <w:rsid w:val="00056812"/>
    <w:rsid w:val="000568DE"/>
    <w:rsid w:val="00057177"/>
    <w:rsid w:val="00057B71"/>
    <w:rsid w:val="00061120"/>
    <w:rsid w:val="00061943"/>
    <w:rsid w:val="00062F73"/>
    <w:rsid w:val="0006390F"/>
    <w:rsid w:val="00065F54"/>
    <w:rsid w:val="00066567"/>
    <w:rsid w:val="00067330"/>
    <w:rsid w:val="00072C01"/>
    <w:rsid w:val="00075319"/>
    <w:rsid w:val="00075ED0"/>
    <w:rsid w:val="0007606B"/>
    <w:rsid w:val="00077CAC"/>
    <w:rsid w:val="0008036E"/>
    <w:rsid w:val="00083F94"/>
    <w:rsid w:val="0008440F"/>
    <w:rsid w:val="000849A7"/>
    <w:rsid w:val="00085611"/>
    <w:rsid w:val="0008607E"/>
    <w:rsid w:val="00086129"/>
    <w:rsid w:val="00087053"/>
    <w:rsid w:val="00087BA4"/>
    <w:rsid w:val="00091523"/>
    <w:rsid w:val="000930BF"/>
    <w:rsid w:val="000941D3"/>
    <w:rsid w:val="00095A01"/>
    <w:rsid w:val="000A11E3"/>
    <w:rsid w:val="000A1625"/>
    <w:rsid w:val="000A2A5D"/>
    <w:rsid w:val="000A558A"/>
    <w:rsid w:val="000A7816"/>
    <w:rsid w:val="000B0565"/>
    <w:rsid w:val="000B3593"/>
    <w:rsid w:val="000B4D09"/>
    <w:rsid w:val="000B544A"/>
    <w:rsid w:val="000B57C8"/>
    <w:rsid w:val="000B6B87"/>
    <w:rsid w:val="000B75F2"/>
    <w:rsid w:val="000B7EBC"/>
    <w:rsid w:val="000C0A61"/>
    <w:rsid w:val="000C0CC7"/>
    <w:rsid w:val="000C143D"/>
    <w:rsid w:val="000C248E"/>
    <w:rsid w:val="000C269F"/>
    <w:rsid w:val="000C59C7"/>
    <w:rsid w:val="000C6B4A"/>
    <w:rsid w:val="000D0348"/>
    <w:rsid w:val="000D10B2"/>
    <w:rsid w:val="000D18EB"/>
    <w:rsid w:val="000D1D55"/>
    <w:rsid w:val="000D39A4"/>
    <w:rsid w:val="000D3A09"/>
    <w:rsid w:val="000D44C0"/>
    <w:rsid w:val="000D4CC6"/>
    <w:rsid w:val="000D552D"/>
    <w:rsid w:val="000D6CAB"/>
    <w:rsid w:val="000E2568"/>
    <w:rsid w:val="000E3937"/>
    <w:rsid w:val="000E43C8"/>
    <w:rsid w:val="000E70C3"/>
    <w:rsid w:val="000E7770"/>
    <w:rsid w:val="000E780A"/>
    <w:rsid w:val="000E7C9A"/>
    <w:rsid w:val="000F08A9"/>
    <w:rsid w:val="000F0A05"/>
    <w:rsid w:val="000F37E7"/>
    <w:rsid w:val="000F4393"/>
    <w:rsid w:val="000F4812"/>
    <w:rsid w:val="000F4F3C"/>
    <w:rsid w:val="000F626D"/>
    <w:rsid w:val="000F69DC"/>
    <w:rsid w:val="00100882"/>
    <w:rsid w:val="00100CF6"/>
    <w:rsid w:val="00101B8C"/>
    <w:rsid w:val="0010596B"/>
    <w:rsid w:val="00106732"/>
    <w:rsid w:val="00107E23"/>
    <w:rsid w:val="00110999"/>
    <w:rsid w:val="001113B8"/>
    <w:rsid w:val="00117C10"/>
    <w:rsid w:val="0012287A"/>
    <w:rsid w:val="00122CDC"/>
    <w:rsid w:val="00124445"/>
    <w:rsid w:val="00131F31"/>
    <w:rsid w:val="001325B1"/>
    <w:rsid w:val="001342F4"/>
    <w:rsid w:val="001344F5"/>
    <w:rsid w:val="00134531"/>
    <w:rsid w:val="0013579E"/>
    <w:rsid w:val="0013745C"/>
    <w:rsid w:val="00140830"/>
    <w:rsid w:val="00142A22"/>
    <w:rsid w:val="00145050"/>
    <w:rsid w:val="0015061A"/>
    <w:rsid w:val="001506A9"/>
    <w:rsid w:val="001518D7"/>
    <w:rsid w:val="0015213D"/>
    <w:rsid w:val="00152998"/>
    <w:rsid w:val="001546F5"/>
    <w:rsid w:val="001556F3"/>
    <w:rsid w:val="001557EC"/>
    <w:rsid w:val="00156576"/>
    <w:rsid w:val="00160C29"/>
    <w:rsid w:val="001610B3"/>
    <w:rsid w:val="001629DA"/>
    <w:rsid w:val="0016399D"/>
    <w:rsid w:val="00165AE7"/>
    <w:rsid w:val="0016655F"/>
    <w:rsid w:val="00166FB2"/>
    <w:rsid w:val="001711A6"/>
    <w:rsid w:val="0017120C"/>
    <w:rsid w:val="00171968"/>
    <w:rsid w:val="00171EE9"/>
    <w:rsid w:val="001726A8"/>
    <w:rsid w:val="001761DD"/>
    <w:rsid w:val="001769A2"/>
    <w:rsid w:val="00176C91"/>
    <w:rsid w:val="00181280"/>
    <w:rsid w:val="00181A7A"/>
    <w:rsid w:val="00183628"/>
    <w:rsid w:val="001841C3"/>
    <w:rsid w:val="00184E88"/>
    <w:rsid w:val="001853C6"/>
    <w:rsid w:val="001861AA"/>
    <w:rsid w:val="001861E4"/>
    <w:rsid w:val="001868C4"/>
    <w:rsid w:val="001870E3"/>
    <w:rsid w:val="00191B40"/>
    <w:rsid w:val="00192856"/>
    <w:rsid w:val="00192FAC"/>
    <w:rsid w:val="00193BDC"/>
    <w:rsid w:val="00193CE6"/>
    <w:rsid w:val="00193FFB"/>
    <w:rsid w:val="001942A9"/>
    <w:rsid w:val="00195837"/>
    <w:rsid w:val="00197B8E"/>
    <w:rsid w:val="001A0391"/>
    <w:rsid w:val="001A145C"/>
    <w:rsid w:val="001A1F2E"/>
    <w:rsid w:val="001A2704"/>
    <w:rsid w:val="001A2996"/>
    <w:rsid w:val="001A299E"/>
    <w:rsid w:val="001A2A36"/>
    <w:rsid w:val="001A3015"/>
    <w:rsid w:val="001A32E9"/>
    <w:rsid w:val="001A359C"/>
    <w:rsid w:val="001A5112"/>
    <w:rsid w:val="001A59DB"/>
    <w:rsid w:val="001A7729"/>
    <w:rsid w:val="001A7EFE"/>
    <w:rsid w:val="001B2287"/>
    <w:rsid w:val="001B24AC"/>
    <w:rsid w:val="001B275D"/>
    <w:rsid w:val="001B2CB3"/>
    <w:rsid w:val="001B405B"/>
    <w:rsid w:val="001B425D"/>
    <w:rsid w:val="001B4E47"/>
    <w:rsid w:val="001B73F8"/>
    <w:rsid w:val="001C0432"/>
    <w:rsid w:val="001C1EEC"/>
    <w:rsid w:val="001C560F"/>
    <w:rsid w:val="001C58CF"/>
    <w:rsid w:val="001C5C59"/>
    <w:rsid w:val="001D16AD"/>
    <w:rsid w:val="001D19F1"/>
    <w:rsid w:val="001D2880"/>
    <w:rsid w:val="001D30DB"/>
    <w:rsid w:val="001D32F4"/>
    <w:rsid w:val="001D332A"/>
    <w:rsid w:val="001D4447"/>
    <w:rsid w:val="001D44F5"/>
    <w:rsid w:val="001D54E2"/>
    <w:rsid w:val="001D5D27"/>
    <w:rsid w:val="001E054B"/>
    <w:rsid w:val="001E11B1"/>
    <w:rsid w:val="001E149A"/>
    <w:rsid w:val="001E2802"/>
    <w:rsid w:val="001E321F"/>
    <w:rsid w:val="001E492C"/>
    <w:rsid w:val="001E6A8C"/>
    <w:rsid w:val="001E6F12"/>
    <w:rsid w:val="001F1390"/>
    <w:rsid w:val="001F2F94"/>
    <w:rsid w:val="001F3753"/>
    <w:rsid w:val="001F4613"/>
    <w:rsid w:val="001F503A"/>
    <w:rsid w:val="001F63CE"/>
    <w:rsid w:val="001F7316"/>
    <w:rsid w:val="00200F97"/>
    <w:rsid w:val="002015BE"/>
    <w:rsid w:val="002017B3"/>
    <w:rsid w:val="00203B88"/>
    <w:rsid w:val="00204C87"/>
    <w:rsid w:val="0020565F"/>
    <w:rsid w:val="0021064D"/>
    <w:rsid w:val="00210B8D"/>
    <w:rsid w:val="002110ED"/>
    <w:rsid w:val="00211141"/>
    <w:rsid w:val="00211558"/>
    <w:rsid w:val="00212724"/>
    <w:rsid w:val="002128CF"/>
    <w:rsid w:val="00213804"/>
    <w:rsid w:val="00213CAC"/>
    <w:rsid w:val="002152E4"/>
    <w:rsid w:val="00217BB1"/>
    <w:rsid w:val="00220A1D"/>
    <w:rsid w:val="00222102"/>
    <w:rsid w:val="0022228F"/>
    <w:rsid w:val="00225686"/>
    <w:rsid w:val="00231177"/>
    <w:rsid w:val="0023397C"/>
    <w:rsid w:val="00234974"/>
    <w:rsid w:val="002357D9"/>
    <w:rsid w:val="00235B37"/>
    <w:rsid w:val="00236B84"/>
    <w:rsid w:val="0023712C"/>
    <w:rsid w:val="00237197"/>
    <w:rsid w:val="00240BCB"/>
    <w:rsid w:val="00240C31"/>
    <w:rsid w:val="00244053"/>
    <w:rsid w:val="00244303"/>
    <w:rsid w:val="00246F73"/>
    <w:rsid w:val="00247F24"/>
    <w:rsid w:val="0025090E"/>
    <w:rsid w:val="00250C4C"/>
    <w:rsid w:val="00250C73"/>
    <w:rsid w:val="0025429C"/>
    <w:rsid w:val="00254627"/>
    <w:rsid w:val="00255359"/>
    <w:rsid w:val="00255C43"/>
    <w:rsid w:val="00256449"/>
    <w:rsid w:val="002564FF"/>
    <w:rsid w:val="00256D37"/>
    <w:rsid w:val="00256F73"/>
    <w:rsid w:val="002602C0"/>
    <w:rsid w:val="002620B8"/>
    <w:rsid w:val="00263201"/>
    <w:rsid w:val="002637DF"/>
    <w:rsid w:val="002639EA"/>
    <w:rsid w:val="00266260"/>
    <w:rsid w:val="00266ABE"/>
    <w:rsid w:val="00267753"/>
    <w:rsid w:val="00270629"/>
    <w:rsid w:val="00272093"/>
    <w:rsid w:val="002726E9"/>
    <w:rsid w:val="00272918"/>
    <w:rsid w:val="002734B8"/>
    <w:rsid w:val="00273769"/>
    <w:rsid w:val="00274430"/>
    <w:rsid w:val="00274FCE"/>
    <w:rsid w:val="0027678C"/>
    <w:rsid w:val="002771D4"/>
    <w:rsid w:val="00280BA1"/>
    <w:rsid w:val="00280F5E"/>
    <w:rsid w:val="002815EE"/>
    <w:rsid w:val="00282BB0"/>
    <w:rsid w:val="00283832"/>
    <w:rsid w:val="002878D4"/>
    <w:rsid w:val="002900D5"/>
    <w:rsid w:val="0029053B"/>
    <w:rsid w:val="00291B60"/>
    <w:rsid w:val="00293FF1"/>
    <w:rsid w:val="00294707"/>
    <w:rsid w:val="00295A88"/>
    <w:rsid w:val="00295C8C"/>
    <w:rsid w:val="00297F22"/>
    <w:rsid w:val="002A28DF"/>
    <w:rsid w:val="002A3122"/>
    <w:rsid w:val="002A4408"/>
    <w:rsid w:val="002A66AF"/>
    <w:rsid w:val="002B0C95"/>
    <w:rsid w:val="002B0F3D"/>
    <w:rsid w:val="002B0F4D"/>
    <w:rsid w:val="002B14B1"/>
    <w:rsid w:val="002B1807"/>
    <w:rsid w:val="002B21A5"/>
    <w:rsid w:val="002B238A"/>
    <w:rsid w:val="002B2558"/>
    <w:rsid w:val="002B45AB"/>
    <w:rsid w:val="002B4B0A"/>
    <w:rsid w:val="002B62BD"/>
    <w:rsid w:val="002B6F62"/>
    <w:rsid w:val="002C0931"/>
    <w:rsid w:val="002C0BE4"/>
    <w:rsid w:val="002C360F"/>
    <w:rsid w:val="002C45B4"/>
    <w:rsid w:val="002C470C"/>
    <w:rsid w:val="002C5553"/>
    <w:rsid w:val="002C5E27"/>
    <w:rsid w:val="002C5EEA"/>
    <w:rsid w:val="002C7D25"/>
    <w:rsid w:val="002D0DD2"/>
    <w:rsid w:val="002D191B"/>
    <w:rsid w:val="002D1F28"/>
    <w:rsid w:val="002D21A0"/>
    <w:rsid w:val="002D22FC"/>
    <w:rsid w:val="002D46DA"/>
    <w:rsid w:val="002D5F65"/>
    <w:rsid w:val="002E1338"/>
    <w:rsid w:val="002E17C0"/>
    <w:rsid w:val="002E55F1"/>
    <w:rsid w:val="002F1080"/>
    <w:rsid w:val="002F2998"/>
    <w:rsid w:val="002F396F"/>
    <w:rsid w:val="002F472F"/>
    <w:rsid w:val="002F4C9E"/>
    <w:rsid w:val="002F4DDC"/>
    <w:rsid w:val="002F6305"/>
    <w:rsid w:val="003011B3"/>
    <w:rsid w:val="00301F6F"/>
    <w:rsid w:val="0030299F"/>
    <w:rsid w:val="0030392F"/>
    <w:rsid w:val="00303AD1"/>
    <w:rsid w:val="003049F5"/>
    <w:rsid w:val="00306637"/>
    <w:rsid w:val="00307BD7"/>
    <w:rsid w:val="00307CCC"/>
    <w:rsid w:val="00312A13"/>
    <w:rsid w:val="00312E5E"/>
    <w:rsid w:val="00313F44"/>
    <w:rsid w:val="0031535E"/>
    <w:rsid w:val="0031600D"/>
    <w:rsid w:val="00322FD2"/>
    <w:rsid w:val="003230E6"/>
    <w:rsid w:val="00324527"/>
    <w:rsid w:val="00324BEF"/>
    <w:rsid w:val="00324DAF"/>
    <w:rsid w:val="00325E44"/>
    <w:rsid w:val="003274E6"/>
    <w:rsid w:val="003322CE"/>
    <w:rsid w:val="00334F8D"/>
    <w:rsid w:val="00335FEB"/>
    <w:rsid w:val="00336665"/>
    <w:rsid w:val="0033692B"/>
    <w:rsid w:val="0033765E"/>
    <w:rsid w:val="00340C28"/>
    <w:rsid w:val="003418CA"/>
    <w:rsid w:val="00342884"/>
    <w:rsid w:val="0034380B"/>
    <w:rsid w:val="003438E6"/>
    <w:rsid w:val="00345A7E"/>
    <w:rsid w:val="00345FD8"/>
    <w:rsid w:val="00346A49"/>
    <w:rsid w:val="0034768A"/>
    <w:rsid w:val="00351142"/>
    <w:rsid w:val="00351394"/>
    <w:rsid w:val="003527B5"/>
    <w:rsid w:val="00352EF6"/>
    <w:rsid w:val="00353133"/>
    <w:rsid w:val="003531F9"/>
    <w:rsid w:val="00353410"/>
    <w:rsid w:val="0035341F"/>
    <w:rsid w:val="00353CBB"/>
    <w:rsid w:val="00355860"/>
    <w:rsid w:val="00355B26"/>
    <w:rsid w:val="00356331"/>
    <w:rsid w:val="00360834"/>
    <w:rsid w:val="00360B50"/>
    <w:rsid w:val="00360E84"/>
    <w:rsid w:val="003612CA"/>
    <w:rsid w:val="0036140E"/>
    <w:rsid w:val="00361DBF"/>
    <w:rsid w:val="00362BC6"/>
    <w:rsid w:val="003634A7"/>
    <w:rsid w:val="00365354"/>
    <w:rsid w:val="003660AC"/>
    <w:rsid w:val="00366128"/>
    <w:rsid w:val="00370570"/>
    <w:rsid w:val="003705F5"/>
    <w:rsid w:val="00372899"/>
    <w:rsid w:val="003730EC"/>
    <w:rsid w:val="003757B9"/>
    <w:rsid w:val="00375AC2"/>
    <w:rsid w:val="00376519"/>
    <w:rsid w:val="00377C1A"/>
    <w:rsid w:val="00377E47"/>
    <w:rsid w:val="00381B7D"/>
    <w:rsid w:val="00382ACA"/>
    <w:rsid w:val="00383C15"/>
    <w:rsid w:val="003841DB"/>
    <w:rsid w:val="00384636"/>
    <w:rsid w:val="003862B7"/>
    <w:rsid w:val="003874CC"/>
    <w:rsid w:val="003876E9"/>
    <w:rsid w:val="00390912"/>
    <w:rsid w:val="00390C6F"/>
    <w:rsid w:val="0039146B"/>
    <w:rsid w:val="00391ACA"/>
    <w:rsid w:val="00392A83"/>
    <w:rsid w:val="00392EBF"/>
    <w:rsid w:val="00393040"/>
    <w:rsid w:val="00393138"/>
    <w:rsid w:val="003952DC"/>
    <w:rsid w:val="00395C00"/>
    <w:rsid w:val="00395D4B"/>
    <w:rsid w:val="003970FE"/>
    <w:rsid w:val="00397220"/>
    <w:rsid w:val="00397942"/>
    <w:rsid w:val="003A21FE"/>
    <w:rsid w:val="003A2C40"/>
    <w:rsid w:val="003A5FDD"/>
    <w:rsid w:val="003A7322"/>
    <w:rsid w:val="003B0255"/>
    <w:rsid w:val="003B290F"/>
    <w:rsid w:val="003B3A88"/>
    <w:rsid w:val="003B506B"/>
    <w:rsid w:val="003B5950"/>
    <w:rsid w:val="003B7CC1"/>
    <w:rsid w:val="003B7F73"/>
    <w:rsid w:val="003C251D"/>
    <w:rsid w:val="003C2B2E"/>
    <w:rsid w:val="003C33A6"/>
    <w:rsid w:val="003C35E3"/>
    <w:rsid w:val="003C514D"/>
    <w:rsid w:val="003C706D"/>
    <w:rsid w:val="003D05A2"/>
    <w:rsid w:val="003D1706"/>
    <w:rsid w:val="003D24C3"/>
    <w:rsid w:val="003D4633"/>
    <w:rsid w:val="003D75BF"/>
    <w:rsid w:val="003E03C9"/>
    <w:rsid w:val="003E1B52"/>
    <w:rsid w:val="003E201B"/>
    <w:rsid w:val="003E2996"/>
    <w:rsid w:val="003E2A10"/>
    <w:rsid w:val="003E3917"/>
    <w:rsid w:val="003F345A"/>
    <w:rsid w:val="003F6BCB"/>
    <w:rsid w:val="003F6E47"/>
    <w:rsid w:val="003F7851"/>
    <w:rsid w:val="004000A1"/>
    <w:rsid w:val="00400EF3"/>
    <w:rsid w:val="00402ED1"/>
    <w:rsid w:val="00403F5C"/>
    <w:rsid w:val="004043F9"/>
    <w:rsid w:val="00404D05"/>
    <w:rsid w:val="00405710"/>
    <w:rsid w:val="0040652C"/>
    <w:rsid w:val="00410D2C"/>
    <w:rsid w:val="00410E41"/>
    <w:rsid w:val="00411300"/>
    <w:rsid w:val="00411764"/>
    <w:rsid w:val="004124CE"/>
    <w:rsid w:val="0041326A"/>
    <w:rsid w:val="00414161"/>
    <w:rsid w:val="004141FA"/>
    <w:rsid w:val="00414500"/>
    <w:rsid w:val="00415660"/>
    <w:rsid w:val="004156C9"/>
    <w:rsid w:val="004174B7"/>
    <w:rsid w:val="004174E3"/>
    <w:rsid w:val="00417A95"/>
    <w:rsid w:val="004202C0"/>
    <w:rsid w:val="00420725"/>
    <w:rsid w:val="00422605"/>
    <w:rsid w:val="0042311D"/>
    <w:rsid w:val="004240E6"/>
    <w:rsid w:val="004243D6"/>
    <w:rsid w:val="004276A5"/>
    <w:rsid w:val="00430258"/>
    <w:rsid w:val="0043104C"/>
    <w:rsid w:val="004310A3"/>
    <w:rsid w:val="00431D41"/>
    <w:rsid w:val="0043439C"/>
    <w:rsid w:val="00434530"/>
    <w:rsid w:val="00435465"/>
    <w:rsid w:val="00435BC9"/>
    <w:rsid w:val="00441990"/>
    <w:rsid w:val="00442CA8"/>
    <w:rsid w:val="00442CDB"/>
    <w:rsid w:val="004508F5"/>
    <w:rsid w:val="00450F18"/>
    <w:rsid w:val="004517B6"/>
    <w:rsid w:val="00452D6B"/>
    <w:rsid w:val="00453DD3"/>
    <w:rsid w:val="004566FE"/>
    <w:rsid w:val="00460986"/>
    <w:rsid w:val="00462401"/>
    <w:rsid w:val="004628F5"/>
    <w:rsid w:val="00463F25"/>
    <w:rsid w:val="00464A58"/>
    <w:rsid w:val="0046553F"/>
    <w:rsid w:val="00465989"/>
    <w:rsid w:val="00466D36"/>
    <w:rsid w:val="00467356"/>
    <w:rsid w:val="00470827"/>
    <w:rsid w:val="00470F76"/>
    <w:rsid w:val="004729F2"/>
    <w:rsid w:val="00472F5B"/>
    <w:rsid w:val="004749C1"/>
    <w:rsid w:val="00474EA6"/>
    <w:rsid w:val="0047561F"/>
    <w:rsid w:val="00475F97"/>
    <w:rsid w:val="00475FB6"/>
    <w:rsid w:val="0048089B"/>
    <w:rsid w:val="00480A85"/>
    <w:rsid w:val="004827FA"/>
    <w:rsid w:val="00483433"/>
    <w:rsid w:val="00483E45"/>
    <w:rsid w:val="00485746"/>
    <w:rsid w:val="004861E1"/>
    <w:rsid w:val="00486A16"/>
    <w:rsid w:val="00486F70"/>
    <w:rsid w:val="00487656"/>
    <w:rsid w:val="004902ED"/>
    <w:rsid w:val="004907B7"/>
    <w:rsid w:val="0049126F"/>
    <w:rsid w:val="00491FD4"/>
    <w:rsid w:val="00492C5F"/>
    <w:rsid w:val="00495644"/>
    <w:rsid w:val="004972A1"/>
    <w:rsid w:val="004977CD"/>
    <w:rsid w:val="004A0B85"/>
    <w:rsid w:val="004A12CE"/>
    <w:rsid w:val="004A13F0"/>
    <w:rsid w:val="004A188C"/>
    <w:rsid w:val="004A1AB5"/>
    <w:rsid w:val="004A4B6D"/>
    <w:rsid w:val="004A566C"/>
    <w:rsid w:val="004A6D60"/>
    <w:rsid w:val="004A6E2F"/>
    <w:rsid w:val="004A71E6"/>
    <w:rsid w:val="004A727D"/>
    <w:rsid w:val="004A740A"/>
    <w:rsid w:val="004A7C84"/>
    <w:rsid w:val="004B0FE6"/>
    <w:rsid w:val="004B1DDA"/>
    <w:rsid w:val="004B36BA"/>
    <w:rsid w:val="004B3755"/>
    <w:rsid w:val="004B3CCA"/>
    <w:rsid w:val="004B5050"/>
    <w:rsid w:val="004B580A"/>
    <w:rsid w:val="004B7806"/>
    <w:rsid w:val="004C0AA4"/>
    <w:rsid w:val="004C128B"/>
    <w:rsid w:val="004C1FCF"/>
    <w:rsid w:val="004C446C"/>
    <w:rsid w:val="004C5184"/>
    <w:rsid w:val="004C55C2"/>
    <w:rsid w:val="004C5BE5"/>
    <w:rsid w:val="004D0549"/>
    <w:rsid w:val="004D08C1"/>
    <w:rsid w:val="004D163E"/>
    <w:rsid w:val="004D458E"/>
    <w:rsid w:val="004D4667"/>
    <w:rsid w:val="004D5398"/>
    <w:rsid w:val="004D5EB3"/>
    <w:rsid w:val="004D6473"/>
    <w:rsid w:val="004D7FE3"/>
    <w:rsid w:val="004E28F2"/>
    <w:rsid w:val="004E2D04"/>
    <w:rsid w:val="004E333B"/>
    <w:rsid w:val="004E4023"/>
    <w:rsid w:val="004E5018"/>
    <w:rsid w:val="004E6B70"/>
    <w:rsid w:val="004F0400"/>
    <w:rsid w:val="004F1475"/>
    <w:rsid w:val="004F1F7F"/>
    <w:rsid w:val="004F21C6"/>
    <w:rsid w:val="004F344C"/>
    <w:rsid w:val="004F36E3"/>
    <w:rsid w:val="004F76D8"/>
    <w:rsid w:val="00500F25"/>
    <w:rsid w:val="00501851"/>
    <w:rsid w:val="00503F32"/>
    <w:rsid w:val="00503F37"/>
    <w:rsid w:val="005044B0"/>
    <w:rsid w:val="005056C1"/>
    <w:rsid w:val="005057D0"/>
    <w:rsid w:val="00506941"/>
    <w:rsid w:val="005074AA"/>
    <w:rsid w:val="00507CC3"/>
    <w:rsid w:val="00507F7C"/>
    <w:rsid w:val="00510710"/>
    <w:rsid w:val="00512922"/>
    <w:rsid w:val="00512E59"/>
    <w:rsid w:val="005136A7"/>
    <w:rsid w:val="005155B4"/>
    <w:rsid w:val="00516AF3"/>
    <w:rsid w:val="005174E5"/>
    <w:rsid w:val="00517BA6"/>
    <w:rsid w:val="0052070D"/>
    <w:rsid w:val="00521299"/>
    <w:rsid w:val="00522CC8"/>
    <w:rsid w:val="00524CB6"/>
    <w:rsid w:val="00526F48"/>
    <w:rsid w:val="00530874"/>
    <w:rsid w:val="00530AED"/>
    <w:rsid w:val="00531603"/>
    <w:rsid w:val="00532359"/>
    <w:rsid w:val="0053245D"/>
    <w:rsid w:val="00532C8E"/>
    <w:rsid w:val="00533E49"/>
    <w:rsid w:val="0053473E"/>
    <w:rsid w:val="00535044"/>
    <w:rsid w:val="00535369"/>
    <w:rsid w:val="00535562"/>
    <w:rsid w:val="00535B74"/>
    <w:rsid w:val="00535C4A"/>
    <w:rsid w:val="00536C8A"/>
    <w:rsid w:val="0053747A"/>
    <w:rsid w:val="00537582"/>
    <w:rsid w:val="0054091D"/>
    <w:rsid w:val="005426D8"/>
    <w:rsid w:val="005431F6"/>
    <w:rsid w:val="0054410C"/>
    <w:rsid w:val="00546262"/>
    <w:rsid w:val="0055010B"/>
    <w:rsid w:val="00550CAF"/>
    <w:rsid w:val="005510C6"/>
    <w:rsid w:val="00551861"/>
    <w:rsid w:val="005528AE"/>
    <w:rsid w:val="00552FCA"/>
    <w:rsid w:val="00554170"/>
    <w:rsid w:val="005550A1"/>
    <w:rsid w:val="00555440"/>
    <w:rsid w:val="005554FD"/>
    <w:rsid w:val="00555F4B"/>
    <w:rsid w:val="00555F64"/>
    <w:rsid w:val="0055707A"/>
    <w:rsid w:val="005602F8"/>
    <w:rsid w:val="00561339"/>
    <w:rsid w:val="0056299F"/>
    <w:rsid w:val="00563559"/>
    <w:rsid w:val="005636F1"/>
    <w:rsid w:val="00563B2D"/>
    <w:rsid w:val="00564495"/>
    <w:rsid w:val="00566C12"/>
    <w:rsid w:val="00570490"/>
    <w:rsid w:val="005704C0"/>
    <w:rsid w:val="00573DF8"/>
    <w:rsid w:val="005749F1"/>
    <w:rsid w:val="00575B04"/>
    <w:rsid w:val="005766A5"/>
    <w:rsid w:val="0058046E"/>
    <w:rsid w:val="00580F99"/>
    <w:rsid w:val="005810F7"/>
    <w:rsid w:val="00581BD3"/>
    <w:rsid w:val="00582757"/>
    <w:rsid w:val="005828C6"/>
    <w:rsid w:val="005828DD"/>
    <w:rsid w:val="00584ABC"/>
    <w:rsid w:val="0058604C"/>
    <w:rsid w:val="00592FFE"/>
    <w:rsid w:val="00595B33"/>
    <w:rsid w:val="005971E5"/>
    <w:rsid w:val="0059779B"/>
    <w:rsid w:val="00597951"/>
    <w:rsid w:val="005A1377"/>
    <w:rsid w:val="005A1F39"/>
    <w:rsid w:val="005A23DC"/>
    <w:rsid w:val="005A58A6"/>
    <w:rsid w:val="005A71A7"/>
    <w:rsid w:val="005B09F8"/>
    <w:rsid w:val="005B0B15"/>
    <w:rsid w:val="005B0F74"/>
    <w:rsid w:val="005B227D"/>
    <w:rsid w:val="005B2EC3"/>
    <w:rsid w:val="005B3B17"/>
    <w:rsid w:val="005B73B2"/>
    <w:rsid w:val="005B7C1D"/>
    <w:rsid w:val="005C2A50"/>
    <w:rsid w:val="005C3890"/>
    <w:rsid w:val="005C3E93"/>
    <w:rsid w:val="005C48A1"/>
    <w:rsid w:val="005C57AD"/>
    <w:rsid w:val="005C6A46"/>
    <w:rsid w:val="005C70A9"/>
    <w:rsid w:val="005D05E4"/>
    <w:rsid w:val="005D099E"/>
    <w:rsid w:val="005D0C61"/>
    <w:rsid w:val="005D7E2A"/>
    <w:rsid w:val="005E0C0B"/>
    <w:rsid w:val="005E1E40"/>
    <w:rsid w:val="005E3082"/>
    <w:rsid w:val="005E69C6"/>
    <w:rsid w:val="005F0902"/>
    <w:rsid w:val="005F1947"/>
    <w:rsid w:val="005F2FAE"/>
    <w:rsid w:val="005F3286"/>
    <w:rsid w:val="005F4CDA"/>
    <w:rsid w:val="005F5273"/>
    <w:rsid w:val="005F70D3"/>
    <w:rsid w:val="005F7296"/>
    <w:rsid w:val="006004E2"/>
    <w:rsid w:val="00600913"/>
    <w:rsid w:val="00600B8E"/>
    <w:rsid w:val="006016C6"/>
    <w:rsid w:val="00601C01"/>
    <w:rsid w:val="00603106"/>
    <w:rsid w:val="00604097"/>
    <w:rsid w:val="006041C0"/>
    <w:rsid w:val="0060525D"/>
    <w:rsid w:val="00607042"/>
    <w:rsid w:val="006107A1"/>
    <w:rsid w:val="00612CB2"/>
    <w:rsid w:val="00613B0E"/>
    <w:rsid w:val="00615A66"/>
    <w:rsid w:val="006165A5"/>
    <w:rsid w:val="006174E9"/>
    <w:rsid w:val="006218BD"/>
    <w:rsid w:val="006219DF"/>
    <w:rsid w:val="00622310"/>
    <w:rsid w:val="006228F6"/>
    <w:rsid w:val="0062380D"/>
    <w:rsid w:val="006249EB"/>
    <w:rsid w:val="00624ADA"/>
    <w:rsid w:val="00624DB0"/>
    <w:rsid w:val="00625268"/>
    <w:rsid w:val="00625BBF"/>
    <w:rsid w:val="00626EF3"/>
    <w:rsid w:val="00627C11"/>
    <w:rsid w:val="006302CE"/>
    <w:rsid w:val="00631729"/>
    <w:rsid w:val="00633259"/>
    <w:rsid w:val="00633C83"/>
    <w:rsid w:val="00634BC0"/>
    <w:rsid w:val="00635188"/>
    <w:rsid w:val="00635544"/>
    <w:rsid w:val="0063559C"/>
    <w:rsid w:val="00637493"/>
    <w:rsid w:val="00637E5B"/>
    <w:rsid w:val="00644DE6"/>
    <w:rsid w:val="00645395"/>
    <w:rsid w:val="00647539"/>
    <w:rsid w:val="00652533"/>
    <w:rsid w:val="00652A30"/>
    <w:rsid w:val="0065391F"/>
    <w:rsid w:val="00653FA3"/>
    <w:rsid w:val="006548AF"/>
    <w:rsid w:val="00655372"/>
    <w:rsid w:val="00655C46"/>
    <w:rsid w:val="00656A9F"/>
    <w:rsid w:val="00656EC0"/>
    <w:rsid w:val="006573CE"/>
    <w:rsid w:val="0066099A"/>
    <w:rsid w:val="0066238A"/>
    <w:rsid w:val="00663728"/>
    <w:rsid w:val="00665D14"/>
    <w:rsid w:val="00665F44"/>
    <w:rsid w:val="0066625B"/>
    <w:rsid w:val="00666836"/>
    <w:rsid w:val="0067153F"/>
    <w:rsid w:val="006717B7"/>
    <w:rsid w:val="0067301B"/>
    <w:rsid w:val="0067522D"/>
    <w:rsid w:val="006758FC"/>
    <w:rsid w:val="0067626E"/>
    <w:rsid w:val="0068085B"/>
    <w:rsid w:val="00680A14"/>
    <w:rsid w:val="00680AC9"/>
    <w:rsid w:val="0068199E"/>
    <w:rsid w:val="00681E22"/>
    <w:rsid w:val="00682450"/>
    <w:rsid w:val="00683877"/>
    <w:rsid w:val="00685558"/>
    <w:rsid w:val="00685671"/>
    <w:rsid w:val="00686945"/>
    <w:rsid w:val="00691D74"/>
    <w:rsid w:val="006923B3"/>
    <w:rsid w:val="00692A21"/>
    <w:rsid w:val="00692B28"/>
    <w:rsid w:val="0069307A"/>
    <w:rsid w:val="006939D1"/>
    <w:rsid w:val="00694D0B"/>
    <w:rsid w:val="00696078"/>
    <w:rsid w:val="006A06D7"/>
    <w:rsid w:val="006A0951"/>
    <w:rsid w:val="006A0D02"/>
    <w:rsid w:val="006A1E12"/>
    <w:rsid w:val="006A20B9"/>
    <w:rsid w:val="006A2496"/>
    <w:rsid w:val="006A47D1"/>
    <w:rsid w:val="006A4A58"/>
    <w:rsid w:val="006A4B30"/>
    <w:rsid w:val="006A5706"/>
    <w:rsid w:val="006A5FA2"/>
    <w:rsid w:val="006A7BEC"/>
    <w:rsid w:val="006B1EDB"/>
    <w:rsid w:val="006B25B1"/>
    <w:rsid w:val="006B3760"/>
    <w:rsid w:val="006B3868"/>
    <w:rsid w:val="006B3F2E"/>
    <w:rsid w:val="006B4801"/>
    <w:rsid w:val="006B4DF0"/>
    <w:rsid w:val="006B4E89"/>
    <w:rsid w:val="006B55B6"/>
    <w:rsid w:val="006B6D6B"/>
    <w:rsid w:val="006C05F5"/>
    <w:rsid w:val="006C0F2E"/>
    <w:rsid w:val="006C1EFA"/>
    <w:rsid w:val="006C3002"/>
    <w:rsid w:val="006C31D1"/>
    <w:rsid w:val="006C495C"/>
    <w:rsid w:val="006C6F7B"/>
    <w:rsid w:val="006D07C4"/>
    <w:rsid w:val="006D0BF1"/>
    <w:rsid w:val="006D2DC0"/>
    <w:rsid w:val="006D4074"/>
    <w:rsid w:val="006D47BD"/>
    <w:rsid w:val="006D4EE1"/>
    <w:rsid w:val="006D5E9B"/>
    <w:rsid w:val="006D5F41"/>
    <w:rsid w:val="006E1A22"/>
    <w:rsid w:val="006E26D2"/>
    <w:rsid w:val="006E3EC5"/>
    <w:rsid w:val="006E4583"/>
    <w:rsid w:val="006E4F11"/>
    <w:rsid w:val="006E68A8"/>
    <w:rsid w:val="006F0389"/>
    <w:rsid w:val="006F275A"/>
    <w:rsid w:val="006F3063"/>
    <w:rsid w:val="006F666F"/>
    <w:rsid w:val="006F72D9"/>
    <w:rsid w:val="0070175D"/>
    <w:rsid w:val="00701A6D"/>
    <w:rsid w:val="00702655"/>
    <w:rsid w:val="00703168"/>
    <w:rsid w:val="00704D8E"/>
    <w:rsid w:val="00706B82"/>
    <w:rsid w:val="00707060"/>
    <w:rsid w:val="00707E57"/>
    <w:rsid w:val="007107B7"/>
    <w:rsid w:val="00710889"/>
    <w:rsid w:val="007114C7"/>
    <w:rsid w:val="0071160A"/>
    <w:rsid w:val="0071229C"/>
    <w:rsid w:val="00715DE7"/>
    <w:rsid w:val="00716E4F"/>
    <w:rsid w:val="007203CC"/>
    <w:rsid w:val="00721172"/>
    <w:rsid w:val="0072306A"/>
    <w:rsid w:val="00724E86"/>
    <w:rsid w:val="007263BE"/>
    <w:rsid w:val="00726BC6"/>
    <w:rsid w:val="00727D43"/>
    <w:rsid w:val="00731EE6"/>
    <w:rsid w:val="0073263F"/>
    <w:rsid w:val="00732AE1"/>
    <w:rsid w:val="0073349E"/>
    <w:rsid w:val="00733574"/>
    <w:rsid w:val="007335C2"/>
    <w:rsid w:val="00734E32"/>
    <w:rsid w:val="0073518B"/>
    <w:rsid w:val="00736634"/>
    <w:rsid w:val="00736D69"/>
    <w:rsid w:val="007370F4"/>
    <w:rsid w:val="0073761B"/>
    <w:rsid w:val="0074000E"/>
    <w:rsid w:val="007414FD"/>
    <w:rsid w:val="0074158E"/>
    <w:rsid w:val="00741CF6"/>
    <w:rsid w:val="00742DEC"/>
    <w:rsid w:val="00744FA3"/>
    <w:rsid w:val="0074544B"/>
    <w:rsid w:val="007460EF"/>
    <w:rsid w:val="0074689A"/>
    <w:rsid w:val="00747937"/>
    <w:rsid w:val="00747D23"/>
    <w:rsid w:val="0075090D"/>
    <w:rsid w:val="00750D63"/>
    <w:rsid w:val="007528E1"/>
    <w:rsid w:val="00753025"/>
    <w:rsid w:val="00755237"/>
    <w:rsid w:val="00755E50"/>
    <w:rsid w:val="0075702D"/>
    <w:rsid w:val="007571D4"/>
    <w:rsid w:val="00757DDD"/>
    <w:rsid w:val="00763219"/>
    <w:rsid w:val="00764BAB"/>
    <w:rsid w:val="00764DEB"/>
    <w:rsid w:val="00766D40"/>
    <w:rsid w:val="007670E1"/>
    <w:rsid w:val="007673EA"/>
    <w:rsid w:val="00767AFC"/>
    <w:rsid w:val="0077047C"/>
    <w:rsid w:val="00770C0E"/>
    <w:rsid w:val="00771A0E"/>
    <w:rsid w:val="00773CF3"/>
    <w:rsid w:val="00774506"/>
    <w:rsid w:val="007746AF"/>
    <w:rsid w:val="00774B77"/>
    <w:rsid w:val="00774C0B"/>
    <w:rsid w:val="00775AA6"/>
    <w:rsid w:val="00775F5B"/>
    <w:rsid w:val="00777111"/>
    <w:rsid w:val="007772D8"/>
    <w:rsid w:val="00780C9D"/>
    <w:rsid w:val="00780D10"/>
    <w:rsid w:val="007819A7"/>
    <w:rsid w:val="00782ED5"/>
    <w:rsid w:val="00784A6D"/>
    <w:rsid w:val="00785AE8"/>
    <w:rsid w:val="007867F1"/>
    <w:rsid w:val="00787473"/>
    <w:rsid w:val="00790428"/>
    <w:rsid w:val="00790AB6"/>
    <w:rsid w:val="00791D2D"/>
    <w:rsid w:val="007A0D54"/>
    <w:rsid w:val="007A389B"/>
    <w:rsid w:val="007A39BF"/>
    <w:rsid w:val="007A5699"/>
    <w:rsid w:val="007A586D"/>
    <w:rsid w:val="007A5A80"/>
    <w:rsid w:val="007B0361"/>
    <w:rsid w:val="007B4698"/>
    <w:rsid w:val="007B4F32"/>
    <w:rsid w:val="007B5C7F"/>
    <w:rsid w:val="007B6A51"/>
    <w:rsid w:val="007B77E9"/>
    <w:rsid w:val="007C0347"/>
    <w:rsid w:val="007C13AA"/>
    <w:rsid w:val="007C194A"/>
    <w:rsid w:val="007C1B67"/>
    <w:rsid w:val="007C29FC"/>
    <w:rsid w:val="007C2D5F"/>
    <w:rsid w:val="007C4117"/>
    <w:rsid w:val="007C4650"/>
    <w:rsid w:val="007C4736"/>
    <w:rsid w:val="007C5682"/>
    <w:rsid w:val="007C61B8"/>
    <w:rsid w:val="007C7056"/>
    <w:rsid w:val="007D08C4"/>
    <w:rsid w:val="007D096E"/>
    <w:rsid w:val="007D1910"/>
    <w:rsid w:val="007D32A9"/>
    <w:rsid w:val="007D331D"/>
    <w:rsid w:val="007D4983"/>
    <w:rsid w:val="007D546A"/>
    <w:rsid w:val="007D64E6"/>
    <w:rsid w:val="007E2055"/>
    <w:rsid w:val="007E5815"/>
    <w:rsid w:val="007F0B7D"/>
    <w:rsid w:val="007F3F8A"/>
    <w:rsid w:val="007F4715"/>
    <w:rsid w:val="007F47AB"/>
    <w:rsid w:val="007F49DB"/>
    <w:rsid w:val="007F4DD0"/>
    <w:rsid w:val="007F5014"/>
    <w:rsid w:val="007F5366"/>
    <w:rsid w:val="007F59C0"/>
    <w:rsid w:val="007F67CB"/>
    <w:rsid w:val="007F72D8"/>
    <w:rsid w:val="007F783E"/>
    <w:rsid w:val="008056B0"/>
    <w:rsid w:val="008058E6"/>
    <w:rsid w:val="00807677"/>
    <w:rsid w:val="008079D2"/>
    <w:rsid w:val="00810D22"/>
    <w:rsid w:val="008119F4"/>
    <w:rsid w:val="008124BA"/>
    <w:rsid w:val="00812A5D"/>
    <w:rsid w:val="008146AF"/>
    <w:rsid w:val="00816D83"/>
    <w:rsid w:val="008202D5"/>
    <w:rsid w:val="00821CEB"/>
    <w:rsid w:val="00823A9E"/>
    <w:rsid w:val="008243BB"/>
    <w:rsid w:val="00824B40"/>
    <w:rsid w:val="00825BD7"/>
    <w:rsid w:val="00830139"/>
    <w:rsid w:val="00830D8E"/>
    <w:rsid w:val="0083100A"/>
    <w:rsid w:val="00831D6C"/>
    <w:rsid w:val="00831F68"/>
    <w:rsid w:val="00831F7D"/>
    <w:rsid w:val="008325F9"/>
    <w:rsid w:val="008329C6"/>
    <w:rsid w:val="00835058"/>
    <w:rsid w:val="008350FC"/>
    <w:rsid w:val="00836447"/>
    <w:rsid w:val="008365B6"/>
    <w:rsid w:val="00844C26"/>
    <w:rsid w:val="008460BA"/>
    <w:rsid w:val="00851208"/>
    <w:rsid w:val="00851607"/>
    <w:rsid w:val="00852657"/>
    <w:rsid w:val="008528D8"/>
    <w:rsid w:val="00853440"/>
    <w:rsid w:val="008536E0"/>
    <w:rsid w:val="00853CB5"/>
    <w:rsid w:val="0085555D"/>
    <w:rsid w:val="00856B1B"/>
    <w:rsid w:val="00857C30"/>
    <w:rsid w:val="00860349"/>
    <w:rsid w:val="0086097C"/>
    <w:rsid w:val="00861C3D"/>
    <w:rsid w:val="00861D1F"/>
    <w:rsid w:val="00862EA0"/>
    <w:rsid w:val="0086571C"/>
    <w:rsid w:val="00866CA5"/>
    <w:rsid w:val="00867A13"/>
    <w:rsid w:val="00870D4C"/>
    <w:rsid w:val="00870FA0"/>
    <w:rsid w:val="00871D0C"/>
    <w:rsid w:val="00873087"/>
    <w:rsid w:val="008734B7"/>
    <w:rsid w:val="00875627"/>
    <w:rsid w:val="00876DDE"/>
    <w:rsid w:val="00880C2F"/>
    <w:rsid w:val="00882C78"/>
    <w:rsid w:val="008837CB"/>
    <w:rsid w:val="00885196"/>
    <w:rsid w:val="00885336"/>
    <w:rsid w:val="008864C4"/>
    <w:rsid w:val="00886810"/>
    <w:rsid w:val="008873DA"/>
    <w:rsid w:val="00890252"/>
    <w:rsid w:val="00892DE0"/>
    <w:rsid w:val="008935EF"/>
    <w:rsid w:val="00894B61"/>
    <w:rsid w:val="00894E58"/>
    <w:rsid w:val="00895140"/>
    <w:rsid w:val="0089537D"/>
    <w:rsid w:val="008955C2"/>
    <w:rsid w:val="008A1238"/>
    <w:rsid w:val="008A263A"/>
    <w:rsid w:val="008A301C"/>
    <w:rsid w:val="008A37CC"/>
    <w:rsid w:val="008A405C"/>
    <w:rsid w:val="008A464F"/>
    <w:rsid w:val="008A47C3"/>
    <w:rsid w:val="008A6D6D"/>
    <w:rsid w:val="008A7435"/>
    <w:rsid w:val="008B221F"/>
    <w:rsid w:val="008B4405"/>
    <w:rsid w:val="008B46DC"/>
    <w:rsid w:val="008B60E4"/>
    <w:rsid w:val="008B6359"/>
    <w:rsid w:val="008B643A"/>
    <w:rsid w:val="008B782F"/>
    <w:rsid w:val="008B7F3E"/>
    <w:rsid w:val="008C0148"/>
    <w:rsid w:val="008C0D18"/>
    <w:rsid w:val="008C0F32"/>
    <w:rsid w:val="008C137E"/>
    <w:rsid w:val="008C1529"/>
    <w:rsid w:val="008C166F"/>
    <w:rsid w:val="008C2532"/>
    <w:rsid w:val="008C327D"/>
    <w:rsid w:val="008C3846"/>
    <w:rsid w:val="008C3C98"/>
    <w:rsid w:val="008C41FE"/>
    <w:rsid w:val="008C43ED"/>
    <w:rsid w:val="008D07C5"/>
    <w:rsid w:val="008D1C72"/>
    <w:rsid w:val="008D2F51"/>
    <w:rsid w:val="008D37F2"/>
    <w:rsid w:val="008D4A51"/>
    <w:rsid w:val="008D4CE8"/>
    <w:rsid w:val="008D5CC9"/>
    <w:rsid w:val="008E03D4"/>
    <w:rsid w:val="008E06F3"/>
    <w:rsid w:val="008E0B41"/>
    <w:rsid w:val="008E0B6D"/>
    <w:rsid w:val="008E200B"/>
    <w:rsid w:val="008E241D"/>
    <w:rsid w:val="008E34C7"/>
    <w:rsid w:val="008E4A17"/>
    <w:rsid w:val="008E75E6"/>
    <w:rsid w:val="008F0129"/>
    <w:rsid w:val="008F09E3"/>
    <w:rsid w:val="008F0C0E"/>
    <w:rsid w:val="008F1A09"/>
    <w:rsid w:val="008F1E67"/>
    <w:rsid w:val="008F1FDB"/>
    <w:rsid w:val="008F2466"/>
    <w:rsid w:val="008F38E6"/>
    <w:rsid w:val="008F4DFE"/>
    <w:rsid w:val="008F5125"/>
    <w:rsid w:val="008F56F8"/>
    <w:rsid w:val="008F5F3D"/>
    <w:rsid w:val="008F67BA"/>
    <w:rsid w:val="008F72B2"/>
    <w:rsid w:val="0090093B"/>
    <w:rsid w:val="00900C5E"/>
    <w:rsid w:val="0090273B"/>
    <w:rsid w:val="0090348E"/>
    <w:rsid w:val="00903F69"/>
    <w:rsid w:val="00904AE2"/>
    <w:rsid w:val="009073EA"/>
    <w:rsid w:val="00907F82"/>
    <w:rsid w:val="00911D2C"/>
    <w:rsid w:val="0091281F"/>
    <w:rsid w:val="00913D99"/>
    <w:rsid w:val="00913D9F"/>
    <w:rsid w:val="0091486B"/>
    <w:rsid w:val="00915460"/>
    <w:rsid w:val="00915E7C"/>
    <w:rsid w:val="009171EF"/>
    <w:rsid w:val="00917491"/>
    <w:rsid w:val="00920A82"/>
    <w:rsid w:val="00920F32"/>
    <w:rsid w:val="00921866"/>
    <w:rsid w:val="009224FC"/>
    <w:rsid w:val="00922857"/>
    <w:rsid w:val="00925483"/>
    <w:rsid w:val="009269C8"/>
    <w:rsid w:val="009301B9"/>
    <w:rsid w:val="00930FAB"/>
    <w:rsid w:val="00932AC8"/>
    <w:rsid w:val="00932EA4"/>
    <w:rsid w:val="00933832"/>
    <w:rsid w:val="00934A5F"/>
    <w:rsid w:val="00937A80"/>
    <w:rsid w:val="009419A2"/>
    <w:rsid w:val="00941E7C"/>
    <w:rsid w:val="00942C92"/>
    <w:rsid w:val="009454AC"/>
    <w:rsid w:val="0094665A"/>
    <w:rsid w:val="00946AAA"/>
    <w:rsid w:val="0095044C"/>
    <w:rsid w:val="00950838"/>
    <w:rsid w:val="009527A0"/>
    <w:rsid w:val="00954CB7"/>
    <w:rsid w:val="009557BE"/>
    <w:rsid w:val="009566EF"/>
    <w:rsid w:val="00956B34"/>
    <w:rsid w:val="0095706D"/>
    <w:rsid w:val="00957B76"/>
    <w:rsid w:val="00960C91"/>
    <w:rsid w:val="00962A1A"/>
    <w:rsid w:val="009645FC"/>
    <w:rsid w:val="00964ABA"/>
    <w:rsid w:val="00964E37"/>
    <w:rsid w:val="009652B1"/>
    <w:rsid w:val="00966473"/>
    <w:rsid w:val="0097008C"/>
    <w:rsid w:val="00971B41"/>
    <w:rsid w:val="0097312F"/>
    <w:rsid w:val="009733B8"/>
    <w:rsid w:val="00973722"/>
    <w:rsid w:val="00974581"/>
    <w:rsid w:val="009762A0"/>
    <w:rsid w:val="00976FFE"/>
    <w:rsid w:val="009818F4"/>
    <w:rsid w:val="00981903"/>
    <w:rsid w:val="0098342A"/>
    <w:rsid w:val="00985775"/>
    <w:rsid w:val="009864B5"/>
    <w:rsid w:val="00986AD0"/>
    <w:rsid w:val="0098713E"/>
    <w:rsid w:val="00991767"/>
    <w:rsid w:val="00993696"/>
    <w:rsid w:val="00996AB1"/>
    <w:rsid w:val="00997F3A"/>
    <w:rsid w:val="009A097D"/>
    <w:rsid w:val="009A113C"/>
    <w:rsid w:val="009A1459"/>
    <w:rsid w:val="009A2259"/>
    <w:rsid w:val="009A2697"/>
    <w:rsid w:val="009A2906"/>
    <w:rsid w:val="009A2DCA"/>
    <w:rsid w:val="009A4C51"/>
    <w:rsid w:val="009A56E8"/>
    <w:rsid w:val="009A5B57"/>
    <w:rsid w:val="009A650B"/>
    <w:rsid w:val="009A6B7F"/>
    <w:rsid w:val="009A6B9C"/>
    <w:rsid w:val="009B068B"/>
    <w:rsid w:val="009B1D8B"/>
    <w:rsid w:val="009B219A"/>
    <w:rsid w:val="009B3026"/>
    <w:rsid w:val="009B304D"/>
    <w:rsid w:val="009B41AB"/>
    <w:rsid w:val="009B43E1"/>
    <w:rsid w:val="009B565D"/>
    <w:rsid w:val="009B60EE"/>
    <w:rsid w:val="009B7548"/>
    <w:rsid w:val="009C0443"/>
    <w:rsid w:val="009C126A"/>
    <w:rsid w:val="009C188D"/>
    <w:rsid w:val="009C2937"/>
    <w:rsid w:val="009C2AA5"/>
    <w:rsid w:val="009C3155"/>
    <w:rsid w:val="009C4BA5"/>
    <w:rsid w:val="009C4E90"/>
    <w:rsid w:val="009C5836"/>
    <w:rsid w:val="009C74E1"/>
    <w:rsid w:val="009C7CDE"/>
    <w:rsid w:val="009D23D5"/>
    <w:rsid w:val="009D45DF"/>
    <w:rsid w:val="009D461B"/>
    <w:rsid w:val="009D468E"/>
    <w:rsid w:val="009D5302"/>
    <w:rsid w:val="009D607B"/>
    <w:rsid w:val="009D762F"/>
    <w:rsid w:val="009D7862"/>
    <w:rsid w:val="009E0785"/>
    <w:rsid w:val="009E151F"/>
    <w:rsid w:val="009E26E3"/>
    <w:rsid w:val="009E2DE0"/>
    <w:rsid w:val="009E38C7"/>
    <w:rsid w:val="009E410B"/>
    <w:rsid w:val="009E6F5C"/>
    <w:rsid w:val="009F04FE"/>
    <w:rsid w:val="009F0FA6"/>
    <w:rsid w:val="009F22DF"/>
    <w:rsid w:val="009F2E55"/>
    <w:rsid w:val="009F4C34"/>
    <w:rsid w:val="009F684D"/>
    <w:rsid w:val="009F7703"/>
    <w:rsid w:val="00A00B1A"/>
    <w:rsid w:val="00A01211"/>
    <w:rsid w:val="00A021F7"/>
    <w:rsid w:val="00A022AA"/>
    <w:rsid w:val="00A03A88"/>
    <w:rsid w:val="00A0409C"/>
    <w:rsid w:val="00A06E3C"/>
    <w:rsid w:val="00A06F6F"/>
    <w:rsid w:val="00A0798F"/>
    <w:rsid w:val="00A10830"/>
    <w:rsid w:val="00A13E10"/>
    <w:rsid w:val="00A14630"/>
    <w:rsid w:val="00A154DE"/>
    <w:rsid w:val="00A17120"/>
    <w:rsid w:val="00A17F89"/>
    <w:rsid w:val="00A23411"/>
    <w:rsid w:val="00A23A5F"/>
    <w:rsid w:val="00A23BB9"/>
    <w:rsid w:val="00A2421A"/>
    <w:rsid w:val="00A24C1B"/>
    <w:rsid w:val="00A25850"/>
    <w:rsid w:val="00A31005"/>
    <w:rsid w:val="00A31D0D"/>
    <w:rsid w:val="00A34011"/>
    <w:rsid w:val="00A36B47"/>
    <w:rsid w:val="00A36FAA"/>
    <w:rsid w:val="00A37367"/>
    <w:rsid w:val="00A3764C"/>
    <w:rsid w:val="00A415DA"/>
    <w:rsid w:val="00A44217"/>
    <w:rsid w:val="00A442BE"/>
    <w:rsid w:val="00A475EF"/>
    <w:rsid w:val="00A5078F"/>
    <w:rsid w:val="00A5086F"/>
    <w:rsid w:val="00A53C76"/>
    <w:rsid w:val="00A55D9A"/>
    <w:rsid w:val="00A5654B"/>
    <w:rsid w:val="00A5744A"/>
    <w:rsid w:val="00A60567"/>
    <w:rsid w:val="00A60AC8"/>
    <w:rsid w:val="00A6114A"/>
    <w:rsid w:val="00A6579F"/>
    <w:rsid w:val="00A664DF"/>
    <w:rsid w:val="00A75E1F"/>
    <w:rsid w:val="00A76153"/>
    <w:rsid w:val="00A76B51"/>
    <w:rsid w:val="00A77ECF"/>
    <w:rsid w:val="00A801A3"/>
    <w:rsid w:val="00A811F5"/>
    <w:rsid w:val="00A823B7"/>
    <w:rsid w:val="00A83302"/>
    <w:rsid w:val="00A83E54"/>
    <w:rsid w:val="00A8418F"/>
    <w:rsid w:val="00A87150"/>
    <w:rsid w:val="00A877CA"/>
    <w:rsid w:val="00A9000B"/>
    <w:rsid w:val="00A90EFD"/>
    <w:rsid w:val="00A91EFC"/>
    <w:rsid w:val="00A92B8D"/>
    <w:rsid w:val="00A938C7"/>
    <w:rsid w:val="00A94885"/>
    <w:rsid w:val="00AA1E6B"/>
    <w:rsid w:val="00AA2A30"/>
    <w:rsid w:val="00AA2E7E"/>
    <w:rsid w:val="00AA5996"/>
    <w:rsid w:val="00AA5D95"/>
    <w:rsid w:val="00AA6C99"/>
    <w:rsid w:val="00AB03F5"/>
    <w:rsid w:val="00AB06BD"/>
    <w:rsid w:val="00AB3504"/>
    <w:rsid w:val="00AB4B01"/>
    <w:rsid w:val="00AB6ACE"/>
    <w:rsid w:val="00AB6CED"/>
    <w:rsid w:val="00AB7EBB"/>
    <w:rsid w:val="00AC05BE"/>
    <w:rsid w:val="00AC2908"/>
    <w:rsid w:val="00AC2A76"/>
    <w:rsid w:val="00AC2B0E"/>
    <w:rsid w:val="00AC38BD"/>
    <w:rsid w:val="00AC3B17"/>
    <w:rsid w:val="00AC3F2A"/>
    <w:rsid w:val="00AC473D"/>
    <w:rsid w:val="00AC524B"/>
    <w:rsid w:val="00AC742F"/>
    <w:rsid w:val="00AC7D1C"/>
    <w:rsid w:val="00AD0D49"/>
    <w:rsid w:val="00AD12AF"/>
    <w:rsid w:val="00AD1BEA"/>
    <w:rsid w:val="00AD24AF"/>
    <w:rsid w:val="00AD2869"/>
    <w:rsid w:val="00AD69B8"/>
    <w:rsid w:val="00AE21A4"/>
    <w:rsid w:val="00AE24DC"/>
    <w:rsid w:val="00AE2FB7"/>
    <w:rsid w:val="00AE73CA"/>
    <w:rsid w:val="00AE76E2"/>
    <w:rsid w:val="00AE7BC7"/>
    <w:rsid w:val="00AF2B25"/>
    <w:rsid w:val="00AF2E31"/>
    <w:rsid w:val="00AF3CC1"/>
    <w:rsid w:val="00AF4F9C"/>
    <w:rsid w:val="00AF56B1"/>
    <w:rsid w:val="00B00414"/>
    <w:rsid w:val="00B01B11"/>
    <w:rsid w:val="00B038E7"/>
    <w:rsid w:val="00B03C04"/>
    <w:rsid w:val="00B03C97"/>
    <w:rsid w:val="00B046DE"/>
    <w:rsid w:val="00B0574B"/>
    <w:rsid w:val="00B115A0"/>
    <w:rsid w:val="00B1403D"/>
    <w:rsid w:val="00B1758F"/>
    <w:rsid w:val="00B20AD8"/>
    <w:rsid w:val="00B236DA"/>
    <w:rsid w:val="00B23770"/>
    <w:rsid w:val="00B24D55"/>
    <w:rsid w:val="00B25B0A"/>
    <w:rsid w:val="00B26D71"/>
    <w:rsid w:val="00B277AC"/>
    <w:rsid w:val="00B3041E"/>
    <w:rsid w:val="00B3066E"/>
    <w:rsid w:val="00B3088A"/>
    <w:rsid w:val="00B31AA2"/>
    <w:rsid w:val="00B31EC4"/>
    <w:rsid w:val="00B31FB2"/>
    <w:rsid w:val="00B32FC9"/>
    <w:rsid w:val="00B33BB8"/>
    <w:rsid w:val="00B4288B"/>
    <w:rsid w:val="00B42F35"/>
    <w:rsid w:val="00B44A61"/>
    <w:rsid w:val="00B44ADD"/>
    <w:rsid w:val="00B4604D"/>
    <w:rsid w:val="00B46064"/>
    <w:rsid w:val="00B50964"/>
    <w:rsid w:val="00B524B8"/>
    <w:rsid w:val="00B5278E"/>
    <w:rsid w:val="00B52EC3"/>
    <w:rsid w:val="00B53129"/>
    <w:rsid w:val="00B53C92"/>
    <w:rsid w:val="00B53FE4"/>
    <w:rsid w:val="00B55AB3"/>
    <w:rsid w:val="00B56203"/>
    <w:rsid w:val="00B565EE"/>
    <w:rsid w:val="00B56915"/>
    <w:rsid w:val="00B56FA6"/>
    <w:rsid w:val="00B62E7E"/>
    <w:rsid w:val="00B658B9"/>
    <w:rsid w:val="00B658DB"/>
    <w:rsid w:val="00B70FFF"/>
    <w:rsid w:val="00B72A93"/>
    <w:rsid w:val="00B7420D"/>
    <w:rsid w:val="00B74783"/>
    <w:rsid w:val="00B765A3"/>
    <w:rsid w:val="00B76834"/>
    <w:rsid w:val="00B76FC8"/>
    <w:rsid w:val="00B8529F"/>
    <w:rsid w:val="00B8538D"/>
    <w:rsid w:val="00B85866"/>
    <w:rsid w:val="00B85E6C"/>
    <w:rsid w:val="00B86AFC"/>
    <w:rsid w:val="00B86F52"/>
    <w:rsid w:val="00B901B3"/>
    <w:rsid w:val="00B92120"/>
    <w:rsid w:val="00B92AE2"/>
    <w:rsid w:val="00B92E61"/>
    <w:rsid w:val="00B92EAC"/>
    <w:rsid w:val="00B945AD"/>
    <w:rsid w:val="00B94682"/>
    <w:rsid w:val="00B952BA"/>
    <w:rsid w:val="00B97746"/>
    <w:rsid w:val="00BA0174"/>
    <w:rsid w:val="00BA0541"/>
    <w:rsid w:val="00BA0708"/>
    <w:rsid w:val="00BA0C69"/>
    <w:rsid w:val="00BA0FDC"/>
    <w:rsid w:val="00BA249D"/>
    <w:rsid w:val="00BA296E"/>
    <w:rsid w:val="00BA30C5"/>
    <w:rsid w:val="00BA5263"/>
    <w:rsid w:val="00BA6488"/>
    <w:rsid w:val="00BA66F9"/>
    <w:rsid w:val="00BA707B"/>
    <w:rsid w:val="00BA7E9B"/>
    <w:rsid w:val="00BB02A8"/>
    <w:rsid w:val="00BB0F62"/>
    <w:rsid w:val="00BB1372"/>
    <w:rsid w:val="00BB24CB"/>
    <w:rsid w:val="00BB4276"/>
    <w:rsid w:val="00BC1187"/>
    <w:rsid w:val="00BC164E"/>
    <w:rsid w:val="00BC3549"/>
    <w:rsid w:val="00BC3746"/>
    <w:rsid w:val="00BC4B10"/>
    <w:rsid w:val="00BC50E6"/>
    <w:rsid w:val="00BD1D5F"/>
    <w:rsid w:val="00BD268F"/>
    <w:rsid w:val="00BD5211"/>
    <w:rsid w:val="00BD6240"/>
    <w:rsid w:val="00BD7A5A"/>
    <w:rsid w:val="00BE014A"/>
    <w:rsid w:val="00BE116C"/>
    <w:rsid w:val="00BE33D0"/>
    <w:rsid w:val="00BE38C1"/>
    <w:rsid w:val="00BE3B81"/>
    <w:rsid w:val="00BE4FC3"/>
    <w:rsid w:val="00BE5F60"/>
    <w:rsid w:val="00BE601B"/>
    <w:rsid w:val="00BE7441"/>
    <w:rsid w:val="00BF1C5F"/>
    <w:rsid w:val="00BF1FC8"/>
    <w:rsid w:val="00BF24D2"/>
    <w:rsid w:val="00BF32FE"/>
    <w:rsid w:val="00BF75B2"/>
    <w:rsid w:val="00C01109"/>
    <w:rsid w:val="00C0263F"/>
    <w:rsid w:val="00C0275C"/>
    <w:rsid w:val="00C02A31"/>
    <w:rsid w:val="00C02AEA"/>
    <w:rsid w:val="00C034A3"/>
    <w:rsid w:val="00C0433A"/>
    <w:rsid w:val="00C056DD"/>
    <w:rsid w:val="00C10132"/>
    <w:rsid w:val="00C10A95"/>
    <w:rsid w:val="00C10F26"/>
    <w:rsid w:val="00C12274"/>
    <w:rsid w:val="00C13B76"/>
    <w:rsid w:val="00C143AC"/>
    <w:rsid w:val="00C167D3"/>
    <w:rsid w:val="00C1712F"/>
    <w:rsid w:val="00C1753B"/>
    <w:rsid w:val="00C20680"/>
    <w:rsid w:val="00C224C7"/>
    <w:rsid w:val="00C23490"/>
    <w:rsid w:val="00C2534D"/>
    <w:rsid w:val="00C25AC1"/>
    <w:rsid w:val="00C25CEA"/>
    <w:rsid w:val="00C3022B"/>
    <w:rsid w:val="00C30D62"/>
    <w:rsid w:val="00C33E89"/>
    <w:rsid w:val="00C34A37"/>
    <w:rsid w:val="00C416DF"/>
    <w:rsid w:val="00C4216D"/>
    <w:rsid w:val="00C42D96"/>
    <w:rsid w:val="00C42ED4"/>
    <w:rsid w:val="00C43997"/>
    <w:rsid w:val="00C43B06"/>
    <w:rsid w:val="00C44958"/>
    <w:rsid w:val="00C4744D"/>
    <w:rsid w:val="00C50DC5"/>
    <w:rsid w:val="00C5386C"/>
    <w:rsid w:val="00C5468F"/>
    <w:rsid w:val="00C566CD"/>
    <w:rsid w:val="00C57E81"/>
    <w:rsid w:val="00C6012B"/>
    <w:rsid w:val="00C60658"/>
    <w:rsid w:val="00C62DDC"/>
    <w:rsid w:val="00C633FF"/>
    <w:rsid w:val="00C63D74"/>
    <w:rsid w:val="00C659BE"/>
    <w:rsid w:val="00C70C7C"/>
    <w:rsid w:val="00C716C8"/>
    <w:rsid w:val="00C71CC8"/>
    <w:rsid w:val="00C7289F"/>
    <w:rsid w:val="00C738F1"/>
    <w:rsid w:val="00C7714B"/>
    <w:rsid w:val="00C77992"/>
    <w:rsid w:val="00C80763"/>
    <w:rsid w:val="00C8165A"/>
    <w:rsid w:val="00C81888"/>
    <w:rsid w:val="00C81EBA"/>
    <w:rsid w:val="00C842B2"/>
    <w:rsid w:val="00C84CC3"/>
    <w:rsid w:val="00C84D5B"/>
    <w:rsid w:val="00C85B50"/>
    <w:rsid w:val="00C85D27"/>
    <w:rsid w:val="00C86005"/>
    <w:rsid w:val="00C876DC"/>
    <w:rsid w:val="00C9062F"/>
    <w:rsid w:val="00C90654"/>
    <w:rsid w:val="00C91C14"/>
    <w:rsid w:val="00C926FB"/>
    <w:rsid w:val="00C92D07"/>
    <w:rsid w:val="00C933B3"/>
    <w:rsid w:val="00C95437"/>
    <w:rsid w:val="00C954CF"/>
    <w:rsid w:val="00C95F9C"/>
    <w:rsid w:val="00C978FE"/>
    <w:rsid w:val="00CA0D8D"/>
    <w:rsid w:val="00CA2741"/>
    <w:rsid w:val="00CA3804"/>
    <w:rsid w:val="00CA4698"/>
    <w:rsid w:val="00CA5FA8"/>
    <w:rsid w:val="00CA65C9"/>
    <w:rsid w:val="00CA6D73"/>
    <w:rsid w:val="00CB0B0E"/>
    <w:rsid w:val="00CB1CA8"/>
    <w:rsid w:val="00CB1DFC"/>
    <w:rsid w:val="00CB2180"/>
    <w:rsid w:val="00CB2956"/>
    <w:rsid w:val="00CB3922"/>
    <w:rsid w:val="00CC0363"/>
    <w:rsid w:val="00CC1BC8"/>
    <w:rsid w:val="00CC1C8B"/>
    <w:rsid w:val="00CC1E43"/>
    <w:rsid w:val="00CC3BA4"/>
    <w:rsid w:val="00CC4555"/>
    <w:rsid w:val="00CC45AE"/>
    <w:rsid w:val="00CC46F4"/>
    <w:rsid w:val="00CC4C71"/>
    <w:rsid w:val="00CC543B"/>
    <w:rsid w:val="00CC73BB"/>
    <w:rsid w:val="00CD03AE"/>
    <w:rsid w:val="00CD100D"/>
    <w:rsid w:val="00CD2489"/>
    <w:rsid w:val="00CD28B9"/>
    <w:rsid w:val="00CD4925"/>
    <w:rsid w:val="00CD632B"/>
    <w:rsid w:val="00CD7929"/>
    <w:rsid w:val="00CE120E"/>
    <w:rsid w:val="00CE5B5D"/>
    <w:rsid w:val="00CE666D"/>
    <w:rsid w:val="00CE6BBD"/>
    <w:rsid w:val="00CE761A"/>
    <w:rsid w:val="00CF21E4"/>
    <w:rsid w:val="00CF2395"/>
    <w:rsid w:val="00CF32A6"/>
    <w:rsid w:val="00CF49A5"/>
    <w:rsid w:val="00CF56B7"/>
    <w:rsid w:val="00CF6D59"/>
    <w:rsid w:val="00D0001F"/>
    <w:rsid w:val="00D020D2"/>
    <w:rsid w:val="00D024E9"/>
    <w:rsid w:val="00D031E9"/>
    <w:rsid w:val="00D0367E"/>
    <w:rsid w:val="00D044D4"/>
    <w:rsid w:val="00D052E9"/>
    <w:rsid w:val="00D05DA1"/>
    <w:rsid w:val="00D07FB4"/>
    <w:rsid w:val="00D10220"/>
    <w:rsid w:val="00D10761"/>
    <w:rsid w:val="00D142CE"/>
    <w:rsid w:val="00D151C1"/>
    <w:rsid w:val="00D151DF"/>
    <w:rsid w:val="00D177FC"/>
    <w:rsid w:val="00D20130"/>
    <w:rsid w:val="00D2526A"/>
    <w:rsid w:val="00D257E5"/>
    <w:rsid w:val="00D2596A"/>
    <w:rsid w:val="00D25A88"/>
    <w:rsid w:val="00D2601F"/>
    <w:rsid w:val="00D26E29"/>
    <w:rsid w:val="00D271AE"/>
    <w:rsid w:val="00D3140B"/>
    <w:rsid w:val="00D32CF1"/>
    <w:rsid w:val="00D33203"/>
    <w:rsid w:val="00D33CAC"/>
    <w:rsid w:val="00D33D64"/>
    <w:rsid w:val="00D3404A"/>
    <w:rsid w:val="00D349BF"/>
    <w:rsid w:val="00D3564D"/>
    <w:rsid w:val="00D36377"/>
    <w:rsid w:val="00D36DC3"/>
    <w:rsid w:val="00D3715E"/>
    <w:rsid w:val="00D40416"/>
    <w:rsid w:val="00D41B10"/>
    <w:rsid w:val="00D427E2"/>
    <w:rsid w:val="00D44B54"/>
    <w:rsid w:val="00D45057"/>
    <w:rsid w:val="00D45069"/>
    <w:rsid w:val="00D450A5"/>
    <w:rsid w:val="00D46166"/>
    <w:rsid w:val="00D478EE"/>
    <w:rsid w:val="00D47D0D"/>
    <w:rsid w:val="00D50BC0"/>
    <w:rsid w:val="00D5314B"/>
    <w:rsid w:val="00D531DC"/>
    <w:rsid w:val="00D53A72"/>
    <w:rsid w:val="00D54B7F"/>
    <w:rsid w:val="00D568C3"/>
    <w:rsid w:val="00D57F04"/>
    <w:rsid w:val="00D60707"/>
    <w:rsid w:val="00D62BED"/>
    <w:rsid w:val="00D64A66"/>
    <w:rsid w:val="00D66064"/>
    <w:rsid w:val="00D66849"/>
    <w:rsid w:val="00D70DBF"/>
    <w:rsid w:val="00D72540"/>
    <w:rsid w:val="00D72A69"/>
    <w:rsid w:val="00D72B85"/>
    <w:rsid w:val="00D734C9"/>
    <w:rsid w:val="00D736DB"/>
    <w:rsid w:val="00D74B6C"/>
    <w:rsid w:val="00D76AB6"/>
    <w:rsid w:val="00D771CA"/>
    <w:rsid w:val="00D8264A"/>
    <w:rsid w:val="00D834D1"/>
    <w:rsid w:val="00D83A51"/>
    <w:rsid w:val="00D83BAF"/>
    <w:rsid w:val="00D84972"/>
    <w:rsid w:val="00D85AE8"/>
    <w:rsid w:val="00D86171"/>
    <w:rsid w:val="00D870CE"/>
    <w:rsid w:val="00D8757F"/>
    <w:rsid w:val="00D87C38"/>
    <w:rsid w:val="00D926AD"/>
    <w:rsid w:val="00D93656"/>
    <w:rsid w:val="00D94A8E"/>
    <w:rsid w:val="00D953B1"/>
    <w:rsid w:val="00D96EE0"/>
    <w:rsid w:val="00DA2346"/>
    <w:rsid w:val="00DA326E"/>
    <w:rsid w:val="00DA5E57"/>
    <w:rsid w:val="00DA61AA"/>
    <w:rsid w:val="00DA69AC"/>
    <w:rsid w:val="00DA77FD"/>
    <w:rsid w:val="00DA7C98"/>
    <w:rsid w:val="00DB098F"/>
    <w:rsid w:val="00DB1D8E"/>
    <w:rsid w:val="00DB46DE"/>
    <w:rsid w:val="00DB540F"/>
    <w:rsid w:val="00DB5C3D"/>
    <w:rsid w:val="00DB660E"/>
    <w:rsid w:val="00DB7AD1"/>
    <w:rsid w:val="00DC1662"/>
    <w:rsid w:val="00DC318D"/>
    <w:rsid w:val="00DC57D9"/>
    <w:rsid w:val="00DC60FE"/>
    <w:rsid w:val="00DC6C36"/>
    <w:rsid w:val="00DC722B"/>
    <w:rsid w:val="00DD0F65"/>
    <w:rsid w:val="00DD1383"/>
    <w:rsid w:val="00DD346A"/>
    <w:rsid w:val="00DD5042"/>
    <w:rsid w:val="00DD5C13"/>
    <w:rsid w:val="00DD5D40"/>
    <w:rsid w:val="00DD64E4"/>
    <w:rsid w:val="00DD67EC"/>
    <w:rsid w:val="00DE0C81"/>
    <w:rsid w:val="00DE3DBB"/>
    <w:rsid w:val="00DE4753"/>
    <w:rsid w:val="00DE4B5E"/>
    <w:rsid w:val="00DE4E18"/>
    <w:rsid w:val="00DE56E4"/>
    <w:rsid w:val="00DF4274"/>
    <w:rsid w:val="00DF52F3"/>
    <w:rsid w:val="00DF5BE1"/>
    <w:rsid w:val="00DF61C6"/>
    <w:rsid w:val="00DF78B7"/>
    <w:rsid w:val="00DF7BF0"/>
    <w:rsid w:val="00E03108"/>
    <w:rsid w:val="00E03E0B"/>
    <w:rsid w:val="00E0485B"/>
    <w:rsid w:val="00E053D7"/>
    <w:rsid w:val="00E06CA4"/>
    <w:rsid w:val="00E06D7B"/>
    <w:rsid w:val="00E10044"/>
    <w:rsid w:val="00E105E5"/>
    <w:rsid w:val="00E109AB"/>
    <w:rsid w:val="00E10ACF"/>
    <w:rsid w:val="00E1222D"/>
    <w:rsid w:val="00E12A8E"/>
    <w:rsid w:val="00E13846"/>
    <w:rsid w:val="00E174B9"/>
    <w:rsid w:val="00E20433"/>
    <w:rsid w:val="00E20A30"/>
    <w:rsid w:val="00E22192"/>
    <w:rsid w:val="00E24D29"/>
    <w:rsid w:val="00E25397"/>
    <w:rsid w:val="00E25CEC"/>
    <w:rsid w:val="00E277E4"/>
    <w:rsid w:val="00E27BDE"/>
    <w:rsid w:val="00E27BF1"/>
    <w:rsid w:val="00E27C04"/>
    <w:rsid w:val="00E30966"/>
    <w:rsid w:val="00E30F2B"/>
    <w:rsid w:val="00E31EBB"/>
    <w:rsid w:val="00E320AA"/>
    <w:rsid w:val="00E35837"/>
    <w:rsid w:val="00E3677C"/>
    <w:rsid w:val="00E37120"/>
    <w:rsid w:val="00E40125"/>
    <w:rsid w:val="00E403A3"/>
    <w:rsid w:val="00E43175"/>
    <w:rsid w:val="00E431F4"/>
    <w:rsid w:val="00E43FFA"/>
    <w:rsid w:val="00E44545"/>
    <w:rsid w:val="00E449BD"/>
    <w:rsid w:val="00E457CA"/>
    <w:rsid w:val="00E47CDB"/>
    <w:rsid w:val="00E51C3B"/>
    <w:rsid w:val="00E55AF3"/>
    <w:rsid w:val="00E56C87"/>
    <w:rsid w:val="00E607EA"/>
    <w:rsid w:val="00E60C62"/>
    <w:rsid w:val="00E6105C"/>
    <w:rsid w:val="00E628FB"/>
    <w:rsid w:val="00E6480F"/>
    <w:rsid w:val="00E64D58"/>
    <w:rsid w:val="00E666AC"/>
    <w:rsid w:val="00E6711B"/>
    <w:rsid w:val="00E6758A"/>
    <w:rsid w:val="00E70549"/>
    <w:rsid w:val="00E71E8E"/>
    <w:rsid w:val="00E7200A"/>
    <w:rsid w:val="00E73FBE"/>
    <w:rsid w:val="00E743DD"/>
    <w:rsid w:val="00E76653"/>
    <w:rsid w:val="00E80DE9"/>
    <w:rsid w:val="00E8496A"/>
    <w:rsid w:val="00E84C09"/>
    <w:rsid w:val="00E84E9E"/>
    <w:rsid w:val="00E86952"/>
    <w:rsid w:val="00E90CF6"/>
    <w:rsid w:val="00E92B52"/>
    <w:rsid w:val="00E93AD4"/>
    <w:rsid w:val="00E95275"/>
    <w:rsid w:val="00E95701"/>
    <w:rsid w:val="00E9592C"/>
    <w:rsid w:val="00E96376"/>
    <w:rsid w:val="00E965CE"/>
    <w:rsid w:val="00E97F3A"/>
    <w:rsid w:val="00EA03DB"/>
    <w:rsid w:val="00EA32E0"/>
    <w:rsid w:val="00EA52B5"/>
    <w:rsid w:val="00EA53B8"/>
    <w:rsid w:val="00EA69CA"/>
    <w:rsid w:val="00EA73D4"/>
    <w:rsid w:val="00EB0708"/>
    <w:rsid w:val="00EB17A7"/>
    <w:rsid w:val="00EB382A"/>
    <w:rsid w:val="00EB425E"/>
    <w:rsid w:val="00EB4A63"/>
    <w:rsid w:val="00EB4C30"/>
    <w:rsid w:val="00EC162D"/>
    <w:rsid w:val="00EC1FF7"/>
    <w:rsid w:val="00EC35EB"/>
    <w:rsid w:val="00EC41EA"/>
    <w:rsid w:val="00EC53A7"/>
    <w:rsid w:val="00EC593C"/>
    <w:rsid w:val="00EC6669"/>
    <w:rsid w:val="00ED044A"/>
    <w:rsid w:val="00ED068A"/>
    <w:rsid w:val="00ED2018"/>
    <w:rsid w:val="00ED304F"/>
    <w:rsid w:val="00ED371C"/>
    <w:rsid w:val="00ED3FB5"/>
    <w:rsid w:val="00ED5915"/>
    <w:rsid w:val="00ED6A57"/>
    <w:rsid w:val="00ED6C39"/>
    <w:rsid w:val="00ED6FE9"/>
    <w:rsid w:val="00ED707A"/>
    <w:rsid w:val="00ED759E"/>
    <w:rsid w:val="00EE0910"/>
    <w:rsid w:val="00EE0E38"/>
    <w:rsid w:val="00EE305B"/>
    <w:rsid w:val="00EE3C1A"/>
    <w:rsid w:val="00EE4B5C"/>
    <w:rsid w:val="00EE5C51"/>
    <w:rsid w:val="00EE7687"/>
    <w:rsid w:val="00EF14BA"/>
    <w:rsid w:val="00EF1BB4"/>
    <w:rsid w:val="00EF1FBE"/>
    <w:rsid w:val="00EF3B9A"/>
    <w:rsid w:val="00EF4194"/>
    <w:rsid w:val="00EF49EA"/>
    <w:rsid w:val="00EF4AC6"/>
    <w:rsid w:val="00EF6C72"/>
    <w:rsid w:val="00EF7616"/>
    <w:rsid w:val="00F03D2B"/>
    <w:rsid w:val="00F0414B"/>
    <w:rsid w:val="00F06ACF"/>
    <w:rsid w:val="00F07912"/>
    <w:rsid w:val="00F07EE8"/>
    <w:rsid w:val="00F10ABB"/>
    <w:rsid w:val="00F1398A"/>
    <w:rsid w:val="00F14340"/>
    <w:rsid w:val="00F16B1A"/>
    <w:rsid w:val="00F172BD"/>
    <w:rsid w:val="00F21DBA"/>
    <w:rsid w:val="00F232F8"/>
    <w:rsid w:val="00F24ABD"/>
    <w:rsid w:val="00F26481"/>
    <w:rsid w:val="00F272AE"/>
    <w:rsid w:val="00F27494"/>
    <w:rsid w:val="00F30460"/>
    <w:rsid w:val="00F3067A"/>
    <w:rsid w:val="00F3111C"/>
    <w:rsid w:val="00F31C00"/>
    <w:rsid w:val="00F34549"/>
    <w:rsid w:val="00F352DF"/>
    <w:rsid w:val="00F35F30"/>
    <w:rsid w:val="00F36AC5"/>
    <w:rsid w:val="00F37524"/>
    <w:rsid w:val="00F37FEE"/>
    <w:rsid w:val="00F41786"/>
    <w:rsid w:val="00F417EF"/>
    <w:rsid w:val="00F41C72"/>
    <w:rsid w:val="00F41D50"/>
    <w:rsid w:val="00F455D9"/>
    <w:rsid w:val="00F472A4"/>
    <w:rsid w:val="00F51CA6"/>
    <w:rsid w:val="00F53538"/>
    <w:rsid w:val="00F536A7"/>
    <w:rsid w:val="00F53C18"/>
    <w:rsid w:val="00F53E0D"/>
    <w:rsid w:val="00F541A3"/>
    <w:rsid w:val="00F552E9"/>
    <w:rsid w:val="00F55947"/>
    <w:rsid w:val="00F567ED"/>
    <w:rsid w:val="00F57978"/>
    <w:rsid w:val="00F603BF"/>
    <w:rsid w:val="00F637B1"/>
    <w:rsid w:val="00F65AF7"/>
    <w:rsid w:val="00F65D56"/>
    <w:rsid w:val="00F66B06"/>
    <w:rsid w:val="00F6702C"/>
    <w:rsid w:val="00F679BC"/>
    <w:rsid w:val="00F704F2"/>
    <w:rsid w:val="00F73052"/>
    <w:rsid w:val="00F732DC"/>
    <w:rsid w:val="00F74924"/>
    <w:rsid w:val="00F75C1F"/>
    <w:rsid w:val="00F75DEC"/>
    <w:rsid w:val="00F81116"/>
    <w:rsid w:val="00F813B8"/>
    <w:rsid w:val="00F8454C"/>
    <w:rsid w:val="00F84974"/>
    <w:rsid w:val="00F859DB"/>
    <w:rsid w:val="00F8722B"/>
    <w:rsid w:val="00F873F1"/>
    <w:rsid w:val="00F87433"/>
    <w:rsid w:val="00F8770A"/>
    <w:rsid w:val="00F87EC2"/>
    <w:rsid w:val="00F900CE"/>
    <w:rsid w:val="00F91DA3"/>
    <w:rsid w:val="00F91DDB"/>
    <w:rsid w:val="00F92708"/>
    <w:rsid w:val="00F93920"/>
    <w:rsid w:val="00F962DF"/>
    <w:rsid w:val="00F96517"/>
    <w:rsid w:val="00F9744B"/>
    <w:rsid w:val="00F97666"/>
    <w:rsid w:val="00FA084B"/>
    <w:rsid w:val="00FA15D0"/>
    <w:rsid w:val="00FA242F"/>
    <w:rsid w:val="00FA3535"/>
    <w:rsid w:val="00FA4C41"/>
    <w:rsid w:val="00FA4CFE"/>
    <w:rsid w:val="00FA50EA"/>
    <w:rsid w:val="00FA5934"/>
    <w:rsid w:val="00FA6065"/>
    <w:rsid w:val="00FB2638"/>
    <w:rsid w:val="00FB3285"/>
    <w:rsid w:val="00FB3B62"/>
    <w:rsid w:val="00FB3D97"/>
    <w:rsid w:val="00FB4051"/>
    <w:rsid w:val="00FB54A3"/>
    <w:rsid w:val="00FB5A7F"/>
    <w:rsid w:val="00FB6457"/>
    <w:rsid w:val="00FB6EF1"/>
    <w:rsid w:val="00FC060A"/>
    <w:rsid w:val="00FC1878"/>
    <w:rsid w:val="00FC2082"/>
    <w:rsid w:val="00FC3F2C"/>
    <w:rsid w:val="00FC46B2"/>
    <w:rsid w:val="00FD0C60"/>
    <w:rsid w:val="00FD0FB4"/>
    <w:rsid w:val="00FD118C"/>
    <w:rsid w:val="00FD1FC7"/>
    <w:rsid w:val="00FD3261"/>
    <w:rsid w:val="00FD3430"/>
    <w:rsid w:val="00FD47E6"/>
    <w:rsid w:val="00FD5187"/>
    <w:rsid w:val="00FD5CAB"/>
    <w:rsid w:val="00FD6075"/>
    <w:rsid w:val="00FD6565"/>
    <w:rsid w:val="00FE09C4"/>
    <w:rsid w:val="00FE2018"/>
    <w:rsid w:val="00FE298C"/>
    <w:rsid w:val="00FE3C75"/>
    <w:rsid w:val="00FE3E8D"/>
    <w:rsid w:val="00FE4328"/>
    <w:rsid w:val="00FE5895"/>
    <w:rsid w:val="00FE5BDE"/>
    <w:rsid w:val="00FE5ED8"/>
    <w:rsid w:val="00FE6717"/>
    <w:rsid w:val="00FE6E00"/>
    <w:rsid w:val="00FE7B1C"/>
    <w:rsid w:val="00FE7D29"/>
    <w:rsid w:val="00FF131C"/>
    <w:rsid w:val="00FF29DD"/>
    <w:rsid w:val="00FF3E5B"/>
    <w:rsid w:val="00FF4EFC"/>
    <w:rsid w:val="00FF566B"/>
    <w:rsid w:val="00FF598E"/>
    <w:rsid w:val="010975C0"/>
    <w:rsid w:val="010F065E"/>
    <w:rsid w:val="012B5576"/>
    <w:rsid w:val="0144210B"/>
    <w:rsid w:val="01461CFF"/>
    <w:rsid w:val="014D6DB0"/>
    <w:rsid w:val="01512B47"/>
    <w:rsid w:val="01541FBE"/>
    <w:rsid w:val="015B3DB8"/>
    <w:rsid w:val="015F2232"/>
    <w:rsid w:val="01AA4669"/>
    <w:rsid w:val="01B42D58"/>
    <w:rsid w:val="01B74707"/>
    <w:rsid w:val="01C55775"/>
    <w:rsid w:val="01CF1907"/>
    <w:rsid w:val="01EF43BB"/>
    <w:rsid w:val="01F0095E"/>
    <w:rsid w:val="01F65F6F"/>
    <w:rsid w:val="02271F96"/>
    <w:rsid w:val="02517FC5"/>
    <w:rsid w:val="02791344"/>
    <w:rsid w:val="027D4F23"/>
    <w:rsid w:val="028D4B54"/>
    <w:rsid w:val="02A9158A"/>
    <w:rsid w:val="02B07904"/>
    <w:rsid w:val="02E610CF"/>
    <w:rsid w:val="02E86F82"/>
    <w:rsid w:val="02F470EC"/>
    <w:rsid w:val="031A3D06"/>
    <w:rsid w:val="032B053F"/>
    <w:rsid w:val="032D1975"/>
    <w:rsid w:val="03786440"/>
    <w:rsid w:val="03871779"/>
    <w:rsid w:val="03B10E0B"/>
    <w:rsid w:val="03BD5122"/>
    <w:rsid w:val="03F602E1"/>
    <w:rsid w:val="03F9457F"/>
    <w:rsid w:val="041901C7"/>
    <w:rsid w:val="04202C76"/>
    <w:rsid w:val="04246559"/>
    <w:rsid w:val="043B3774"/>
    <w:rsid w:val="04492F15"/>
    <w:rsid w:val="04545B11"/>
    <w:rsid w:val="0462590B"/>
    <w:rsid w:val="0480107C"/>
    <w:rsid w:val="048A7137"/>
    <w:rsid w:val="04965593"/>
    <w:rsid w:val="04D00789"/>
    <w:rsid w:val="04F53DF2"/>
    <w:rsid w:val="05145E61"/>
    <w:rsid w:val="05165021"/>
    <w:rsid w:val="051B67DC"/>
    <w:rsid w:val="052F2B3B"/>
    <w:rsid w:val="055F62E0"/>
    <w:rsid w:val="058159C1"/>
    <w:rsid w:val="05EA5110"/>
    <w:rsid w:val="062A342B"/>
    <w:rsid w:val="063F7615"/>
    <w:rsid w:val="065A3F7A"/>
    <w:rsid w:val="06BE67C8"/>
    <w:rsid w:val="0712203B"/>
    <w:rsid w:val="071D753B"/>
    <w:rsid w:val="071F0D1E"/>
    <w:rsid w:val="074E358D"/>
    <w:rsid w:val="075A33B6"/>
    <w:rsid w:val="07690A7C"/>
    <w:rsid w:val="076D4D3B"/>
    <w:rsid w:val="077211C3"/>
    <w:rsid w:val="07730858"/>
    <w:rsid w:val="077E65D3"/>
    <w:rsid w:val="079D330C"/>
    <w:rsid w:val="07AB2622"/>
    <w:rsid w:val="07B809FC"/>
    <w:rsid w:val="07BC69EF"/>
    <w:rsid w:val="07D62EE2"/>
    <w:rsid w:val="07E64A7E"/>
    <w:rsid w:val="07F93EB5"/>
    <w:rsid w:val="08253634"/>
    <w:rsid w:val="08267B1B"/>
    <w:rsid w:val="085C2446"/>
    <w:rsid w:val="0861280D"/>
    <w:rsid w:val="08E80577"/>
    <w:rsid w:val="08EE77B6"/>
    <w:rsid w:val="09565EE1"/>
    <w:rsid w:val="09752680"/>
    <w:rsid w:val="09817806"/>
    <w:rsid w:val="099F25EC"/>
    <w:rsid w:val="09BB7D09"/>
    <w:rsid w:val="09C375AB"/>
    <w:rsid w:val="09C45CB0"/>
    <w:rsid w:val="09D30D2D"/>
    <w:rsid w:val="0A201848"/>
    <w:rsid w:val="0A276D6A"/>
    <w:rsid w:val="0A6067EB"/>
    <w:rsid w:val="0A8A75EA"/>
    <w:rsid w:val="0A9C6C9F"/>
    <w:rsid w:val="0AA16DFC"/>
    <w:rsid w:val="0AAC0A11"/>
    <w:rsid w:val="0AF7560D"/>
    <w:rsid w:val="0AFC0430"/>
    <w:rsid w:val="0B0E5232"/>
    <w:rsid w:val="0B2E5767"/>
    <w:rsid w:val="0B4C3B0C"/>
    <w:rsid w:val="0B537F25"/>
    <w:rsid w:val="0B5F794B"/>
    <w:rsid w:val="0BA322EF"/>
    <w:rsid w:val="0BAA50B0"/>
    <w:rsid w:val="0BCF61D2"/>
    <w:rsid w:val="0BD26275"/>
    <w:rsid w:val="0BF13AE8"/>
    <w:rsid w:val="0C18220C"/>
    <w:rsid w:val="0C20111E"/>
    <w:rsid w:val="0C2A75AA"/>
    <w:rsid w:val="0C99163D"/>
    <w:rsid w:val="0C9F2A56"/>
    <w:rsid w:val="0CCE30DF"/>
    <w:rsid w:val="0CD01CD6"/>
    <w:rsid w:val="0CEA2FBA"/>
    <w:rsid w:val="0CEC47C3"/>
    <w:rsid w:val="0CF03380"/>
    <w:rsid w:val="0D612203"/>
    <w:rsid w:val="0D6E32D3"/>
    <w:rsid w:val="0D845B76"/>
    <w:rsid w:val="0D9C27D2"/>
    <w:rsid w:val="0DBF46CD"/>
    <w:rsid w:val="0DC816AD"/>
    <w:rsid w:val="0DCA70EB"/>
    <w:rsid w:val="0DD04A36"/>
    <w:rsid w:val="0DEA0E63"/>
    <w:rsid w:val="0DED598D"/>
    <w:rsid w:val="0DF37D24"/>
    <w:rsid w:val="0E272EC6"/>
    <w:rsid w:val="0E321DFF"/>
    <w:rsid w:val="0E66622E"/>
    <w:rsid w:val="0E737AC2"/>
    <w:rsid w:val="0E7F4BD9"/>
    <w:rsid w:val="0E922575"/>
    <w:rsid w:val="0EB87857"/>
    <w:rsid w:val="0EBE46BE"/>
    <w:rsid w:val="0EC07BC1"/>
    <w:rsid w:val="0EE95C7A"/>
    <w:rsid w:val="0F2B23B7"/>
    <w:rsid w:val="0F715DF3"/>
    <w:rsid w:val="0FCE127C"/>
    <w:rsid w:val="0FD30983"/>
    <w:rsid w:val="0FEA0469"/>
    <w:rsid w:val="100D6B64"/>
    <w:rsid w:val="103D2996"/>
    <w:rsid w:val="10694963"/>
    <w:rsid w:val="106D0B81"/>
    <w:rsid w:val="106D46EB"/>
    <w:rsid w:val="107D279A"/>
    <w:rsid w:val="10AC7A1C"/>
    <w:rsid w:val="10EF5C6D"/>
    <w:rsid w:val="112C7E60"/>
    <w:rsid w:val="112D573C"/>
    <w:rsid w:val="113C7F55"/>
    <w:rsid w:val="114A1071"/>
    <w:rsid w:val="116F10E9"/>
    <w:rsid w:val="11BA42EA"/>
    <w:rsid w:val="11BB431F"/>
    <w:rsid w:val="11CE0D8A"/>
    <w:rsid w:val="11E60CBB"/>
    <w:rsid w:val="12180BBD"/>
    <w:rsid w:val="122C565F"/>
    <w:rsid w:val="124901E5"/>
    <w:rsid w:val="126B507C"/>
    <w:rsid w:val="12A34CF2"/>
    <w:rsid w:val="12B90746"/>
    <w:rsid w:val="12C61FDA"/>
    <w:rsid w:val="12FA11B0"/>
    <w:rsid w:val="131555DD"/>
    <w:rsid w:val="13172CDE"/>
    <w:rsid w:val="13240A9A"/>
    <w:rsid w:val="13445282"/>
    <w:rsid w:val="13B34CDE"/>
    <w:rsid w:val="13C50412"/>
    <w:rsid w:val="13D16B1B"/>
    <w:rsid w:val="13D973B8"/>
    <w:rsid w:val="13DD17A2"/>
    <w:rsid w:val="14186C14"/>
    <w:rsid w:val="14673812"/>
    <w:rsid w:val="14AE3393"/>
    <w:rsid w:val="14C01E04"/>
    <w:rsid w:val="14CE7D9B"/>
    <w:rsid w:val="14E55858"/>
    <w:rsid w:val="14ED4E02"/>
    <w:rsid w:val="1507380E"/>
    <w:rsid w:val="150C7238"/>
    <w:rsid w:val="1517049A"/>
    <w:rsid w:val="151A11AA"/>
    <w:rsid w:val="15402CD0"/>
    <w:rsid w:val="15550872"/>
    <w:rsid w:val="1555138F"/>
    <w:rsid w:val="158D4F62"/>
    <w:rsid w:val="159C7914"/>
    <w:rsid w:val="159E25EC"/>
    <w:rsid w:val="15B06226"/>
    <w:rsid w:val="15E10335"/>
    <w:rsid w:val="15E24476"/>
    <w:rsid w:val="15EE1801"/>
    <w:rsid w:val="15EF20BC"/>
    <w:rsid w:val="160547D8"/>
    <w:rsid w:val="166459C4"/>
    <w:rsid w:val="16D41672"/>
    <w:rsid w:val="16E43FA6"/>
    <w:rsid w:val="177E044F"/>
    <w:rsid w:val="179E1A67"/>
    <w:rsid w:val="179E44F7"/>
    <w:rsid w:val="17CA3453"/>
    <w:rsid w:val="17D66B04"/>
    <w:rsid w:val="17F52BDC"/>
    <w:rsid w:val="1804620B"/>
    <w:rsid w:val="180F5691"/>
    <w:rsid w:val="182A6406"/>
    <w:rsid w:val="182C4A09"/>
    <w:rsid w:val="18321A27"/>
    <w:rsid w:val="18325084"/>
    <w:rsid w:val="18496DE3"/>
    <w:rsid w:val="189A0F28"/>
    <w:rsid w:val="18B429A4"/>
    <w:rsid w:val="18BC1320"/>
    <w:rsid w:val="18C035AA"/>
    <w:rsid w:val="18ED325F"/>
    <w:rsid w:val="191E6743"/>
    <w:rsid w:val="196562B6"/>
    <w:rsid w:val="19BE01C6"/>
    <w:rsid w:val="19C84512"/>
    <w:rsid w:val="19CB78A5"/>
    <w:rsid w:val="19EB179F"/>
    <w:rsid w:val="1A391B12"/>
    <w:rsid w:val="1A75035E"/>
    <w:rsid w:val="1A7646D5"/>
    <w:rsid w:val="1A8A466E"/>
    <w:rsid w:val="1A8C7244"/>
    <w:rsid w:val="1A961EAB"/>
    <w:rsid w:val="1AB31559"/>
    <w:rsid w:val="1AC645D7"/>
    <w:rsid w:val="1ACE322A"/>
    <w:rsid w:val="1AD954DC"/>
    <w:rsid w:val="1ADF53FE"/>
    <w:rsid w:val="1AF26D42"/>
    <w:rsid w:val="1B0537E4"/>
    <w:rsid w:val="1B1A2203"/>
    <w:rsid w:val="1B5B3701"/>
    <w:rsid w:val="1B7A37A3"/>
    <w:rsid w:val="1B861B9F"/>
    <w:rsid w:val="1B962037"/>
    <w:rsid w:val="1BC4709A"/>
    <w:rsid w:val="1BC761E4"/>
    <w:rsid w:val="1BDB7D85"/>
    <w:rsid w:val="1C814FCD"/>
    <w:rsid w:val="1C9B12FC"/>
    <w:rsid w:val="1CAF5072"/>
    <w:rsid w:val="1CC012A2"/>
    <w:rsid w:val="1CE32D75"/>
    <w:rsid w:val="1CED5883"/>
    <w:rsid w:val="1D02423B"/>
    <w:rsid w:val="1D0425AD"/>
    <w:rsid w:val="1D10167D"/>
    <w:rsid w:val="1D133F20"/>
    <w:rsid w:val="1D2F1B6F"/>
    <w:rsid w:val="1D41273D"/>
    <w:rsid w:val="1D74390B"/>
    <w:rsid w:val="1D923E12"/>
    <w:rsid w:val="1DBB260D"/>
    <w:rsid w:val="1DF71892"/>
    <w:rsid w:val="1E1851E2"/>
    <w:rsid w:val="1E1F222A"/>
    <w:rsid w:val="1E206EF9"/>
    <w:rsid w:val="1E3B2383"/>
    <w:rsid w:val="1E9623BB"/>
    <w:rsid w:val="1EAE4199"/>
    <w:rsid w:val="1EB6152A"/>
    <w:rsid w:val="1ECD27CD"/>
    <w:rsid w:val="1EDC2072"/>
    <w:rsid w:val="1EE324BA"/>
    <w:rsid w:val="1F2B6646"/>
    <w:rsid w:val="1F6848CD"/>
    <w:rsid w:val="1F7652AC"/>
    <w:rsid w:val="1F7F2339"/>
    <w:rsid w:val="1F880A4A"/>
    <w:rsid w:val="207F677A"/>
    <w:rsid w:val="20851657"/>
    <w:rsid w:val="208A21A7"/>
    <w:rsid w:val="20A830A0"/>
    <w:rsid w:val="20DE7195"/>
    <w:rsid w:val="20E25C0B"/>
    <w:rsid w:val="20F10C6C"/>
    <w:rsid w:val="20FA7627"/>
    <w:rsid w:val="21893A13"/>
    <w:rsid w:val="21950E51"/>
    <w:rsid w:val="21BC42C0"/>
    <w:rsid w:val="21CC2404"/>
    <w:rsid w:val="21EC1A48"/>
    <w:rsid w:val="220426DC"/>
    <w:rsid w:val="2231107D"/>
    <w:rsid w:val="2243256F"/>
    <w:rsid w:val="22530F91"/>
    <w:rsid w:val="2253695F"/>
    <w:rsid w:val="22566AC2"/>
    <w:rsid w:val="22630C3D"/>
    <w:rsid w:val="228A685E"/>
    <w:rsid w:val="230B4F2D"/>
    <w:rsid w:val="230D27AB"/>
    <w:rsid w:val="232D1C96"/>
    <w:rsid w:val="23331FB3"/>
    <w:rsid w:val="23415D20"/>
    <w:rsid w:val="234B6844"/>
    <w:rsid w:val="23816B89"/>
    <w:rsid w:val="23B1689B"/>
    <w:rsid w:val="23D20FD2"/>
    <w:rsid w:val="2409112F"/>
    <w:rsid w:val="2438296E"/>
    <w:rsid w:val="243F0C4C"/>
    <w:rsid w:val="24984E67"/>
    <w:rsid w:val="24B751AF"/>
    <w:rsid w:val="24BD3555"/>
    <w:rsid w:val="24CA4DE9"/>
    <w:rsid w:val="24EA3120"/>
    <w:rsid w:val="252D4A2D"/>
    <w:rsid w:val="254A3171"/>
    <w:rsid w:val="25533A48"/>
    <w:rsid w:val="25586EC2"/>
    <w:rsid w:val="257D4D79"/>
    <w:rsid w:val="258E1F6F"/>
    <w:rsid w:val="2599753F"/>
    <w:rsid w:val="259C5142"/>
    <w:rsid w:val="25A30350"/>
    <w:rsid w:val="25BB2173"/>
    <w:rsid w:val="25CD5911"/>
    <w:rsid w:val="25D2569F"/>
    <w:rsid w:val="25D71AA3"/>
    <w:rsid w:val="25E813AD"/>
    <w:rsid w:val="2624631F"/>
    <w:rsid w:val="263C21C5"/>
    <w:rsid w:val="2665260C"/>
    <w:rsid w:val="26725A01"/>
    <w:rsid w:val="267B6875"/>
    <w:rsid w:val="269456DA"/>
    <w:rsid w:val="269B1961"/>
    <w:rsid w:val="26AA55BA"/>
    <w:rsid w:val="26DF6B54"/>
    <w:rsid w:val="26E543C0"/>
    <w:rsid w:val="26FE2268"/>
    <w:rsid w:val="271D4636"/>
    <w:rsid w:val="272737A1"/>
    <w:rsid w:val="275E45D7"/>
    <w:rsid w:val="2760793A"/>
    <w:rsid w:val="278C7A09"/>
    <w:rsid w:val="27BD3EC2"/>
    <w:rsid w:val="27CF3DDC"/>
    <w:rsid w:val="28227594"/>
    <w:rsid w:val="2849254A"/>
    <w:rsid w:val="284F6A4B"/>
    <w:rsid w:val="2863398B"/>
    <w:rsid w:val="28906E4D"/>
    <w:rsid w:val="28991793"/>
    <w:rsid w:val="28C46086"/>
    <w:rsid w:val="28DC58A3"/>
    <w:rsid w:val="28E8463F"/>
    <w:rsid w:val="29315FA2"/>
    <w:rsid w:val="29485105"/>
    <w:rsid w:val="294D63C2"/>
    <w:rsid w:val="296942C4"/>
    <w:rsid w:val="297600F5"/>
    <w:rsid w:val="298F14ED"/>
    <w:rsid w:val="29A36254"/>
    <w:rsid w:val="29AE6BF1"/>
    <w:rsid w:val="29C42F93"/>
    <w:rsid w:val="29C55C6E"/>
    <w:rsid w:val="29ED264E"/>
    <w:rsid w:val="2A036897"/>
    <w:rsid w:val="2A27245E"/>
    <w:rsid w:val="2A2804CC"/>
    <w:rsid w:val="2A2C74BF"/>
    <w:rsid w:val="2A3111DB"/>
    <w:rsid w:val="2A4C072D"/>
    <w:rsid w:val="2A6B02A8"/>
    <w:rsid w:val="2A7A1EB8"/>
    <w:rsid w:val="2AAF23C1"/>
    <w:rsid w:val="2AB84B24"/>
    <w:rsid w:val="2ACF2C9E"/>
    <w:rsid w:val="2B340852"/>
    <w:rsid w:val="2B521ED4"/>
    <w:rsid w:val="2B5327A4"/>
    <w:rsid w:val="2B5E1BC5"/>
    <w:rsid w:val="2B816381"/>
    <w:rsid w:val="2B95320E"/>
    <w:rsid w:val="2BA30AA8"/>
    <w:rsid w:val="2BAB3153"/>
    <w:rsid w:val="2BB91C85"/>
    <w:rsid w:val="2BC5719F"/>
    <w:rsid w:val="2BD20EA0"/>
    <w:rsid w:val="2BD43FF7"/>
    <w:rsid w:val="2C09199A"/>
    <w:rsid w:val="2C12605B"/>
    <w:rsid w:val="2C3D0264"/>
    <w:rsid w:val="2C4B5AD3"/>
    <w:rsid w:val="2C4E361C"/>
    <w:rsid w:val="2C801F12"/>
    <w:rsid w:val="2CAC20FF"/>
    <w:rsid w:val="2CC54350"/>
    <w:rsid w:val="2CD30AEF"/>
    <w:rsid w:val="2D0F2E16"/>
    <w:rsid w:val="2D2C55B9"/>
    <w:rsid w:val="2D401327"/>
    <w:rsid w:val="2D596B22"/>
    <w:rsid w:val="2D946557"/>
    <w:rsid w:val="2DC3793C"/>
    <w:rsid w:val="2DD64A42"/>
    <w:rsid w:val="2E315792"/>
    <w:rsid w:val="2E3565B9"/>
    <w:rsid w:val="2E3E316C"/>
    <w:rsid w:val="2E4E4C86"/>
    <w:rsid w:val="2E5B73FA"/>
    <w:rsid w:val="2E5E5C8D"/>
    <w:rsid w:val="2E616BA4"/>
    <w:rsid w:val="2E7128A8"/>
    <w:rsid w:val="2EA62477"/>
    <w:rsid w:val="2EB2312B"/>
    <w:rsid w:val="2EF75CEC"/>
    <w:rsid w:val="2F0860B8"/>
    <w:rsid w:val="2F1808D1"/>
    <w:rsid w:val="2F22772C"/>
    <w:rsid w:val="2F5A25BC"/>
    <w:rsid w:val="2F6C2F2A"/>
    <w:rsid w:val="2F6F48BF"/>
    <w:rsid w:val="2FA417BA"/>
    <w:rsid w:val="2FAE4D2E"/>
    <w:rsid w:val="2FC70089"/>
    <w:rsid w:val="2FD46A86"/>
    <w:rsid w:val="2FEF2B33"/>
    <w:rsid w:val="3040066B"/>
    <w:rsid w:val="304A0163"/>
    <w:rsid w:val="30661878"/>
    <w:rsid w:val="307661A9"/>
    <w:rsid w:val="307B5F9A"/>
    <w:rsid w:val="308D5EB4"/>
    <w:rsid w:val="30BD2B49"/>
    <w:rsid w:val="30C92203"/>
    <w:rsid w:val="30CC15D2"/>
    <w:rsid w:val="30DD12C5"/>
    <w:rsid w:val="312B4A06"/>
    <w:rsid w:val="31393DEA"/>
    <w:rsid w:val="314F2DE4"/>
    <w:rsid w:val="31583505"/>
    <w:rsid w:val="315C675B"/>
    <w:rsid w:val="316019EB"/>
    <w:rsid w:val="31AE489E"/>
    <w:rsid w:val="31B0721A"/>
    <w:rsid w:val="31CE7B45"/>
    <w:rsid w:val="31F476C7"/>
    <w:rsid w:val="32034D8B"/>
    <w:rsid w:val="323B033A"/>
    <w:rsid w:val="32412AF8"/>
    <w:rsid w:val="32770E90"/>
    <w:rsid w:val="32785E1E"/>
    <w:rsid w:val="32AE4256"/>
    <w:rsid w:val="32B716C4"/>
    <w:rsid w:val="32D64AF4"/>
    <w:rsid w:val="32F25099"/>
    <w:rsid w:val="331D4930"/>
    <w:rsid w:val="3331391E"/>
    <w:rsid w:val="3340063C"/>
    <w:rsid w:val="335839A9"/>
    <w:rsid w:val="336C243E"/>
    <w:rsid w:val="33B37F5E"/>
    <w:rsid w:val="33B4057B"/>
    <w:rsid w:val="33B75467"/>
    <w:rsid w:val="33C2127A"/>
    <w:rsid w:val="33C40EFA"/>
    <w:rsid w:val="33D0278E"/>
    <w:rsid w:val="33DA5611"/>
    <w:rsid w:val="3423624A"/>
    <w:rsid w:val="34416CC8"/>
    <w:rsid w:val="344E1C6F"/>
    <w:rsid w:val="346D5E8F"/>
    <w:rsid w:val="348813DB"/>
    <w:rsid w:val="34B0567F"/>
    <w:rsid w:val="34CC58CF"/>
    <w:rsid w:val="34ED54E4"/>
    <w:rsid w:val="34FD41FB"/>
    <w:rsid w:val="353E78F7"/>
    <w:rsid w:val="3541716C"/>
    <w:rsid w:val="35545C28"/>
    <w:rsid w:val="355E24B6"/>
    <w:rsid w:val="359901F3"/>
    <w:rsid w:val="35C12F3E"/>
    <w:rsid w:val="35C81C87"/>
    <w:rsid w:val="35C90378"/>
    <w:rsid w:val="35D15757"/>
    <w:rsid w:val="35F90E99"/>
    <w:rsid w:val="360176FC"/>
    <w:rsid w:val="362D5E70"/>
    <w:rsid w:val="3655598B"/>
    <w:rsid w:val="36612E47"/>
    <w:rsid w:val="367F23F7"/>
    <w:rsid w:val="36BC19F9"/>
    <w:rsid w:val="36C30370"/>
    <w:rsid w:val="36E10D03"/>
    <w:rsid w:val="36EB0A48"/>
    <w:rsid w:val="3730221B"/>
    <w:rsid w:val="373E2316"/>
    <w:rsid w:val="379D4DCD"/>
    <w:rsid w:val="37DA492C"/>
    <w:rsid w:val="381C311D"/>
    <w:rsid w:val="384F14DA"/>
    <w:rsid w:val="38697999"/>
    <w:rsid w:val="386F006C"/>
    <w:rsid w:val="387E40BB"/>
    <w:rsid w:val="38C757B4"/>
    <w:rsid w:val="38CB53E0"/>
    <w:rsid w:val="38D724D2"/>
    <w:rsid w:val="38EB04BF"/>
    <w:rsid w:val="39022116"/>
    <w:rsid w:val="390C4350"/>
    <w:rsid w:val="392A7ABF"/>
    <w:rsid w:val="39446ED7"/>
    <w:rsid w:val="397336CF"/>
    <w:rsid w:val="39B25D9A"/>
    <w:rsid w:val="39B52179"/>
    <w:rsid w:val="39BC7C93"/>
    <w:rsid w:val="3A296DD0"/>
    <w:rsid w:val="3A577E3C"/>
    <w:rsid w:val="3A756774"/>
    <w:rsid w:val="3AC11826"/>
    <w:rsid w:val="3ACD357A"/>
    <w:rsid w:val="3AE138A5"/>
    <w:rsid w:val="3AF171C5"/>
    <w:rsid w:val="3AF81F10"/>
    <w:rsid w:val="3B111E76"/>
    <w:rsid w:val="3B1D05A2"/>
    <w:rsid w:val="3B3A5638"/>
    <w:rsid w:val="3B5925C2"/>
    <w:rsid w:val="3B6E3B56"/>
    <w:rsid w:val="3B8A04BB"/>
    <w:rsid w:val="3BA57F6A"/>
    <w:rsid w:val="3BA932EE"/>
    <w:rsid w:val="3C003173"/>
    <w:rsid w:val="3C087025"/>
    <w:rsid w:val="3C1546D6"/>
    <w:rsid w:val="3C1A0F3A"/>
    <w:rsid w:val="3C1B4033"/>
    <w:rsid w:val="3C8D24F7"/>
    <w:rsid w:val="3CB4304F"/>
    <w:rsid w:val="3D037E66"/>
    <w:rsid w:val="3D114E3F"/>
    <w:rsid w:val="3D276DB6"/>
    <w:rsid w:val="3D4C2750"/>
    <w:rsid w:val="3D5F4F3E"/>
    <w:rsid w:val="3D6A5187"/>
    <w:rsid w:val="3DAE44B7"/>
    <w:rsid w:val="3E0953D7"/>
    <w:rsid w:val="3E3D30AC"/>
    <w:rsid w:val="3E435D78"/>
    <w:rsid w:val="3E8E5630"/>
    <w:rsid w:val="3EB01BC5"/>
    <w:rsid w:val="3EB30649"/>
    <w:rsid w:val="3EBE33A9"/>
    <w:rsid w:val="3EC5358C"/>
    <w:rsid w:val="3EC57D08"/>
    <w:rsid w:val="3ED766F7"/>
    <w:rsid w:val="3EFC23E1"/>
    <w:rsid w:val="3F114042"/>
    <w:rsid w:val="3F375832"/>
    <w:rsid w:val="3F554FDB"/>
    <w:rsid w:val="3F710D82"/>
    <w:rsid w:val="3F7E1D11"/>
    <w:rsid w:val="3FD26C72"/>
    <w:rsid w:val="4001103D"/>
    <w:rsid w:val="40197335"/>
    <w:rsid w:val="401E4633"/>
    <w:rsid w:val="40505291"/>
    <w:rsid w:val="406707B8"/>
    <w:rsid w:val="40C27B4E"/>
    <w:rsid w:val="40CA1FA4"/>
    <w:rsid w:val="40F2743C"/>
    <w:rsid w:val="413C3E5F"/>
    <w:rsid w:val="41510BF7"/>
    <w:rsid w:val="41585AC3"/>
    <w:rsid w:val="417942FA"/>
    <w:rsid w:val="4199652C"/>
    <w:rsid w:val="41B8522F"/>
    <w:rsid w:val="41C0099D"/>
    <w:rsid w:val="41D75D6D"/>
    <w:rsid w:val="41D83540"/>
    <w:rsid w:val="41D92F17"/>
    <w:rsid w:val="41F33388"/>
    <w:rsid w:val="41F54312"/>
    <w:rsid w:val="421B4028"/>
    <w:rsid w:val="42332EA8"/>
    <w:rsid w:val="423441AD"/>
    <w:rsid w:val="424D59EF"/>
    <w:rsid w:val="4253693E"/>
    <w:rsid w:val="42585666"/>
    <w:rsid w:val="4259696B"/>
    <w:rsid w:val="427B5EEE"/>
    <w:rsid w:val="42A82305"/>
    <w:rsid w:val="42AF6DC9"/>
    <w:rsid w:val="42B633F8"/>
    <w:rsid w:val="42F332E6"/>
    <w:rsid w:val="43267BF2"/>
    <w:rsid w:val="43284445"/>
    <w:rsid w:val="436832A5"/>
    <w:rsid w:val="43690D26"/>
    <w:rsid w:val="436B35E9"/>
    <w:rsid w:val="43775ABD"/>
    <w:rsid w:val="43971EFE"/>
    <w:rsid w:val="43AA19CB"/>
    <w:rsid w:val="43C232B2"/>
    <w:rsid w:val="43EB6AAF"/>
    <w:rsid w:val="43EC5A7C"/>
    <w:rsid w:val="43F20B28"/>
    <w:rsid w:val="441321C3"/>
    <w:rsid w:val="443F7933"/>
    <w:rsid w:val="44501024"/>
    <w:rsid w:val="445F2119"/>
    <w:rsid w:val="44810F88"/>
    <w:rsid w:val="448762B8"/>
    <w:rsid w:val="449C7E1E"/>
    <w:rsid w:val="44D57D67"/>
    <w:rsid w:val="44E8074A"/>
    <w:rsid w:val="44EF1DBD"/>
    <w:rsid w:val="44F65954"/>
    <w:rsid w:val="450C5CCB"/>
    <w:rsid w:val="453C66A3"/>
    <w:rsid w:val="455240CA"/>
    <w:rsid w:val="45530905"/>
    <w:rsid w:val="45913FC1"/>
    <w:rsid w:val="45924248"/>
    <w:rsid w:val="459427D2"/>
    <w:rsid w:val="45EB21DA"/>
    <w:rsid w:val="45F91A65"/>
    <w:rsid w:val="46521A6E"/>
    <w:rsid w:val="46627EC0"/>
    <w:rsid w:val="4666070F"/>
    <w:rsid w:val="468F4CB5"/>
    <w:rsid w:val="46905CD0"/>
    <w:rsid w:val="469C2DE7"/>
    <w:rsid w:val="46CD35B6"/>
    <w:rsid w:val="46D42F41"/>
    <w:rsid w:val="46DA5215"/>
    <w:rsid w:val="46F15F47"/>
    <w:rsid w:val="4700508A"/>
    <w:rsid w:val="4701450D"/>
    <w:rsid w:val="47017A9E"/>
    <w:rsid w:val="473345DF"/>
    <w:rsid w:val="477574F4"/>
    <w:rsid w:val="47852732"/>
    <w:rsid w:val="47A64207"/>
    <w:rsid w:val="47BB5932"/>
    <w:rsid w:val="47BE6742"/>
    <w:rsid w:val="47D01EDF"/>
    <w:rsid w:val="48015F32"/>
    <w:rsid w:val="4823002C"/>
    <w:rsid w:val="48242D2A"/>
    <w:rsid w:val="48273A70"/>
    <w:rsid w:val="48405A16"/>
    <w:rsid w:val="485324B9"/>
    <w:rsid w:val="4858436A"/>
    <w:rsid w:val="48792298"/>
    <w:rsid w:val="4888388C"/>
    <w:rsid w:val="489562D5"/>
    <w:rsid w:val="48A765F7"/>
    <w:rsid w:val="48B27625"/>
    <w:rsid w:val="48C92533"/>
    <w:rsid w:val="48D50743"/>
    <w:rsid w:val="48FE5476"/>
    <w:rsid w:val="490544DA"/>
    <w:rsid w:val="4947500C"/>
    <w:rsid w:val="496941FF"/>
    <w:rsid w:val="49795606"/>
    <w:rsid w:val="49930346"/>
    <w:rsid w:val="49CF0D65"/>
    <w:rsid w:val="49ED225A"/>
    <w:rsid w:val="4A014D0E"/>
    <w:rsid w:val="4A18309E"/>
    <w:rsid w:val="4A1E25C8"/>
    <w:rsid w:val="4A284FC9"/>
    <w:rsid w:val="4A5F5A11"/>
    <w:rsid w:val="4A64791A"/>
    <w:rsid w:val="4A6A1D03"/>
    <w:rsid w:val="4A8401CF"/>
    <w:rsid w:val="4A86317F"/>
    <w:rsid w:val="4A914CD6"/>
    <w:rsid w:val="4AE75202"/>
    <w:rsid w:val="4AEC1636"/>
    <w:rsid w:val="4AF3620C"/>
    <w:rsid w:val="4AFC321E"/>
    <w:rsid w:val="4B031788"/>
    <w:rsid w:val="4B275459"/>
    <w:rsid w:val="4B2A746F"/>
    <w:rsid w:val="4B39475F"/>
    <w:rsid w:val="4B5301AA"/>
    <w:rsid w:val="4B5E39A1"/>
    <w:rsid w:val="4B6B4C49"/>
    <w:rsid w:val="4B7A4B1E"/>
    <w:rsid w:val="4BD2780B"/>
    <w:rsid w:val="4BD53617"/>
    <w:rsid w:val="4C051368"/>
    <w:rsid w:val="4C59356E"/>
    <w:rsid w:val="4C703EE7"/>
    <w:rsid w:val="4C7230CC"/>
    <w:rsid w:val="4C7E5A0B"/>
    <w:rsid w:val="4CFA19D5"/>
    <w:rsid w:val="4D102D7B"/>
    <w:rsid w:val="4D2E7DAD"/>
    <w:rsid w:val="4D3D19FE"/>
    <w:rsid w:val="4D4A2EBC"/>
    <w:rsid w:val="4DB748FC"/>
    <w:rsid w:val="4DBD0916"/>
    <w:rsid w:val="4DFE2A04"/>
    <w:rsid w:val="4E04490D"/>
    <w:rsid w:val="4E081B73"/>
    <w:rsid w:val="4E202BB9"/>
    <w:rsid w:val="4E5E5191"/>
    <w:rsid w:val="4E6B396A"/>
    <w:rsid w:val="4E776E4B"/>
    <w:rsid w:val="4F285331"/>
    <w:rsid w:val="4F5145AF"/>
    <w:rsid w:val="4FA01DB0"/>
    <w:rsid w:val="4FB5716D"/>
    <w:rsid w:val="4FD07E49"/>
    <w:rsid w:val="4FDE35F2"/>
    <w:rsid w:val="4FE647A7"/>
    <w:rsid w:val="4FF80240"/>
    <w:rsid w:val="50112961"/>
    <w:rsid w:val="50244588"/>
    <w:rsid w:val="50322C82"/>
    <w:rsid w:val="504B0C47"/>
    <w:rsid w:val="5092043F"/>
    <w:rsid w:val="50A430ED"/>
    <w:rsid w:val="50BF6362"/>
    <w:rsid w:val="50CF55B5"/>
    <w:rsid w:val="50EB37AB"/>
    <w:rsid w:val="50EF3715"/>
    <w:rsid w:val="50F25EDA"/>
    <w:rsid w:val="50F54A0B"/>
    <w:rsid w:val="51290F5F"/>
    <w:rsid w:val="51AA3B42"/>
    <w:rsid w:val="51DE6BE8"/>
    <w:rsid w:val="51E85A58"/>
    <w:rsid w:val="51EB04F5"/>
    <w:rsid w:val="51F91CC0"/>
    <w:rsid w:val="520B5CA2"/>
    <w:rsid w:val="520D447F"/>
    <w:rsid w:val="52214827"/>
    <w:rsid w:val="5249428D"/>
    <w:rsid w:val="527D59E1"/>
    <w:rsid w:val="529358E1"/>
    <w:rsid w:val="529F793B"/>
    <w:rsid w:val="52A45FAE"/>
    <w:rsid w:val="52BF0235"/>
    <w:rsid w:val="52D64DA4"/>
    <w:rsid w:val="53003D4E"/>
    <w:rsid w:val="536F5D28"/>
    <w:rsid w:val="53781EAD"/>
    <w:rsid w:val="5382528E"/>
    <w:rsid w:val="53B119FC"/>
    <w:rsid w:val="53DB4A23"/>
    <w:rsid w:val="53E0692D"/>
    <w:rsid w:val="53EE150F"/>
    <w:rsid w:val="540B54F6"/>
    <w:rsid w:val="54124B55"/>
    <w:rsid w:val="54365695"/>
    <w:rsid w:val="5443534C"/>
    <w:rsid w:val="54482184"/>
    <w:rsid w:val="54754E08"/>
    <w:rsid w:val="548A689C"/>
    <w:rsid w:val="549244E4"/>
    <w:rsid w:val="549A521A"/>
    <w:rsid w:val="54A65E4D"/>
    <w:rsid w:val="54AE2669"/>
    <w:rsid w:val="54B074EF"/>
    <w:rsid w:val="54C66D80"/>
    <w:rsid w:val="54D21917"/>
    <w:rsid w:val="54D53F5C"/>
    <w:rsid w:val="54F93B76"/>
    <w:rsid w:val="55002BC8"/>
    <w:rsid w:val="55094D31"/>
    <w:rsid w:val="553F3085"/>
    <w:rsid w:val="557C634E"/>
    <w:rsid w:val="55807DDA"/>
    <w:rsid w:val="558F0296"/>
    <w:rsid w:val="55B31C34"/>
    <w:rsid w:val="55BF1B95"/>
    <w:rsid w:val="55C13EC6"/>
    <w:rsid w:val="55E05AFD"/>
    <w:rsid w:val="55F11B90"/>
    <w:rsid w:val="560562B5"/>
    <w:rsid w:val="56215BE8"/>
    <w:rsid w:val="562E4795"/>
    <w:rsid w:val="56617795"/>
    <w:rsid w:val="567C24AC"/>
    <w:rsid w:val="56972170"/>
    <w:rsid w:val="56B068A7"/>
    <w:rsid w:val="56D424BF"/>
    <w:rsid w:val="56D50FF7"/>
    <w:rsid w:val="56D8660A"/>
    <w:rsid w:val="56EC5132"/>
    <w:rsid w:val="572C33B6"/>
    <w:rsid w:val="5739301F"/>
    <w:rsid w:val="575E42E5"/>
    <w:rsid w:val="57975717"/>
    <w:rsid w:val="579B1953"/>
    <w:rsid w:val="57E72358"/>
    <w:rsid w:val="580637F9"/>
    <w:rsid w:val="580A08A2"/>
    <w:rsid w:val="58343AE4"/>
    <w:rsid w:val="583C157B"/>
    <w:rsid w:val="583F70B2"/>
    <w:rsid w:val="587363AB"/>
    <w:rsid w:val="5883147D"/>
    <w:rsid w:val="588D34E2"/>
    <w:rsid w:val="58AD2A69"/>
    <w:rsid w:val="58B962E0"/>
    <w:rsid w:val="58E83DEC"/>
    <w:rsid w:val="58EC4414"/>
    <w:rsid w:val="5905591A"/>
    <w:rsid w:val="59070E1D"/>
    <w:rsid w:val="590D4712"/>
    <w:rsid w:val="59342A86"/>
    <w:rsid w:val="595A6E88"/>
    <w:rsid w:val="59B24171"/>
    <w:rsid w:val="59F0343E"/>
    <w:rsid w:val="59F418F9"/>
    <w:rsid w:val="59FC3063"/>
    <w:rsid w:val="5A165757"/>
    <w:rsid w:val="5A3C3419"/>
    <w:rsid w:val="5A4155DA"/>
    <w:rsid w:val="5A4A5FB2"/>
    <w:rsid w:val="5A6A3028"/>
    <w:rsid w:val="5AA52CCE"/>
    <w:rsid w:val="5B122177"/>
    <w:rsid w:val="5B14567A"/>
    <w:rsid w:val="5B445446"/>
    <w:rsid w:val="5B482651"/>
    <w:rsid w:val="5B4A3C62"/>
    <w:rsid w:val="5B5F0C55"/>
    <w:rsid w:val="5B895BE1"/>
    <w:rsid w:val="5BA60FB9"/>
    <w:rsid w:val="5BDD0946"/>
    <w:rsid w:val="5C467B7E"/>
    <w:rsid w:val="5C556196"/>
    <w:rsid w:val="5C80167E"/>
    <w:rsid w:val="5C9A627F"/>
    <w:rsid w:val="5CA1158E"/>
    <w:rsid w:val="5CC17987"/>
    <w:rsid w:val="5CC62DF7"/>
    <w:rsid w:val="5CF6738A"/>
    <w:rsid w:val="5D024EA6"/>
    <w:rsid w:val="5D21407E"/>
    <w:rsid w:val="5D406F09"/>
    <w:rsid w:val="5D8E01B8"/>
    <w:rsid w:val="5D9E05A7"/>
    <w:rsid w:val="5DC51912"/>
    <w:rsid w:val="5DE91CF1"/>
    <w:rsid w:val="5E032372"/>
    <w:rsid w:val="5E1D4DC1"/>
    <w:rsid w:val="5E3C43B8"/>
    <w:rsid w:val="5E3C5447"/>
    <w:rsid w:val="5E413634"/>
    <w:rsid w:val="5E420CB8"/>
    <w:rsid w:val="5E5B1606"/>
    <w:rsid w:val="5E784023"/>
    <w:rsid w:val="5E7E61C6"/>
    <w:rsid w:val="5E880EDD"/>
    <w:rsid w:val="5E8E7EB0"/>
    <w:rsid w:val="5EAD0764"/>
    <w:rsid w:val="5EBE3525"/>
    <w:rsid w:val="5ECF00BA"/>
    <w:rsid w:val="5ED2189E"/>
    <w:rsid w:val="5F224990"/>
    <w:rsid w:val="5F2500C9"/>
    <w:rsid w:val="5F3054BA"/>
    <w:rsid w:val="5F451BDC"/>
    <w:rsid w:val="5F5B5A9D"/>
    <w:rsid w:val="5F6F0EEB"/>
    <w:rsid w:val="600E3824"/>
    <w:rsid w:val="601B7A89"/>
    <w:rsid w:val="602437C9"/>
    <w:rsid w:val="60335FE2"/>
    <w:rsid w:val="60407126"/>
    <w:rsid w:val="605C284C"/>
    <w:rsid w:val="606742A0"/>
    <w:rsid w:val="60923DFD"/>
    <w:rsid w:val="60942206"/>
    <w:rsid w:val="60991209"/>
    <w:rsid w:val="615A36FE"/>
    <w:rsid w:val="615C471A"/>
    <w:rsid w:val="6160688D"/>
    <w:rsid w:val="619F2CB5"/>
    <w:rsid w:val="61D9461A"/>
    <w:rsid w:val="61DC624D"/>
    <w:rsid w:val="62015AB9"/>
    <w:rsid w:val="62A0195F"/>
    <w:rsid w:val="62A94AB8"/>
    <w:rsid w:val="62B91A60"/>
    <w:rsid w:val="62BF5C26"/>
    <w:rsid w:val="62C55F96"/>
    <w:rsid w:val="62EA3309"/>
    <w:rsid w:val="62F435E7"/>
    <w:rsid w:val="630F1599"/>
    <w:rsid w:val="6332564A"/>
    <w:rsid w:val="63375202"/>
    <w:rsid w:val="636D0983"/>
    <w:rsid w:val="63967040"/>
    <w:rsid w:val="639828BD"/>
    <w:rsid w:val="63DA6DF5"/>
    <w:rsid w:val="64520E19"/>
    <w:rsid w:val="648727D1"/>
    <w:rsid w:val="64D50279"/>
    <w:rsid w:val="650C472A"/>
    <w:rsid w:val="653800BF"/>
    <w:rsid w:val="654F59C5"/>
    <w:rsid w:val="655C4B1D"/>
    <w:rsid w:val="657B428A"/>
    <w:rsid w:val="659605F8"/>
    <w:rsid w:val="65F51A12"/>
    <w:rsid w:val="6625302A"/>
    <w:rsid w:val="66AD0853"/>
    <w:rsid w:val="66D953FE"/>
    <w:rsid w:val="66EE416C"/>
    <w:rsid w:val="6701001D"/>
    <w:rsid w:val="670120E1"/>
    <w:rsid w:val="67147CAA"/>
    <w:rsid w:val="673F05F2"/>
    <w:rsid w:val="673F74EC"/>
    <w:rsid w:val="6775441F"/>
    <w:rsid w:val="67B63BB5"/>
    <w:rsid w:val="67BF40C1"/>
    <w:rsid w:val="67E433FF"/>
    <w:rsid w:val="67FA55A3"/>
    <w:rsid w:val="67FC734A"/>
    <w:rsid w:val="68202807"/>
    <w:rsid w:val="68290671"/>
    <w:rsid w:val="683753DD"/>
    <w:rsid w:val="68503DB3"/>
    <w:rsid w:val="686D2BCC"/>
    <w:rsid w:val="68723A04"/>
    <w:rsid w:val="68966FD2"/>
    <w:rsid w:val="68A4383E"/>
    <w:rsid w:val="68C12CEA"/>
    <w:rsid w:val="68DF6B1A"/>
    <w:rsid w:val="690B3F4D"/>
    <w:rsid w:val="690C5F7E"/>
    <w:rsid w:val="691977DC"/>
    <w:rsid w:val="69231F5F"/>
    <w:rsid w:val="693F115B"/>
    <w:rsid w:val="69405ACF"/>
    <w:rsid w:val="694B6E24"/>
    <w:rsid w:val="69863E30"/>
    <w:rsid w:val="69981B4C"/>
    <w:rsid w:val="699A504F"/>
    <w:rsid w:val="69B3510A"/>
    <w:rsid w:val="69B61112"/>
    <w:rsid w:val="69B75EB1"/>
    <w:rsid w:val="6A010A43"/>
    <w:rsid w:val="6A151116"/>
    <w:rsid w:val="6A2D2FC4"/>
    <w:rsid w:val="6A33246C"/>
    <w:rsid w:val="6A47646D"/>
    <w:rsid w:val="6A4D1E0E"/>
    <w:rsid w:val="6A5E32D4"/>
    <w:rsid w:val="6A7E0B45"/>
    <w:rsid w:val="6A847402"/>
    <w:rsid w:val="6A9B2674"/>
    <w:rsid w:val="6AAB447F"/>
    <w:rsid w:val="6AD12B4E"/>
    <w:rsid w:val="6AD22B90"/>
    <w:rsid w:val="6ADD4223"/>
    <w:rsid w:val="6AE629AE"/>
    <w:rsid w:val="6AF9097B"/>
    <w:rsid w:val="6B081C9C"/>
    <w:rsid w:val="6B1C75FE"/>
    <w:rsid w:val="6B697849"/>
    <w:rsid w:val="6B6B2D4C"/>
    <w:rsid w:val="6B6E044D"/>
    <w:rsid w:val="6B7556AA"/>
    <w:rsid w:val="6B7A5565"/>
    <w:rsid w:val="6B805220"/>
    <w:rsid w:val="6BB379BF"/>
    <w:rsid w:val="6BB41306"/>
    <w:rsid w:val="6BEE1633"/>
    <w:rsid w:val="6BFE5E3C"/>
    <w:rsid w:val="6C0F21D5"/>
    <w:rsid w:val="6C1156D8"/>
    <w:rsid w:val="6C177D6F"/>
    <w:rsid w:val="6C2E2A8A"/>
    <w:rsid w:val="6C390E1B"/>
    <w:rsid w:val="6C571B2E"/>
    <w:rsid w:val="6C8C0F81"/>
    <w:rsid w:val="6CA01E9F"/>
    <w:rsid w:val="6CCB2AC6"/>
    <w:rsid w:val="6CDB6426"/>
    <w:rsid w:val="6D136580"/>
    <w:rsid w:val="6D1B4947"/>
    <w:rsid w:val="6D257BC3"/>
    <w:rsid w:val="6D3712D4"/>
    <w:rsid w:val="6D3867BF"/>
    <w:rsid w:val="6D4312CD"/>
    <w:rsid w:val="6D5D2F22"/>
    <w:rsid w:val="6D6331E3"/>
    <w:rsid w:val="6D6E2C43"/>
    <w:rsid w:val="6D913CE4"/>
    <w:rsid w:val="6DB77B40"/>
    <w:rsid w:val="6DD91AF0"/>
    <w:rsid w:val="6E0F5221"/>
    <w:rsid w:val="6EDD3D30"/>
    <w:rsid w:val="6EEA35F2"/>
    <w:rsid w:val="6EF46C87"/>
    <w:rsid w:val="6EFA4222"/>
    <w:rsid w:val="6F134DCC"/>
    <w:rsid w:val="6F252AE8"/>
    <w:rsid w:val="6F896F89"/>
    <w:rsid w:val="6F975C22"/>
    <w:rsid w:val="6FA330AC"/>
    <w:rsid w:val="6FA651CB"/>
    <w:rsid w:val="6FBE7C4A"/>
    <w:rsid w:val="6FCE7DD5"/>
    <w:rsid w:val="6FDC7CA3"/>
    <w:rsid w:val="6FDF5799"/>
    <w:rsid w:val="6FFF244B"/>
    <w:rsid w:val="70185F2A"/>
    <w:rsid w:val="703919C0"/>
    <w:rsid w:val="704C034C"/>
    <w:rsid w:val="705E49F2"/>
    <w:rsid w:val="705F3769"/>
    <w:rsid w:val="7073655A"/>
    <w:rsid w:val="70780A88"/>
    <w:rsid w:val="70C21F79"/>
    <w:rsid w:val="71254D49"/>
    <w:rsid w:val="71450563"/>
    <w:rsid w:val="715C7866"/>
    <w:rsid w:val="716D72C9"/>
    <w:rsid w:val="718A2929"/>
    <w:rsid w:val="71BD1825"/>
    <w:rsid w:val="71BE083F"/>
    <w:rsid w:val="71D50025"/>
    <w:rsid w:val="71F95A89"/>
    <w:rsid w:val="72053A88"/>
    <w:rsid w:val="72154457"/>
    <w:rsid w:val="72395D09"/>
    <w:rsid w:val="725A4828"/>
    <w:rsid w:val="72667679"/>
    <w:rsid w:val="727453D2"/>
    <w:rsid w:val="727C6062"/>
    <w:rsid w:val="72970F7C"/>
    <w:rsid w:val="72A53185"/>
    <w:rsid w:val="72E04F19"/>
    <w:rsid w:val="72E21289"/>
    <w:rsid w:val="72E47E29"/>
    <w:rsid w:val="73750753"/>
    <w:rsid w:val="7383742A"/>
    <w:rsid w:val="73950D2D"/>
    <w:rsid w:val="73A02941"/>
    <w:rsid w:val="73A20681"/>
    <w:rsid w:val="73C059F5"/>
    <w:rsid w:val="73C90F70"/>
    <w:rsid w:val="73CC4A8A"/>
    <w:rsid w:val="73CF2112"/>
    <w:rsid w:val="73FC4C0D"/>
    <w:rsid w:val="74031361"/>
    <w:rsid w:val="740E2F75"/>
    <w:rsid w:val="74107AB0"/>
    <w:rsid w:val="74156F70"/>
    <w:rsid w:val="74347DC9"/>
    <w:rsid w:val="74380AEA"/>
    <w:rsid w:val="744B361C"/>
    <w:rsid w:val="74F41F6E"/>
    <w:rsid w:val="751402A4"/>
    <w:rsid w:val="752353CA"/>
    <w:rsid w:val="753A7F99"/>
    <w:rsid w:val="75423881"/>
    <w:rsid w:val="75473CE8"/>
    <w:rsid w:val="75750F8F"/>
    <w:rsid w:val="757F60EB"/>
    <w:rsid w:val="75895884"/>
    <w:rsid w:val="758D3B87"/>
    <w:rsid w:val="758D6157"/>
    <w:rsid w:val="75A17B08"/>
    <w:rsid w:val="75BE1487"/>
    <w:rsid w:val="75D85A64"/>
    <w:rsid w:val="75DB55D4"/>
    <w:rsid w:val="75E52B7B"/>
    <w:rsid w:val="75E726F4"/>
    <w:rsid w:val="75F651A7"/>
    <w:rsid w:val="76121EC3"/>
    <w:rsid w:val="761C0D47"/>
    <w:rsid w:val="763929FF"/>
    <w:rsid w:val="76441E23"/>
    <w:rsid w:val="7647739D"/>
    <w:rsid w:val="76514429"/>
    <w:rsid w:val="7652121C"/>
    <w:rsid w:val="767E71CE"/>
    <w:rsid w:val="76882384"/>
    <w:rsid w:val="7696494E"/>
    <w:rsid w:val="76BC6E82"/>
    <w:rsid w:val="76CA7BAA"/>
    <w:rsid w:val="76D05215"/>
    <w:rsid w:val="771B70DF"/>
    <w:rsid w:val="77401B33"/>
    <w:rsid w:val="775200D6"/>
    <w:rsid w:val="777A35D1"/>
    <w:rsid w:val="777F291C"/>
    <w:rsid w:val="777F2C4F"/>
    <w:rsid w:val="77B176EA"/>
    <w:rsid w:val="77E242E4"/>
    <w:rsid w:val="77E500C2"/>
    <w:rsid w:val="77FC7CE8"/>
    <w:rsid w:val="7828402F"/>
    <w:rsid w:val="782F7DBE"/>
    <w:rsid w:val="787466AD"/>
    <w:rsid w:val="78B33C13"/>
    <w:rsid w:val="78B64B97"/>
    <w:rsid w:val="78C209AA"/>
    <w:rsid w:val="78E643BC"/>
    <w:rsid w:val="79343267"/>
    <w:rsid w:val="793741EC"/>
    <w:rsid w:val="79653A37"/>
    <w:rsid w:val="797A3AF5"/>
    <w:rsid w:val="79940D02"/>
    <w:rsid w:val="79DF7980"/>
    <w:rsid w:val="79F410BD"/>
    <w:rsid w:val="7A0567B7"/>
    <w:rsid w:val="7A2F4AD1"/>
    <w:rsid w:val="7A851910"/>
    <w:rsid w:val="7A8E1A35"/>
    <w:rsid w:val="7AAF2814"/>
    <w:rsid w:val="7AB2518E"/>
    <w:rsid w:val="7AB54F94"/>
    <w:rsid w:val="7AB855E2"/>
    <w:rsid w:val="7ACD1873"/>
    <w:rsid w:val="7AEC25B9"/>
    <w:rsid w:val="7AFA3C20"/>
    <w:rsid w:val="7B0434E3"/>
    <w:rsid w:val="7B361733"/>
    <w:rsid w:val="7B5A6470"/>
    <w:rsid w:val="7B682228"/>
    <w:rsid w:val="7B867165"/>
    <w:rsid w:val="7B885CE6"/>
    <w:rsid w:val="7BC457EB"/>
    <w:rsid w:val="7BD44AB5"/>
    <w:rsid w:val="7BE81701"/>
    <w:rsid w:val="7BFA75E1"/>
    <w:rsid w:val="7C121E50"/>
    <w:rsid w:val="7C264CF7"/>
    <w:rsid w:val="7C2C3997"/>
    <w:rsid w:val="7C376D58"/>
    <w:rsid w:val="7C5870DB"/>
    <w:rsid w:val="7C694FA8"/>
    <w:rsid w:val="7C6F7D4B"/>
    <w:rsid w:val="7C88585D"/>
    <w:rsid w:val="7CAE5A9D"/>
    <w:rsid w:val="7CC97FE2"/>
    <w:rsid w:val="7CD70944"/>
    <w:rsid w:val="7CF85A11"/>
    <w:rsid w:val="7D0F47E5"/>
    <w:rsid w:val="7D133243"/>
    <w:rsid w:val="7D204AD7"/>
    <w:rsid w:val="7D2C2AE8"/>
    <w:rsid w:val="7D3A3102"/>
    <w:rsid w:val="7DB54FCA"/>
    <w:rsid w:val="7DBB5120"/>
    <w:rsid w:val="7DCE6121"/>
    <w:rsid w:val="7DD563C2"/>
    <w:rsid w:val="7E09485E"/>
    <w:rsid w:val="7E1253C9"/>
    <w:rsid w:val="7E1A5807"/>
    <w:rsid w:val="7E2F4C44"/>
    <w:rsid w:val="7E676FEC"/>
    <w:rsid w:val="7EBF26AD"/>
    <w:rsid w:val="7F174905"/>
    <w:rsid w:val="7F315094"/>
    <w:rsid w:val="7F335379"/>
    <w:rsid w:val="7F4A4AFB"/>
    <w:rsid w:val="7F620AD8"/>
    <w:rsid w:val="7F64295C"/>
    <w:rsid w:val="7F926ADA"/>
    <w:rsid w:val="7FA64BF0"/>
    <w:rsid w:val="7FB8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paragraph" w:styleId="4">
    <w:name w:val="heading 1"/>
    <w:basedOn w:val="1"/>
    <w:next w:val="1"/>
    <w:link w:val="45"/>
    <w:qFormat/>
    <w:uiPriority w:val="0"/>
    <w:pPr>
      <w:keepNext/>
      <w:keepLines/>
      <w:spacing w:before="340" w:after="330" w:line="360" w:lineRule="auto"/>
      <w:outlineLvl w:val="0"/>
    </w:pPr>
    <w:rPr>
      <w:rFonts w:ascii="Times New Roman" w:hAnsi="Times New Roman"/>
      <w:b/>
      <w:kern w:val="44"/>
      <w:sz w:val="44"/>
    </w:rPr>
  </w:style>
  <w:style w:type="paragraph" w:styleId="5">
    <w:name w:val="heading 2"/>
    <w:basedOn w:val="1"/>
    <w:next w:val="1"/>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styleId="6">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afterLines="0"/>
      <w:ind w:left="480" w:leftChars="200" w:firstLine="210" w:firstLineChars="100"/>
    </w:pPr>
    <w:rPr>
      <w:rFonts w:ascii="DFKai-SB" w:hAnsi="Times New Roman" w:eastAsia="DFKai-SB"/>
      <w:sz w:val="28"/>
      <w:lang w:eastAsia="zh-TW"/>
    </w:rPr>
  </w:style>
  <w:style w:type="paragraph" w:styleId="3">
    <w:name w:val="Body Text Indent"/>
    <w:basedOn w:val="1"/>
    <w:qFormat/>
    <w:uiPriority w:val="0"/>
    <w:pPr>
      <w:spacing w:after="120"/>
      <w:ind w:left="420" w:leftChars="200"/>
    </w:pPr>
  </w:style>
  <w:style w:type="paragraph" w:styleId="8">
    <w:name w:val="List 3"/>
    <w:basedOn w:val="1"/>
    <w:qFormat/>
    <w:uiPriority w:val="0"/>
    <w:pPr>
      <w:widowControl w:val="0"/>
      <w:ind w:left="100" w:leftChars="400" w:hanging="200" w:hangingChars="200"/>
      <w:jc w:val="both"/>
    </w:pPr>
    <w:rPr>
      <w:kern w:val="2"/>
      <w:sz w:val="21"/>
      <w:szCs w:val="24"/>
    </w:rPr>
  </w:style>
  <w:style w:type="paragraph" w:styleId="9">
    <w:name w:val="toc 7"/>
    <w:basedOn w:val="1"/>
    <w:next w:val="1"/>
    <w:semiHidden/>
    <w:qFormat/>
    <w:uiPriority w:val="0"/>
    <w:pPr>
      <w:ind w:left="2520" w:leftChars="1200"/>
    </w:pPr>
  </w:style>
  <w:style w:type="paragraph" w:styleId="10">
    <w:name w:val="Normal Indent"/>
    <w:basedOn w:val="1"/>
    <w:qFormat/>
    <w:uiPriority w:val="0"/>
    <w:pPr>
      <w:ind w:firstLine="420"/>
    </w:pPr>
    <w:rPr>
      <w:kern w:val="2"/>
      <w:sz w:val="21"/>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semiHidden/>
    <w:qFormat/>
    <w:uiPriority w:val="0"/>
    <w:pPr>
      <w:shd w:val="clear" w:color="auto" w:fill="000080"/>
    </w:pPr>
  </w:style>
  <w:style w:type="paragraph" w:styleId="13">
    <w:name w:val="toa heading"/>
    <w:basedOn w:val="1"/>
    <w:next w:val="1"/>
    <w:semiHidden/>
    <w:qFormat/>
    <w:uiPriority w:val="0"/>
    <w:pPr>
      <w:widowControl w:val="0"/>
      <w:spacing w:before="120"/>
      <w:jc w:val="both"/>
    </w:pPr>
    <w:rPr>
      <w:rFonts w:ascii="Arial" w:hAnsi="Arial"/>
      <w:kern w:val="2"/>
      <w:sz w:val="24"/>
    </w:rPr>
  </w:style>
  <w:style w:type="paragraph" w:styleId="14">
    <w:name w:val="annotation text"/>
    <w:basedOn w:val="1"/>
    <w:semiHidden/>
    <w:qFormat/>
    <w:uiPriority w:val="0"/>
  </w:style>
  <w:style w:type="paragraph" w:styleId="15">
    <w:name w:val="Salutation"/>
    <w:basedOn w:val="1"/>
    <w:next w:val="1"/>
    <w:qFormat/>
    <w:uiPriority w:val="0"/>
    <w:pPr>
      <w:widowControl w:val="0"/>
      <w:jc w:val="both"/>
    </w:pPr>
    <w:rPr>
      <w:kern w:val="2"/>
      <w:sz w:val="28"/>
      <w:szCs w:val="24"/>
    </w:rPr>
  </w:style>
  <w:style w:type="paragraph" w:styleId="16">
    <w:name w:val="Body Text 3"/>
    <w:basedOn w:val="1"/>
    <w:qFormat/>
    <w:uiPriority w:val="0"/>
    <w:pPr>
      <w:widowControl w:val="0"/>
      <w:spacing w:line="360" w:lineRule="auto"/>
      <w:jc w:val="both"/>
    </w:pPr>
    <w:rPr>
      <w:rFonts w:ascii="仿宋_GB2312" w:hAnsi="宋体" w:eastAsia="仿宋_GB2312"/>
      <w:bCs/>
      <w:sz w:val="24"/>
      <w:szCs w:val="30"/>
    </w:rPr>
  </w:style>
  <w:style w:type="paragraph" w:styleId="17">
    <w:name w:val="Body Text"/>
    <w:basedOn w:val="1"/>
    <w:qFormat/>
    <w:uiPriority w:val="0"/>
    <w:pPr>
      <w:spacing w:line="360" w:lineRule="auto"/>
    </w:pPr>
    <w:rPr>
      <w:rFonts w:ascii="宋体"/>
      <w:sz w:val="24"/>
    </w:rPr>
  </w:style>
  <w:style w:type="paragraph" w:styleId="18">
    <w:name w:val="toc 5"/>
    <w:basedOn w:val="1"/>
    <w:next w:val="1"/>
    <w:semiHidden/>
    <w:qFormat/>
    <w:uiPriority w:val="0"/>
    <w:pPr>
      <w:ind w:left="1680" w:leftChars="800"/>
    </w:pPr>
  </w:style>
  <w:style w:type="paragraph" w:styleId="19">
    <w:name w:val="toc 3"/>
    <w:basedOn w:val="1"/>
    <w:next w:val="1"/>
    <w:semiHidden/>
    <w:qFormat/>
    <w:uiPriority w:val="0"/>
    <w:pPr>
      <w:ind w:left="840" w:leftChars="400"/>
    </w:pPr>
  </w:style>
  <w:style w:type="paragraph" w:styleId="20">
    <w:name w:val="Plain Text"/>
    <w:basedOn w:val="1"/>
    <w:qFormat/>
    <w:uiPriority w:val="0"/>
    <w:pPr>
      <w:widowControl w:val="0"/>
      <w:jc w:val="both"/>
    </w:pPr>
    <w:rPr>
      <w:rFonts w:ascii="宋体" w:hAnsi="Courier New"/>
      <w:kern w:val="2"/>
      <w:sz w:val="21"/>
    </w:rPr>
  </w:style>
  <w:style w:type="paragraph" w:styleId="21">
    <w:name w:val="toc 8"/>
    <w:basedOn w:val="1"/>
    <w:next w:val="1"/>
    <w:semiHidden/>
    <w:qFormat/>
    <w:uiPriority w:val="0"/>
    <w:pPr>
      <w:ind w:left="2940" w:leftChars="1400"/>
    </w:pPr>
  </w:style>
  <w:style w:type="paragraph" w:styleId="22">
    <w:name w:val="Date"/>
    <w:basedOn w:val="1"/>
    <w:next w:val="1"/>
    <w:qFormat/>
    <w:uiPriority w:val="0"/>
    <w:pPr>
      <w:ind w:left="100" w:leftChars="2500"/>
    </w:pPr>
  </w:style>
  <w:style w:type="paragraph" w:styleId="23">
    <w:name w:val="Body Text Indent 2"/>
    <w:basedOn w:val="1"/>
    <w:qFormat/>
    <w:uiPriority w:val="0"/>
    <w:pPr>
      <w:spacing w:after="120" w:line="480" w:lineRule="auto"/>
      <w:ind w:left="420" w:leftChars="200"/>
    </w:pPr>
  </w:style>
  <w:style w:type="paragraph" w:styleId="24">
    <w:name w:val="Balloon Text"/>
    <w:basedOn w:val="1"/>
    <w:semiHidden/>
    <w:qFormat/>
    <w:uiPriority w:val="0"/>
    <w:rPr>
      <w:sz w:val="18"/>
      <w:szCs w:val="18"/>
    </w:rPr>
  </w:style>
  <w:style w:type="paragraph" w:styleId="25">
    <w:name w:val="footer"/>
    <w:basedOn w:val="1"/>
    <w:link w:val="57"/>
    <w:qFormat/>
    <w:uiPriority w:val="99"/>
    <w:pPr>
      <w:tabs>
        <w:tab w:val="center" w:pos="4153"/>
        <w:tab w:val="right" w:pos="8306"/>
      </w:tabs>
      <w:snapToGrid w:val="0"/>
    </w:pPr>
    <w:rPr>
      <w:sz w:val="18"/>
    </w:rPr>
  </w:style>
  <w:style w:type="paragraph" w:styleId="26">
    <w:name w:val="header"/>
    <w:basedOn w:val="1"/>
    <w:link w:val="48"/>
    <w:qFormat/>
    <w:uiPriority w:val="99"/>
    <w:pPr>
      <w:pBdr>
        <w:bottom w:val="single" w:color="auto" w:sz="6" w:space="1"/>
      </w:pBdr>
      <w:tabs>
        <w:tab w:val="center" w:pos="4153"/>
        <w:tab w:val="right" w:pos="8306"/>
      </w:tabs>
      <w:adjustRightInd w:val="0"/>
      <w:snapToGrid w:val="0"/>
      <w:jc w:val="center"/>
    </w:pPr>
    <w:rPr>
      <w:sz w:val="18"/>
    </w:rPr>
  </w:style>
  <w:style w:type="paragraph" w:styleId="27">
    <w:name w:val="toc 1"/>
    <w:basedOn w:val="1"/>
    <w:next w:val="1"/>
    <w:qFormat/>
    <w:uiPriority w:val="39"/>
  </w:style>
  <w:style w:type="paragraph" w:styleId="28">
    <w:name w:val="toc 4"/>
    <w:basedOn w:val="1"/>
    <w:next w:val="1"/>
    <w:semiHidden/>
    <w:qFormat/>
    <w:uiPriority w:val="0"/>
    <w:pPr>
      <w:ind w:left="1260" w:leftChars="600"/>
    </w:pPr>
  </w:style>
  <w:style w:type="paragraph" w:styleId="29">
    <w:name w:val="toc 6"/>
    <w:basedOn w:val="1"/>
    <w:next w:val="1"/>
    <w:semiHidden/>
    <w:qFormat/>
    <w:uiPriority w:val="0"/>
    <w:pPr>
      <w:ind w:left="2100" w:leftChars="1000"/>
    </w:pPr>
  </w:style>
  <w:style w:type="paragraph" w:styleId="30">
    <w:name w:val="toc 2"/>
    <w:basedOn w:val="1"/>
    <w:next w:val="1"/>
    <w:qFormat/>
    <w:uiPriority w:val="39"/>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widowControl w:val="0"/>
      <w:spacing w:after="120" w:line="480" w:lineRule="auto"/>
      <w:jc w:val="both"/>
    </w:pPr>
    <w:rPr>
      <w:kern w:val="2"/>
      <w:sz w:val="21"/>
      <w:szCs w:val="24"/>
    </w:rPr>
  </w:style>
  <w:style w:type="paragraph" w:styleId="33">
    <w:name w:val="List 4"/>
    <w:basedOn w:val="1"/>
    <w:qFormat/>
    <w:uiPriority w:val="0"/>
    <w:pPr>
      <w:ind w:left="100" w:leftChars="600" w:hanging="200" w:hangingChars="200"/>
      <w:contextualSpacing/>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rPr>
  </w:style>
  <w:style w:type="paragraph" w:styleId="35">
    <w:name w:val="Normal (Web)"/>
    <w:basedOn w:val="1"/>
    <w:qFormat/>
    <w:uiPriority w:val="0"/>
    <w:pPr>
      <w:spacing w:before="100" w:beforeAutospacing="1" w:after="100" w:afterAutospacing="1"/>
    </w:pPr>
    <w:rPr>
      <w:rFonts w:ascii="宋体" w:hAnsi="宋体" w:cs="宋体"/>
      <w:sz w:val="24"/>
      <w:szCs w:val="24"/>
    </w:rPr>
  </w:style>
  <w:style w:type="paragraph" w:styleId="36">
    <w:name w:val="annotation subject"/>
    <w:basedOn w:val="14"/>
    <w:next w:val="14"/>
    <w:semiHidden/>
    <w:qFormat/>
    <w:uiPriority w:val="0"/>
    <w:rPr>
      <w:b/>
      <w:bCs/>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rFonts w:ascii="Tahoma" w:hAnsi="Tahoma"/>
      <w:b/>
      <w:bCs/>
      <w:kern w:val="2"/>
      <w:sz w:val="24"/>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rFonts w:ascii="Tahoma" w:hAnsi="Tahoma"/>
      <w:color w:val="0000FF"/>
      <w:kern w:val="2"/>
      <w:sz w:val="24"/>
      <w:u w:val="single"/>
    </w:rPr>
  </w:style>
  <w:style w:type="character" w:styleId="44">
    <w:name w:val="annotation reference"/>
    <w:semiHidden/>
    <w:qFormat/>
    <w:uiPriority w:val="0"/>
    <w:rPr>
      <w:sz w:val="21"/>
      <w:szCs w:val="21"/>
    </w:rPr>
  </w:style>
  <w:style w:type="character" w:customStyle="1" w:styleId="45">
    <w:name w:val="标题 1 Char"/>
    <w:link w:val="4"/>
    <w:qFormat/>
    <w:uiPriority w:val="0"/>
    <w:rPr>
      <w:rFonts w:ascii="Times New Roman" w:hAnsi="Times New Roman" w:eastAsia="宋体"/>
      <w:b/>
      <w:kern w:val="44"/>
      <w:sz w:val="44"/>
    </w:rPr>
  </w:style>
  <w:style w:type="paragraph" w:styleId="46">
    <w:name w:val="List Paragraph"/>
    <w:basedOn w:val="1"/>
    <w:qFormat/>
    <w:uiPriority w:val="34"/>
    <w:pPr>
      <w:ind w:firstLine="420" w:firstLineChars="200"/>
    </w:pPr>
  </w:style>
  <w:style w:type="paragraph" w:customStyle="1" w:styleId="47">
    <w:name w:val="_Style 65"/>
    <w:basedOn w:val="1"/>
    <w:qFormat/>
    <w:uiPriority w:val="0"/>
    <w:pPr>
      <w:widowControl w:val="0"/>
      <w:jc w:val="both"/>
    </w:pPr>
    <w:rPr>
      <w:rFonts w:ascii="Tahoma" w:hAnsi="Tahoma"/>
      <w:kern w:val="2"/>
      <w:sz w:val="24"/>
    </w:rPr>
  </w:style>
  <w:style w:type="character" w:customStyle="1" w:styleId="48">
    <w:name w:val="页眉 Char"/>
    <w:link w:val="26"/>
    <w:qFormat/>
    <w:uiPriority w:val="99"/>
    <w:rPr>
      <w:rFonts w:eastAsia="宋体"/>
      <w:sz w:val="18"/>
    </w:rPr>
  </w:style>
  <w:style w:type="character" w:customStyle="1" w:styleId="49">
    <w:name w:val="样式9 Char Char"/>
    <w:link w:val="50"/>
    <w:qFormat/>
    <w:uiPriority w:val="0"/>
    <w:rPr>
      <w:rFonts w:eastAsia="宋体"/>
      <w:spacing w:val="6"/>
      <w:sz w:val="24"/>
      <w:lang w:val="en-US" w:eastAsia="zh-CN" w:bidi="ar-SA"/>
    </w:rPr>
  </w:style>
  <w:style w:type="paragraph" w:customStyle="1" w:styleId="50">
    <w:name w:val="样式9 Char"/>
    <w:basedOn w:val="1"/>
    <w:link w:val="49"/>
    <w:qFormat/>
    <w:uiPriority w:val="0"/>
    <w:pPr>
      <w:spacing w:line="440" w:lineRule="exact"/>
      <w:ind w:firstLine="200" w:firstLineChars="200"/>
    </w:pPr>
    <w:rPr>
      <w:spacing w:val="6"/>
      <w:sz w:val="24"/>
    </w:rPr>
  </w:style>
  <w:style w:type="character" w:customStyle="1" w:styleId="51">
    <w:name w:val="10pblank"/>
    <w:basedOn w:val="39"/>
    <w:qFormat/>
    <w:uiPriority w:val="0"/>
  </w:style>
  <w:style w:type="character" w:customStyle="1" w:styleId="52">
    <w:name w:val="l4"/>
    <w:basedOn w:val="39"/>
    <w:qFormat/>
    <w:uiPriority w:val="0"/>
  </w:style>
  <w:style w:type="character" w:customStyle="1" w:styleId="53">
    <w:name w:val="标题 2 Char1"/>
    <w:qFormat/>
    <w:uiPriority w:val="0"/>
    <w:rPr>
      <w:rFonts w:ascii="Arial" w:hAnsi="Arial" w:eastAsia="黑体" w:cs="Arial"/>
      <w:b/>
      <w:bCs/>
      <w:kern w:val="2"/>
      <w:sz w:val="32"/>
      <w:szCs w:val="32"/>
      <w:lang w:val="en-US" w:eastAsia="zh-CN"/>
    </w:rPr>
  </w:style>
  <w:style w:type="character" w:customStyle="1" w:styleId="54">
    <w:name w:val="样式1 Char"/>
    <w:link w:val="55"/>
    <w:qFormat/>
    <w:uiPriority w:val="0"/>
    <w:rPr>
      <w:rFonts w:eastAsia="宋体"/>
      <w:spacing w:val="6"/>
      <w:sz w:val="28"/>
      <w:lang w:val="en-US" w:eastAsia="zh-CN" w:bidi="ar-SA"/>
    </w:rPr>
  </w:style>
  <w:style w:type="paragraph" w:customStyle="1" w:styleId="55">
    <w:name w:val="样式1"/>
    <w:basedOn w:val="1"/>
    <w:link w:val="54"/>
    <w:qFormat/>
    <w:uiPriority w:val="0"/>
    <w:pPr>
      <w:spacing w:line="480" w:lineRule="exact"/>
      <w:ind w:firstLine="584" w:firstLineChars="200"/>
    </w:pPr>
    <w:rPr>
      <w:spacing w:val="6"/>
      <w:sz w:val="28"/>
    </w:rPr>
  </w:style>
  <w:style w:type="character" w:customStyle="1" w:styleId="56">
    <w:name w:val="9p"/>
    <w:basedOn w:val="39"/>
    <w:qFormat/>
    <w:uiPriority w:val="0"/>
  </w:style>
  <w:style w:type="character" w:customStyle="1" w:styleId="57">
    <w:name w:val="页脚 Char"/>
    <w:link w:val="25"/>
    <w:qFormat/>
    <w:uiPriority w:val="99"/>
    <w:rPr>
      <w:sz w:val="18"/>
    </w:rPr>
  </w:style>
  <w:style w:type="character" w:customStyle="1" w:styleId="58">
    <w:name w:val="font01"/>
    <w:qFormat/>
    <w:uiPriority w:val="0"/>
    <w:rPr>
      <w:rFonts w:hint="eastAsia" w:ascii="宋体" w:hAnsi="宋体" w:eastAsia="宋体" w:cs="宋体"/>
      <w:color w:val="000000"/>
      <w:kern w:val="2"/>
      <w:sz w:val="18"/>
      <w:szCs w:val="18"/>
      <w:u w:val="none"/>
    </w:rPr>
  </w:style>
  <w:style w:type="paragraph" w:customStyle="1" w:styleId="59">
    <w:name w:val="默认段落字体 Para Char Char Char Char Char Char Char Char Char Char Char Char Char"/>
    <w:basedOn w:val="12"/>
    <w:qFormat/>
    <w:uiPriority w:val="0"/>
    <w:pPr>
      <w:widowControl w:val="0"/>
      <w:jc w:val="both"/>
    </w:pPr>
    <w:rPr>
      <w:rFonts w:ascii="Tahoma" w:hAnsi="Tahoma"/>
      <w:kern w:val="2"/>
      <w:sz w:val="24"/>
      <w:szCs w:val="24"/>
    </w:rPr>
  </w:style>
  <w:style w:type="paragraph" w:customStyle="1" w:styleId="60">
    <w:name w:val="样式21"/>
    <w:basedOn w:val="1"/>
    <w:qFormat/>
    <w:uiPriority w:val="0"/>
    <w:pPr>
      <w:spacing w:beforeLines="50" w:line="480" w:lineRule="exact"/>
      <w:ind w:firstLine="584" w:firstLineChars="200"/>
    </w:pPr>
    <w:rPr>
      <w:spacing w:val="6"/>
      <w:sz w:val="28"/>
      <w:szCs w:val="28"/>
    </w:rPr>
  </w:style>
  <w:style w:type="paragraph" w:customStyle="1" w:styleId="61">
    <w:name w:val="Char Char1 Char Char Char Char Char Char"/>
    <w:basedOn w:val="1"/>
    <w:qFormat/>
    <w:uiPriority w:val="0"/>
    <w:pPr>
      <w:adjustRightInd w:val="0"/>
      <w:snapToGrid w:val="0"/>
      <w:spacing w:beforeLines="25" w:afterLines="25" w:line="240" w:lineRule="exact"/>
      <w:ind w:firstLine="560" w:firstLineChars="192"/>
    </w:pPr>
    <w:rPr>
      <w:rFonts w:ascii="宋体" w:hAnsi="宋体"/>
      <w:sz w:val="28"/>
      <w:szCs w:val="28"/>
      <w:lang w:eastAsia="en-US"/>
    </w:rPr>
  </w:style>
  <w:style w:type="paragraph" w:customStyle="1" w:styleId="62">
    <w:name w:val="Char Char Char Char Char Char Char Char Char Char"/>
    <w:basedOn w:val="1"/>
    <w:qFormat/>
    <w:uiPriority w:val="0"/>
    <w:pPr>
      <w:widowControl w:val="0"/>
      <w:jc w:val="both"/>
    </w:pPr>
    <w:rPr>
      <w:kern w:val="2"/>
      <w:sz w:val="21"/>
      <w:szCs w:val="24"/>
    </w:rPr>
  </w:style>
  <w:style w:type="paragraph" w:customStyle="1" w:styleId="63">
    <w:name w:val="样式5"/>
    <w:basedOn w:val="1"/>
    <w:qFormat/>
    <w:uiPriority w:val="0"/>
    <w:pPr>
      <w:spacing w:line="480" w:lineRule="exact"/>
    </w:pPr>
    <w:rPr>
      <w:rFonts w:eastAsia="黑体"/>
      <w:spacing w:val="6"/>
      <w:sz w:val="28"/>
    </w:rPr>
  </w:style>
  <w:style w:type="paragraph" w:customStyle="1" w:styleId="64">
    <w:name w:val="样式7"/>
    <w:basedOn w:val="1"/>
    <w:qFormat/>
    <w:uiPriority w:val="0"/>
    <w:pPr>
      <w:spacing w:line="480" w:lineRule="exact"/>
      <w:jc w:val="center"/>
    </w:pPr>
    <w:rPr>
      <w:rFonts w:eastAsia="方正大标宋简体"/>
      <w:spacing w:val="6"/>
      <w:sz w:val="44"/>
    </w:rPr>
  </w:style>
  <w:style w:type="paragraph" w:customStyle="1" w:styleId="65">
    <w:name w:val="Char Char"/>
    <w:basedOn w:val="12"/>
    <w:qFormat/>
    <w:uiPriority w:val="0"/>
    <w:pPr>
      <w:widowControl w:val="0"/>
      <w:jc w:val="both"/>
    </w:pPr>
    <w:rPr>
      <w:rFonts w:ascii="Tahoma" w:hAnsi="Tahoma"/>
      <w:kern w:val="2"/>
      <w:sz w:val="24"/>
      <w:szCs w:val="24"/>
    </w:rPr>
  </w:style>
  <w:style w:type="paragraph" w:customStyle="1" w:styleId="66">
    <w:name w:val="样式19"/>
    <w:basedOn w:val="55"/>
    <w:qFormat/>
    <w:uiPriority w:val="0"/>
    <w:pPr>
      <w:spacing w:beforeLines="50" w:line="440" w:lineRule="exact"/>
      <w:ind w:firstLine="200"/>
    </w:pPr>
    <w:rPr>
      <w:rFonts w:ascii="Arial" w:hAnsi="Arial" w:eastAsia="黑体"/>
      <w:sz w:val="24"/>
    </w:rPr>
  </w:style>
  <w:style w:type="paragraph" w:customStyle="1" w:styleId="67">
    <w:name w:val="样式14"/>
    <w:basedOn w:val="1"/>
    <w:qFormat/>
    <w:uiPriority w:val="0"/>
    <w:pPr>
      <w:spacing w:line="440" w:lineRule="exact"/>
      <w:ind w:firstLine="504" w:firstLineChars="200"/>
      <w:jc w:val="right"/>
    </w:pPr>
    <w:rPr>
      <w:rFonts w:eastAsia="黑体"/>
      <w:spacing w:val="6"/>
      <w:sz w:val="24"/>
    </w:rPr>
  </w:style>
  <w:style w:type="paragraph" w:customStyle="1" w:styleId="68">
    <w:name w:val="修订1"/>
    <w:unhideWhenUsed/>
    <w:qFormat/>
    <w:uiPriority w:val="99"/>
    <w:rPr>
      <w:rFonts w:ascii="Calibri" w:hAnsi="Calibri" w:eastAsia="宋体" w:cs="Times New Roman"/>
      <w:lang w:val="en-US" w:eastAsia="zh-CN" w:bidi="ar-SA"/>
    </w:rPr>
  </w:style>
  <w:style w:type="paragraph" w:customStyle="1" w:styleId="69">
    <w:name w:val="样式17"/>
    <w:basedOn w:val="50"/>
    <w:qFormat/>
    <w:uiPriority w:val="0"/>
    <w:pPr>
      <w:ind w:firstLine="0" w:firstLineChars="0"/>
    </w:pPr>
  </w:style>
  <w:style w:type="paragraph" w:customStyle="1" w:styleId="70">
    <w:name w:val="List Paragraph1"/>
    <w:basedOn w:val="1"/>
    <w:qFormat/>
    <w:uiPriority w:val="34"/>
    <w:pPr>
      <w:ind w:firstLine="420" w:firstLineChars="200"/>
    </w:pPr>
  </w:style>
  <w:style w:type="paragraph" w:customStyle="1" w:styleId="71">
    <w:name w:val="Char1 Char Char Char"/>
    <w:basedOn w:val="1"/>
    <w:qFormat/>
    <w:uiPriority w:val="0"/>
    <w:rPr>
      <w:rFonts w:ascii="Tahoma" w:hAnsi="Tahoma"/>
      <w:sz w:val="24"/>
    </w:rPr>
  </w:style>
  <w:style w:type="paragraph" w:customStyle="1" w:styleId="72">
    <w:name w:val="正文文本缩进 31"/>
    <w:basedOn w:val="1"/>
    <w:qFormat/>
    <w:uiPriority w:val="0"/>
    <w:pPr>
      <w:widowControl w:val="0"/>
      <w:adjustRightInd w:val="0"/>
      <w:spacing w:after="120"/>
      <w:ind w:left="420"/>
      <w:jc w:val="both"/>
      <w:textAlignment w:val="baseline"/>
    </w:pPr>
    <w:rPr>
      <w:kern w:val="2"/>
      <w:sz w:val="16"/>
    </w:rPr>
  </w:style>
  <w:style w:type="paragraph" w:customStyle="1" w:styleId="73">
    <w:name w:val="样式20"/>
    <w:basedOn w:val="55"/>
    <w:qFormat/>
    <w:uiPriority w:val="0"/>
    <w:pPr>
      <w:spacing w:beforeLines="50"/>
    </w:pPr>
    <w:rPr>
      <w:szCs w:val="28"/>
    </w:rPr>
  </w:style>
  <w:style w:type="paragraph" w:customStyle="1" w:styleId="74">
    <w:name w:val="样式22"/>
    <w:basedOn w:val="1"/>
    <w:qFormat/>
    <w:uiPriority w:val="0"/>
    <w:pPr>
      <w:spacing w:beforeLines="50" w:line="440" w:lineRule="exact"/>
      <w:ind w:firstLine="504" w:firstLineChars="200"/>
    </w:pPr>
    <w:rPr>
      <w:spacing w:val="6"/>
      <w:sz w:val="24"/>
    </w:rPr>
  </w:style>
  <w:style w:type="paragraph" w:customStyle="1" w:styleId="75">
    <w:name w:val="Char"/>
    <w:basedOn w:val="1"/>
    <w:qFormat/>
    <w:uiPriority w:val="0"/>
    <w:pPr>
      <w:widowControl w:val="0"/>
      <w:jc w:val="both"/>
    </w:pPr>
    <w:rPr>
      <w:rFonts w:ascii="仿宋_GB2312" w:eastAsia="仿宋_GB2312"/>
      <w:b/>
      <w:kern w:val="2"/>
      <w:sz w:val="32"/>
      <w:szCs w:val="32"/>
    </w:rPr>
  </w:style>
  <w:style w:type="paragraph" w:customStyle="1" w:styleId="76">
    <w:name w:val="样式3"/>
    <w:basedOn w:val="1"/>
    <w:qFormat/>
    <w:uiPriority w:val="0"/>
    <w:pPr>
      <w:spacing w:line="480" w:lineRule="exact"/>
      <w:jc w:val="center"/>
    </w:pPr>
    <w:rPr>
      <w:rFonts w:ascii="Arial" w:hAnsi="Arial" w:eastAsia="黑体"/>
      <w:spacing w:val="6"/>
      <w:sz w:val="32"/>
    </w:rPr>
  </w:style>
  <w:style w:type="paragraph" w:customStyle="1" w:styleId="77">
    <w:name w:val="样式13"/>
    <w:basedOn w:val="1"/>
    <w:qFormat/>
    <w:uiPriority w:val="0"/>
    <w:pPr>
      <w:spacing w:line="440" w:lineRule="exact"/>
    </w:pPr>
    <w:rPr>
      <w:rFonts w:eastAsia="黑体"/>
      <w:spacing w:val="6"/>
      <w:sz w:val="24"/>
    </w:rPr>
  </w:style>
  <w:style w:type="paragraph" w:customStyle="1" w:styleId="78">
    <w:name w:val="样式10"/>
    <w:basedOn w:val="1"/>
    <w:qFormat/>
    <w:uiPriority w:val="0"/>
    <w:pPr>
      <w:spacing w:line="480" w:lineRule="exact"/>
      <w:jc w:val="center"/>
    </w:pPr>
    <w:rPr>
      <w:rFonts w:eastAsia="黑体"/>
      <w:spacing w:val="6"/>
      <w:sz w:val="36"/>
    </w:rPr>
  </w:style>
  <w:style w:type="paragraph" w:customStyle="1" w:styleId="79">
    <w:name w:val="样式11"/>
    <w:basedOn w:val="78"/>
    <w:qFormat/>
    <w:uiPriority w:val="0"/>
    <w:rPr>
      <w:rFonts w:eastAsia="方正大标宋简体"/>
    </w:rPr>
  </w:style>
  <w:style w:type="paragraph" w:customStyle="1" w:styleId="80">
    <w:name w:val="样式4"/>
    <w:basedOn w:val="1"/>
    <w:qFormat/>
    <w:uiPriority w:val="0"/>
    <w:pPr>
      <w:spacing w:line="480" w:lineRule="exact"/>
      <w:ind w:firstLine="584" w:firstLineChars="200"/>
    </w:pPr>
    <w:rPr>
      <w:rFonts w:eastAsia="黑体"/>
      <w:spacing w:val="6"/>
      <w:sz w:val="28"/>
    </w:rPr>
  </w:style>
  <w:style w:type="paragraph" w:customStyle="1" w:styleId="81">
    <w:name w:val="样式6"/>
    <w:basedOn w:val="1"/>
    <w:qFormat/>
    <w:uiPriority w:val="0"/>
    <w:pPr>
      <w:spacing w:line="480" w:lineRule="exact"/>
      <w:jc w:val="right"/>
    </w:pPr>
    <w:rPr>
      <w:rFonts w:eastAsia="黑体"/>
      <w:spacing w:val="6"/>
      <w:sz w:val="28"/>
    </w:rPr>
  </w:style>
  <w:style w:type="paragraph" w:customStyle="1" w:styleId="82">
    <w:name w:val="样式15"/>
    <w:basedOn w:val="1"/>
    <w:qFormat/>
    <w:uiPriority w:val="0"/>
    <w:pPr>
      <w:spacing w:line="480" w:lineRule="exact"/>
      <w:ind w:firstLine="664" w:firstLineChars="200"/>
    </w:pPr>
    <w:rPr>
      <w:rFonts w:ascii="黑体" w:eastAsia="黑体"/>
      <w:spacing w:val="6"/>
      <w:sz w:val="32"/>
    </w:rPr>
  </w:style>
  <w:style w:type="paragraph" w:customStyle="1" w:styleId="83">
    <w:name w:val="Char Char Char Char"/>
    <w:basedOn w:val="12"/>
    <w:qFormat/>
    <w:uiPriority w:val="0"/>
    <w:pPr>
      <w:widowControl w:val="0"/>
      <w:jc w:val="both"/>
    </w:pPr>
    <w:rPr>
      <w:rFonts w:ascii="Tahoma" w:hAnsi="Tahoma"/>
      <w:kern w:val="2"/>
      <w:sz w:val="24"/>
      <w:szCs w:val="24"/>
    </w:rPr>
  </w:style>
  <w:style w:type="paragraph" w:customStyle="1" w:styleId="84">
    <w:name w:val="样式16"/>
    <w:basedOn w:val="79"/>
    <w:qFormat/>
    <w:uiPriority w:val="0"/>
    <w:pPr>
      <w:spacing w:line="360" w:lineRule="exact"/>
      <w:ind w:firstLine="200" w:firstLineChars="200"/>
      <w:jc w:val="both"/>
    </w:pPr>
    <w:rPr>
      <w:rFonts w:eastAsia="宋体"/>
      <w:spacing w:val="2"/>
      <w:sz w:val="24"/>
    </w:rPr>
  </w:style>
  <w:style w:type="paragraph" w:customStyle="1" w:styleId="85">
    <w:name w:val="Char1"/>
    <w:basedOn w:val="1"/>
    <w:semiHidden/>
    <w:qFormat/>
    <w:uiPriority w:val="0"/>
    <w:pPr>
      <w:widowControl w:val="0"/>
      <w:jc w:val="both"/>
    </w:pPr>
    <w:rPr>
      <w:rFonts w:ascii="Tahoma" w:hAnsi="Tahoma" w:cs="仿宋_GB2312"/>
      <w:kern w:val="2"/>
      <w:sz w:val="24"/>
      <w:szCs w:val="28"/>
    </w:rPr>
  </w:style>
  <w:style w:type="paragraph" w:customStyle="1" w:styleId="86">
    <w:name w:val="简单回函地址"/>
    <w:basedOn w:val="1"/>
    <w:qFormat/>
    <w:uiPriority w:val="0"/>
    <w:pPr>
      <w:widowControl w:val="0"/>
      <w:jc w:val="both"/>
    </w:pPr>
    <w:rPr>
      <w:rFonts w:ascii="宋体" w:hAnsi="宋体"/>
      <w:bCs/>
      <w:color w:val="000000"/>
      <w:kern w:val="2"/>
      <w:sz w:val="24"/>
      <w:szCs w:val="21"/>
    </w:rPr>
  </w:style>
  <w:style w:type="paragraph" w:customStyle="1" w:styleId="87">
    <w:name w:val="样式8"/>
    <w:basedOn w:val="1"/>
    <w:qFormat/>
    <w:uiPriority w:val="0"/>
    <w:pPr>
      <w:spacing w:line="480" w:lineRule="exact"/>
      <w:jc w:val="center"/>
    </w:pPr>
    <w:rPr>
      <w:rFonts w:eastAsia="方正大标宋简体"/>
      <w:spacing w:val="6"/>
      <w:sz w:val="32"/>
    </w:rPr>
  </w:style>
  <w:style w:type="paragraph" w:customStyle="1" w:styleId="88">
    <w:name w:val="样式12"/>
    <w:basedOn w:val="1"/>
    <w:qFormat/>
    <w:uiPriority w:val="0"/>
    <w:pPr>
      <w:spacing w:line="440" w:lineRule="exact"/>
      <w:ind w:firstLine="504" w:firstLineChars="200"/>
    </w:pPr>
    <w:rPr>
      <w:rFonts w:ascii="Arial" w:hAnsi="Arial" w:eastAsia="黑体"/>
      <w:spacing w:val="6"/>
      <w:sz w:val="24"/>
    </w:rPr>
  </w:style>
  <w:style w:type="paragraph" w:customStyle="1" w:styleId="89">
    <w:name w:val="样式2"/>
    <w:basedOn w:val="1"/>
    <w:qFormat/>
    <w:uiPriority w:val="0"/>
    <w:pPr>
      <w:spacing w:line="480" w:lineRule="exact"/>
      <w:jc w:val="center"/>
    </w:pPr>
    <w:rPr>
      <w:rFonts w:eastAsia="黑体"/>
      <w:spacing w:val="6"/>
      <w:sz w:val="44"/>
    </w:rPr>
  </w:style>
  <w:style w:type="paragraph" w:customStyle="1" w:styleId="90">
    <w:name w:val="样式29"/>
    <w:basedOn w:val="50"/>
    <w:qFormat/>
    <w:uiPriority w:val="0"/>
    <w:rPr>
      <w:rFonts w:eastAsia="楷体_GB2312"/>
    </w:rPr>
  </w:style>
  <w:style w:type="paragraph" w:customStyle="1" w:styleId="91">
    <w:name w:val="_Style 4"/>
    <w:basedOn w:val="1"/>
    <w:next w:val="1"/>
    <w:qFormat/>
    <w:uiPriority w:val="1"/>
    <w:pPr>
      <w:spacing w:beforeLines="40" w:afterLines="30"/>
      <w:jc w:val="center"/>
    </w:pPr>
    <w:rPr>
      <w:rFonts w:eastAsia="黑体"/>
      <w:sz w:val="24"/>
      <w:szCs w:val="22"/>
    </w:rPr>
  </w:style>
  <w:style w:type="paragraph" w:customStyle="1" w:styleId="92">
    <w:name w:val="Char1 Char Char Char Char Char Char"/>
    <w:basedOn w:val="1"/>
    <w:qFormat/>
    <w:uiPriority w:val="0"/>
    <w:pPr>
      <w:widowControl w:val="0"/>
      <w:jc w:val="both"/>
    </w:pPr>
    <w:rPr>
      <w:rFonts w:ascii="Tahoma" w:hAnsi="Tahoma"/>
      <w:kern w:val="2"/>
      <w:sz w:val="24"/>
    </w:rPr>
  </w:style>
  <w:style w:type="paragraph" w:customStyle="1" w:styleId="93">
    <w:name w:val="样式18"/>
    <w:basedOn w:val="78"/>
    <w:qFormat/>
    <w:uiPriority w:val="0"/>
    <w:rPr>
      <w:sz w:val="28"/>
    </w:rPr>
  </w:style>
  <w:style w:type="paragraph" w:customStyle="1" w:styleId="94">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95">
    <w:name w:val="无间隔1"/>
    <w:qFormat/>
    <w:uiPriority w:val="1"/>
    <w:pPr>
      <w:widowControl w:val="0"/>
      <w:jc w:val="both"/>
    </w:pPr>
    <w:rPr>
      <w:rFonts w:ascii="Calibri" w:hAnsi="Calibri" w:eastAsia="宋体" w:cs="宋体"/>
      <w:kern w:val="2"/>
      <w:sz w:val="21"/>
      <w:szCs w:val="24"/>
      <w:lang w:val="en-US" w:eastAsia="zh-CN" w:bidi="ar-SA"/>
    </w:rPr>
  </w:style>
  <w:style w:type="paragraph" w:customStyle="1" w:styleId="96">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customStyle="1" w:styleId="9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98">
    <w:name w:val="closes"/>
    <w:basedOn w:val="39"/>
    <w:qFormat/>
    <w:uiPriority w:val="0"/>
  </w:style>
  <w:style w:type="character" w:customStyle="1" w:styleId="99">
    <w:name w:val="print"/>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586EB-46BB-4B93-BD78-CAF639F627F8}">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59</Pages>
  <Words>19974</Words>
  <Characters>20638</Characters>
  <Lines>195</Lines>
  <Paragraphs>54</Paragraphs>
  <TotalTime>19</TotalTime>
  <ScaleCrop>false</ScaleCrop>
  <LinksUpToDate>false</LinksUpToDate>
  <CharactersWithSpaces>24539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2018-08-24T08:01:00Z</dcterms:created>
  <dc:creator>MC SYSTEM</dc:creator>
  <dc:description>年   月   日	年   月   日	年   月   日_x000d_年    月    日_x000d_1．技术评审（40分）_x000d_年   月   日_x000d_</dc:description>
  <cp:keywords>分 年 月 日 二 </cp:keywords>
  <cp:lastModifiedBy>Administrator</cp:lastModifiedBy>
  <cp:lastPrinted>2018-05-28T10:55:00Z</cp:lastPrinted>
  <dcterms:modified xsi:type="dcterms:W3CDTF">2019-11-26T08:50:37Z</dcterms:modified>
  <dc:title>编号：JNATJZ-002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