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7"/>
        <w:pageBreakBefore w:val="0"/>
        <w:kinsoku/>
        <w:wordWrap/>
        <w:topLinePunct w:val="0"/>
        <w:bidi w:val="0"/>
        <w:adjustRightInd w:val="0"/>
        <w:snapToGrid w:val="0"/>
        <w:spacing w:afterAutospacing="0" w:line="360" w:lineRule="auto"/>
        <w:ind w:firstLine="260" w:firstLineChars="200"/>
        <w:textAlignment w:val="auto"/>
        <w:rPr>
          <w:rFonts w:hint="eastAsia" w:ascii="宋体" w:hAnsi="宋体" w:eastAsia="宋体" w:cs="宋体"/>
          <w:color w:val="auto"/>
          <w:sz w:val="13"/>
          <w:szCs w:val="13"/>
          <w:highlight w:val="none"/>
          <w:lang w:val="en-US" w:eastAsia="zh-CN"/>
        </w:rPr>
      </w:pPr>
      <w:r>
        <w:rPr>
          <w:rFonts w:hint="eastAsia" w:hAnsi="宋体" w:cs="宋体"/>
          <w:color w:val="auto"/>
          <w:sz w:val="13"/>
          <w:szCs w:val="13"/>
          <w:highlight w:val="none"/>
          <w:lang w:val="en-US" w:eastAsia="zh-CN"/>
        </w:rPr>
        <w:t xml:space="preserve"> </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color w:val="auto"/>
          <w:sz w:val="40"/>
          <w:szCs w:val="40"/>
          <w:highlight w:val="none"/>
          <w:lang w:eastAsia="zh-CN"/>
        </w:rPr>
      </w:pP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bCs/>
          <w:color w:val="auto"/>
          <w:sz w:val="18"/>
          <w:szCs w:val="18"/>
          <w:highlight w:val="none"/>
          <w:lang w:val="zh-CN" w:eastAsia="zh-CN"/>
        </w:rPr>
      </w:pPr>
      <w:r>
        <w:rPr>
          <w:rFonts w:hint="eastAsia" w:ascii="宋体" w:hAnsi="宋体" w:cs="宋体"/>
          <w:b/>
          <w:color w:val="auto"/>
          <w:sz w:val="40"/>
          <w:szCs w:val="40"/>
          <w:highlight w:val="none"/>
          <w:lang w:eastAsia="zh-CN"/>
        </w:rPr>
        <w:t>济南高新技术产业开发区临港街道办事处（章锦街道办事处）东岸嘉园社区党群服务中心打造提升项目</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b/>
          <w:bCs/>
          <w:color w:val="auto"/>
          <w:sz w:val="56"/>
          <w:szCs w:val="56"/>
          <w:highlight w:val="none"/>
          <w:lang w:val="zh-CN"/>
        </w:rPr>
      </w:pPr>
      <w:bookmarkStart w:id="332" w:name="_GoBack"/>
      <w:bookmarkEnd w:id="332"/>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bCs/>
          <w:color w:val="auto"/>
          <w:sz w:val="52"/>
          <w:szCs w:val="52"/>
          <w:highlight w:val="none"/>
          <w:lang w:val="zh-CN"/>
        </w:rPr>
      </w:pPr>
      <w:r>
        <w:rPr>
          <w:rFonts w:hint="eastAsia" w:ascii="宋体" w:hAnsi="宋体" w:eastAsia="宋体" w:cs="宋体"/>
          <w:b/>
          <w:bCs/>
          <w:color w:val="auto"/>
          <w:sz w:val="52"/>
          <w:szCs w:val="52"/>
          <w:highlight w:val="none"/>
          <w:lang w:val="zh-CN"/>
        </w:rPr>
        <w:t>竞争性磋商文件</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drawing>
          <wp:inline distT="0" distB="0" distL="0" distR="0">
            <wp:extent cx="2376170" cy="2305050"/>
            <wp:effectExtent l="0" t="0" r="0" b="0"/>
            <wp:docPr id="1" name="图片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LOGO"/>
                    <pic:cNvPicPr>
                      <a:picLocks noChangeAspect="1" noChangeArrowheads="1"/>
                    </pic:cNvPicPr>
                  </pic:nvPicPr>
                  <pic:blipFill>
                    <a:blip r:embed="rId7" cstate="print"/>
                    <a:srcRect/>
                    <a:stretch>
                      <a:fillRect/>
                    </a:stretch>
                  </pic:blipFill>
                  <pic:spPr>
                    <a:xfrm>
                      <a:off x="0" y="0"/>
                      <a:ext cx="2376170" cy="2305050"/>
                    </a:xfrm>
                    <a:prstGeom prst="rect">
                      <a:avLst/>
                    </a:prstGeom>
                    <a:noFill/>
                    <a:ln w="9525" cmpd="sng">
                      <a:noFill/>
                      <a:miter lim="800000"/>
                      <a:headEnd/>
                      <a:tailEnd/>
                    </a:ln>
                    <a:effectLst/>
                  </pic:spPr>
                </pic:pic>
              </a:graphicData>
            </a:graphic>
          </wp:inline>
        </w:drawing>
      </w:r>
    </w:p>
    <w:p>
      <w:pPr>
        <w:pageBreakBefore w:val="0"/>
        <w:kinsoku/>
        <w:wordWrap/>
        <w:topLinePunct w:val="0"/>
        <w:bidi w:val="0"/>
        <w:adjustRightInd w:val="0"/>
        <w:snapToGrid w:val="0"/>
        <w:spacing w:afterAutospacing="0" w:line="360" w:lineRule="auto"/>
        <w:ind w:firstLine="161"/>
        <w:jc w:val="both"/>
        <w:textAlignment w:val="auto"/>
        <w:rPr>
          <w:rFonts w:hint="eastAsia" w:ascii="宋体" w:hAnsi="宋体" w:eastAsia="宋体" w:cs="宋体"/>
          <w:b/>
          <w:color w:val="auto"/>
          <w:sz w:val="32"/>
          <w:szCs w:val="32"/>
          <w:highlight w:val="none"/>
        </w:rPr>
      </w:pPr>
    </w:p>
    <w:p>
      <w:pPr>
        <w:pageBreakBefore w:val="0"/>
        <w:kinsoku/>
        <w:wordWrap/>
        <w:topLinePunct w:val="0"/>
        <w:bidi w:val="0"/>
        <w:adjustRightInd w:val="0"/>
        <w:snapToGrid w:val="0"/>
        <w:spacing w:afterAutospacing="0" w:line="360" w:lineRule="auto"/>
        <w:ind w:firstLine="161"/>
        <w:jc w:val="center"/>
        <w:textAlignment w:val="auto"/>
        <w:rPr>
          <w:rFonts w:hint="eastAsia" w:ascii="宋体" w:hAnsi="宋体" w:eastAsia="宋体" w:cs="宋体"/>
          <w:b/>
          <w:color w:val="auto"/>
          <w:sz w:val="32"/>
          <w:highlight w:val="none"/>
          <w:lang w:val="en-US" w:eastAsia="zh-CN"/>
        </w:rPr>
      </w:pPr>
      <w:r>
        <w:rPr>
          <w:rFonts w:hint="eastAsia" w:ascii="宋体" w:hAnsi="宋体" w:eastAsia="宋体" w:cs="宋体"/>
          <w:b/>
          <w:bCs/>
          <w:color w:val="auto"/>
          <w:sz w:val="32"/>
          <w:szCs w:val="32"/>
          <w:highlight w:val="none"/>
        </w:rPr>
        <w:t>项目编号：</w:t>
      </w:r>
      <w:r>
        <w:rPr>
          <w:rFonts w:hint="eastAsia" w:ascii="宋体" w:hAnsi="宋体" w:cs="宋体"/>
          <w:b/>
          <w:bCs/>
          <w:color w:val="auto"/>
          <w:sz w:val="32"/>
          <w:szCs w:val="32"/>
          <w:highlight w:val="none"/>
          <w:lang w:eastAsia="zh-CN"/>
        </w:rPr>
        <w:t>SDLD2019CS048</w:t>
      </w:r>
    </w:p>
    <w:p>
      <w:pPr>
        <w:pageBreakBefore w:val="0"/>
        <w:kinsoku/>
        <w:wordWrap/>
        <w:topLinePunct w:val="0"/>
        <w:bidi w:val="0"/>
        <w:adjustRightInd w:val="0"/>
        <w:snapToGrid w:val="0"/>
        <w:spacing w:afterAutospacing="0" w:line="360" w:lineRule="auto"/>
        <w:jc w:val="left"/>
        <w:textAlignment w:val="auto"/>
        <w:rPr>
          <w:rFonts w:hint="eastAsia" w:ascii="宋体" w:hAnsi="宋体" w:eastAsia="宋体" w:cs="宋体"/>
          <w:b/>
          <w:color w:val="auto"/>
          <w:sz w:val="36"/>
          <w:szCs w:val="36"/>
          <w:highlight w:val="none"/>
        </w:rPr>
      </w:pPr>
    </w:p>
    <w:p>
      <w:pPr>
        <w:pStyle w:val="2"/>
        <w:rPr>
          <w:rFonts w:hint="eastAsia"/>
        </w:rPr>
      </w:pPr>
    </w:p>
    <w:p>
      <w:pPr>
        <w:pageBreakBefore w:val="0"/>
        <w:kinsoku/>
        <w:wordWrap/>
        <w:topLinePunct w:val="0"/>
        <w:bidi w:val="0"/>
        <w:adjustRightInd w:val="0"/>
        <w:snapToGrid w:val="0"/>
        <w:spacing w:afterAutospacing="0" w:line="360" w:lineRule="auto"/>
        <w:ind w:left="3215" w:leftChars="642" w:hanging="1931" w:hangingChars="601"/>
        <w:jc w:val="left"/>
        <w:textAlignment w:val="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采购人：济南高新技术产业开发区临港街道办事处</w:t>
      </w:r>
    </w:p>
    <w:p>
      <w:pPr>
        <w:pageBreakBefore w:val="0"/>
        <w:kinsoku/>
        <w:wordWrap/>
        <w:topLinePunct w:val="0"/>
        <w:bidi w:val="0"/>
        <w:adjustRightInd w:val="0"/>
        <w:snapToGrid w:val="0"/>
        <w:spacing w:afterAutospacing="0" w:line="360" w:lineRule="auto"/>
        <w:ind w:left="3207" w:leftChars="1282" w:hanging="643" w:hangingChars="200"/>
        <w:jc w:val="left"/>
        <w:textAlignment w:val="auto"/>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（章锦街道办事处）</w:t>
      </w:r>
    </w:p>
    <w:p>
      <w:pPr>
        <w:pageBreakBefore w:val="0"/>
        <w:kinsoku/>
        <w:wordWrap/>
        <w:topLinePunct w:val="0"/>
        <w:bidi w:val="0"/>
        <w:adjustRightInd w:val="0"/>
        <w:snapToGrid w:val="0"/>
        <w:spacing w:afterAutospacing="0" w:line="360" w:lineRule="auto"/>
        <w:ind w:left="3215" w:leftChars="642" w:hanging="1931" w:hangingChars="601"/>
        <w:jc w:val="left"/>
        <w:textAlignment w:val="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采购代理单位：山东蓝盾招标代理有限公司</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w:t>
      </w:r>
      <w:r>
        <w:rPr>
          <w:rFonts w:hint="eastAsia" w:ascii="宋体" w:hAnsi="宋体" w:eastAsia="宋体" w:cs="宋体"/>
          <w:b/>
          <w:color w:val="auto"/>
          <w:sz w:val="32"/>
          <w:szCs w:val="32"/>
          <w:highlight w:val="none"/>
          <w:lang w:eastAsia="zh-CN"/>
        </w:rPr>
        <w:t>〇</w:t>
      </w:r>
      <w:r>
        <w:rPr>
          <w:rFonts w:hint="eastAsia" w:ascii="宋体" w:hAnsi="宋体" w:eastAsia="宋体" w:cs="宋体"/>
          <w:b/>
          <w:color w:val="auto"/>
          <w:sz w:val="32"/>
          <w:szCs w:val="32"/>
          <w:highlight w:val="none"/>
        </w:rPr>
        <w:t>一</w:t>
      </w:r>
      <w:r>
        <w:rPr>
          <w:rFonts w:hint="eastAsia" w:ascii="宋体" w:hAnsi="宋体" w:eastAsia="宋体" w:cs="宋体"/>
          <w:b/>
          <w:color w:val="auto"/>
          <w:sz w:val="32"/>
          <w:szCs w:val="32"/>
          <w:highlight w:val="none"/>
          <w:lang w:eastAsia="zh-CN"/>
        </w:rPr>
        <w:t>九</w:t>
      </w:r>
      <w:r>
        <w:rPr>
          <w:rFonts w:hint="eastAsia" w:ascii="宋体" w:hAnsi="宋体" w:eastAsia="宋体" w:cs="宋体"/>
          <w:b/>
          <w:color w:val="auto"/>
          <w:sz w:val="32"/>
          <w:szCs w:val="32"/>
          <w:highlight w:val="none"/>
        </w:rPr>
        <w:t>年</w:t>
      </w:r>
      <w:r>
        <w:rPr>
          <w:rFonts w:hint="eastAsia" w:ascii="宋体" w:hAnsi="宋体" w:eastAsia="宋体" w:cs="宋体"/>
          <w:b/>
          <w:color w:val="auto"/>
          <w:sz w:val="32"/>
          <w:szCs w:val="32"/>
          <w:highlight w:val="none"/>
          <w:lang w:eastAsia="zh-CN"/>
        </w:rPr>
        <w:t>十一</w:t>
      </w:r>
      <w:r>
        <w:rPr>
          <w:rFonts w:hint="eastAsia" w:ascii="宋体" w:hAnsi="宋体" w:eastAsia="宋体" w:cs="宋体"/>
          <w:b/>
          <w:color w:val="auto"/>
          <w:sz w:val="32"/>
          <w:szCs w:val="32"/>
          <w:highlight w:val="none"/>
        </w:rPr>
        <w:t>月</w:t>
      </w:r>
    </w:p>
    <w:p>
      <w:pPr>
        <w:pStyle w:val="2"/>
        <w:rPr>
          <w:rFonts w:hint="eastAsia"/>
        </w:rPr>
      </w:pPr>
    </w:p>
    <w:p>
      <w:pPr>
        <w:pStyle w:val="13"/>
        <w:pageBreakBefore w:val="0"/>
        <w:kinsoku/>
        <w:wordWrap/>
        <w:topLinePunct w:val="0"/>
        <w:bidi w:val="0"/>
        <w:adjustRightInd w:val="0"/>
        <w:snapToGrid w:val="0"/>
        <w:spacing w:before="0" w:afterAutospacing="0" w:line="360" w:lineRule="auto"/>
        <w:textAlignment w:val="auto"/>
        <w:rPr>
          <w:rFonts w:hint="eastAsia" w:ascii="宋体" w:hAnsi="宋体" w:eastAsia="宋体" w:cs="宋体"/>
          <w:lang w:eastAsia="zh-CN"/>
        </w:rPr>
        <w:sectPr>
          <w:headerReference r:id="rId3" w:type="default"/>
          <w:footerReference r:id="rId4" w:type="default"/>
          <w:pgSz w:w="11907" w:h="16840"/>
          <w:pgMar w:top="1247" w:right="882" w:bottom="1134" w:left="1418" w:header="851" w:footer="720" w:gutter="0"/>
          <w:pgNumType w:fmt="decimal" w:start="1"/>
          <w:cols w:space="720" w:num="1"/>
        </w:sectPr>
      </w:pPr>
    </w:p>
    <w:p>
      <w:pPr>
        <w:pStyle w:val="27"/>
        <w:pageBreakBefore w:val="0"/>
        <w:tabs>
          <w:tab w:val="right" w:leader="dot" w:pos="9607"/>
        </w:tabs>
        <w:kinsoku/>
        <w:wordWrap/>
        <w:topLinePunct w:val="0"/>
        <w:bidi w:val="0"/>
        <w:adjustRightInd w:val="0"/>
        <w:snapToGrid w:val="0"/>
        <w:spacing w:afterAutospacing="0" w:line="360" w:lineRule="auto"/>
        <w:jc w:val="center"/>
        <w:textAlignment w:val="auto"/>
        <w:rPr>
          <w:rFonts w:hint="eastAsia" w:ascii="宋体" w:hAnsi="宋体" w:eastAsia="宋体" w:cs="宋体"/>
          <w:b/>
          <w:color w:val="auto"/>
          <w:sz w:val="36"/>
          <w:szCs w:val="36"/>
          <w:highlight w:val="none"/>
        </w:rPr>
      </w:pPr>
      <w:bookmarkStart w:id="0" w:name="_Toc17167"/>
      <w:bookmarkStart w:id="1" w:name="_Toc1034"/>
      <w:bookmarkStart w:id="2" w:name="_Toc25549"/>
      <w:bookmarkStart w:id="3" w:name="_Toc23491"/>
      <w:bookmarkStart w:id="4" w:name="_Toc18592"/>
      <w:bookmarkStart w:id="5" w:name="_Toc372"/>
      <w:bookmarkStart w:id="6" w:name="_Toc11161"/>
      <w:bookmarkStart w:id="7" w:name="_Toc17428"/>
      <w:bookmarkStart w:id="8" w:name="_Toc28219"/>
      <w:bookmarkStart w:id="9" w:name="_Toc5056"/>
      <w:bookmarkStart w:id="10" w:name="_Toc10842"/>
      <w:bookmarkStart w:id="11" w:name="_Toc6567"/>
      <w:bookmarkStart w:id="12" w:name="_Toc4472"/>
      <w:bookmarkStart w:id="13" w:name="_Toc21188"/>
      <w:bookmarkStart w:id="14" w:name="_Toc757"/>
      <w:bookmarkStart w:id="15" w:name="_Toc181180296"/>
      <w:bookmarkStart w:id="16" w:name="_Toc183264282"/>
      <w:r>
        <w:rPr>
          <w:rFonts w:hint="eastAsia" w:ascii="宋体" w:hAnsi="宋体" w:eastAsia="宋体" w:cs="宋体"/>
          <w:b/>
          <w:color w:val="auto"/>
          <w:sz w:val="36"/>
          <w:szCs w:val="36"/>
          <w:highlight w:val="none"/>
        </w:rPr>
        <w:t>目    录</w:t>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TOC \o "1-1" \h \u </w:instrText>
      </w:r>
      <w:r>
        <w:rPr>
          <w:rFonts w:hint="eastAsia" w:ascii="宋体" w:hAnsi="宋体" w:eastAsia="宋体" w:cs="宋体"/>
          <w:b/>
          <w:color w:val="auto"/>
          <w:sz w:val="24"/>
          <w:szCs w:val="24"/>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"_Toc30227"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第一部分  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_Toc30227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"_Toc23570"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 xml:space="preserve">第二部分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_Toc23570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"_Toc17414"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第三部分  项目基本情况</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_Toc17414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"_Toc6787"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 xml:space="preserve">第四部分  </w:t>
      </w:r>
      <w:r>
        <w:rPr>
          <w:rFonts w:hint="eastAsia" w:ascii="宋体" w:hAnsi="宋体" w:cs="宋体"/>
          <w:color w:val="auto"/>
          <w:sz w:val="24"/>
          <w:szCs w:val="24"/>
          <w:highlight w:val="none"/>
          <w:lang w:eastAsia="zh-CN"/>
        </w:rPr>
        <w:t>磋商</w:t>
      </w: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成交</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_Toc6787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"_Toc5426"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第五部分  合同格式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_Toc5426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"_Toc28451"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第六部分  报价函部分格式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_Toc28451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"_Toc30217"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第七部分  附件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_Toc30217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"_Toc22216"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第八部分  报价文件商务部分格式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_Toc22216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"_Toc17578"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第九部分  报价文件技术部分格式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_Toc17578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"_Toc10522"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第十部分 评分办法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_Toc10522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"_Toc19046"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第十一部分 工程量清单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_Toc19046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64"/>
        <w:pageBreakBefore w:val="0"/>
        <w:kinsoku/>
        <w:wordWrap/>
        <w:topLinePunct w:val="0"/>
        <w:bidi w:val="0"/>
        <w:adjustRightInd w:val="0"/>
        <w:snapToGrid w:val="0"/>
        <w:spacing w:afterAutospacing="0" w:line="360" w:lineRule="auto"/>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end"/>
      </w:r>
    </w:p>
    <w:p>
      <w:pPr>
        <w:pStyle w:val="64"/>
        <w:pageBreakBefore w:val="0"/>
        <w:kinsoku/>
        <w:wordWrap/>
        <w:topLinePunct w:val="0"/>
        <w:bidi w:val="0"/>
        <w:adjustRightInd w:val="0"/>
        <w:snapToGrid w:val="0"/>
        <w:spacing w:afterAutospacing="0" w:line="360" w:lineRule="auto"/>
        <w:textAlignment w:val="auto"/>
        <w:outlineLvl w:val="0"/>
        <w:rPr>
          <w:rFonts w:hint="eastAsia" w:ascii="宋体" w:hAnsi="宋体" w:eastAsia="宋体" w:cs="宋体"/>
          <w:color w:val="auto"/>
          <w:szCs w:val="36"/>
          <w:highlight w:val="none"/>
        </w:rPr>
      </w:pPr>
    </w:p>
    <w:p>
      <w:pPr>
        <w:pStyle w:val="64"/>
        <w:pageBreakBefore w:val="0"/>
        <w:kinsoku/>
        <w:wordWrap/>
        <w:topLinePunct w:val="0"/>
        <w:bidi w:val="0"/>
        <w:adjustRightInd w:val="0"/>
        <w:snapToGrid w:val="0"/>
        <w:spacing w:afterAutospacing="0" w:line="360" w:lineRule="auto"/>
        <w:textAlignment w:val="auto"/>
        <w:outlineLvl w:val="0"/>
        <w:rPr>
          <w:rFonts w:hint="eastAsia" w:ascii="宋体" w:hAnsi="宋体" w:eastAsia="宋体" w:cs="宋体"/>
          <w:color w:val="auto"/>
          <w:szCs w:val="36"/>
          <w:highlight w:val="none"/>
        </w:rPr>
      </w:pPr>
    </w:p>
    <w:p>
      <w:pPr>
        <w:pStyle w:val="64"/>
        <w:pageBreakBefore w:val="0"/>
        <w:kinsoku/>
        <w:wordWrap/>
        <w:topLinePunct w:val="0"/>
        <w:bidi w:val="0"/>
        <w:adjustRightInd w:val="0"/>
        <w:snapToGrid w:val="0"/>
        <w:spacing w:afterAutospacing="0" w:line="360" w:lineRule="auto"/>
        <w:textAlignment w:val="auto"/>
        <w:outlineLvl w:val="0"/>
        <w:rPr>
          <w:rFonts w:hint="eastAsia" w:ascii="宋体" w:hAnsi="宋体" w:eastAsia="宋体" w:cs="宋体"/>
          <w:color w:val="auto"/>
          <w:szCs w:val="36"/>
          <w:highlight w:val="none"/>
        </w:rPr>
      </w:pPr>
    </w:p>
    <w:p>
      <w:pPr>
        <w:pStyle w:val="64"/>
        <w:pageBreakBefore w:val="0"/>
        <w:kinsoku/>
        <w:wordWrap/>
        <w:topLinePunct w:val="0"/>
        <w:bidi w:val="0"/>
        <w:adjustRightInd w:val="0"/>
        <w:snapToGrid w:val="0"/>
        <w:spacing w:afterAutospacing="0" w:line="360" w:lineRule="auto"/>
        <w:textAlignment w:val="auto"/>
        <w:outlineLvl w:val="0"/>
        <w:rPr>
          <w:rFonts w:hint="eastAsia" w:ascii="宋体" w:hAnsi="宋体" w:eastAsia="宋体" w:cs="宋体"/>
          <w:color w:val="auto"/>
          <w:szCs w:val="36"/>
          <w:highlight w:val="none"/>
        </w:rPr>
        <w:sectPr>
          <w:pgSz w:w="11906" w:h="16838"/>
          <w:pgMar w:top="1440" w:right="1134" w:bottom="1440" w:left="1134" w:header="851" w:footer="992" w:gutter="0"/>
          <w:cols w:space="720" w:num="1"/>
          <w:docGrid w:type="lines" w:linePitch="0" w:charSpace="0"/>
        </w:sectPr>
      </w:pPr>
    </w:p>
    <w:p>
      <w:pPr>
        <w:pStyle w:val="4"/>
        <w:keepNext/>
        <w:keepLines/>
        <w:pageBreakBefore w:val="0"/>
        <w:widowControl/>
        <w:kinsoku/>
        <w:wordWrap/>
        <w:overflowPunct/>
        <w:topLinePunct w:val="0"/>
        <w:autoSpaceDE/>
        <w:autoSpaceDN/>
        <w:bidi w:val="0"/>
        <w:adjustRightInd w:val="0"/>
        <w:snapToGrid w:val="0"/>
        <w:spacing w:before="0" w:after="0" w:afterAutospacing="0" w:line="360" w:lineRule="auto"/>
        <w:jc w:val="center"/>
        <w:textAlignment w:val="auto"/>
        <w:rPr>
          <w:rFonts w:hint="eastAsia" w:ascii="宋体" w:hAnsi="宋体" w:eastAsia="宋体" w:cs="宋体"/>
          <w:color w:val="auto"/>
          <w:sz w:val="40"/>
          <w:szCs w:val="40"/>
          <w:highlight w:val="none"/>
        </w:rPr>
      </w:pPr>
      <w:bookmarkStart w:id="17" w:name="_Toc30227"/>
      <w:r>
        <w:rPr>
          <w:rFonts w:hint="eastAsia" w:ascii="宋体" w:hAnsi="宋体" w:eastAsia="宋体" w:cs="宋体"/>
          <w:color w:val="auto"/>
          <w:sz w:val="40"/>
          <w:szCs w:val="40"/>
          <w:highlight w:val="none"/>
        </w:rPr>
        <w:t>第一部分  竞争性磋商公告</w:t>
      </w:r>
      <w:bookmarkEnd w:id="0"/>
      <w:bookmarkEnd w:id="1"/>
      <w:bookmarkEnd w:id="2"/>
      <w:bookmarkEnd w:id="3"/>
      <w:bookmarkEnd w:id="4"/>
      <w:bookmarkEnd w:id="5"/>
      <w:bookmarkEnd w:id="6"/>
      <w:bookmarkEnd w:id="7"/>
      <w:bookmarkEnd w:id="17"/>
    </w:p>
    <w:bookmarkEnd w:id="8"/>
    <w:bookmarkEnd w:id="9"/>
    <w:bookmarkEnd w:id="10"/>
    <w:bookmarkEnd w:id="11"/>
    <w:bookmarkEnd w:id="12"/>
    <w:bookmarkEnd w:id="13"/>
    <w:bookmarkEnd w:id="14"/>
    <w:p>
      <w:pPr>
        <w:pStyle w:val="5"/>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ascii="Times New Roman" w:hAnsi="Times New Roman"/>
          <w:b/>
          <w:bCs/>
          <w:kern w:val="2"/>
          <w:sz w:val="30"/>
          <w:szCs w:val="32"/>
          <w:highlight w:val="none"/>
          <w:lang w:val="en-US" w:eastAsia="zh-CN" w:bidi="ar-SA"/>
        </w:rPr>
      </w:pPr>
      <w:r>
        <w:rPr>
          <w:rFonts w:hint="eastAsia" w:ascii="Times New Roman" w:hAnsi="Times New Roman"/>
          <w:b/>
          <w:bCs/>
          <w:kern w:val="2"/>
          <w:sz w:val="30"/>
          <w:szCs w:val="32"/>
          <w:highlight w:val="none"/>
          <w:lang w:val="en-US" w:eastAsia="zh-CN" w:bidi="ar-SA"/>
        </w:rPr>
        <w:t>济南高新技术产业开发区临港街道办事处（章锦街道办事处）</w:t>
      </w:r>
    </w:p>
    <w:p>
      <w:pPr>
        <w:pStyle w:val="5"/>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ascii="Times New Roman" w:hAnsi="Times New Roman" w:eastAsia="宋体"/>
          <w:b/>
          <w:bCs/>
          <w:kern w:val="2"/>
          <w:sz w:val="30"/>
          <w:szCs w:val="32"/>
          <w:highlight w:val="none"/>
          <w:lang w:val="en-US" w:eastAsia="zh-CN" w:bidi="ar-SA"/>
        </w:rPr>
      </w:pPr>
      <w:r>
        <w:rPr>
          <w:rFonts w:hint="eastAsia" w:ascii="Times New Roman" w:hAnsi="Times New Roman"/>
          <w:b/>
          <w:bCs/>
          <w:kern w:val="2"/>
          <w:sz w:val="30"/>
          <w:szCs w:val="32"/>
          <w:highlight w:val="none"/>
          <w:lang w:val="en-US" w:eastAsia="zh-CN" w:bidi="ar-SA"/>
        </w:rPr>
        <w:t>东岸嘉园社区党群服务中心打造提升项目</w:t>
      </w:r>
      <w:r>
        <w:rPr>
          <w:rFonts w:hint="eastAsia"/>
          <w:b/>
          <w:bCs/>
          <w:kern w:val="2"/>
          <w:sz w:val="30"/>
          <w:szCs w:val="32"/>
          <w:highlight w:val="none"/>
          <w:lang w:val="en-US" w:eastAsia="zh-CN" w:bidi="ar-SA"/>
        </w:rPr>
        <w:t>竞争性磋商</w:t>
      </w:r>
      <w:r>
        <w:rPr>
          <w:rFonts w:hint="eastAsia" w:ascii="Times New Roman" w:hAnsi="Times New Roman" w:eastAsia="宋体"/>
          <w:b/>
          <w:bCs/>
          <w:kern w:val="2"/>
          <w:sz w:val="30"/>
          <w:szCs w:val="32"/>
          <w:highlight w:val="none"/>
          <w:lang w:val="en-US" w:eastAsia="zh-CN" w:bidi="ar-SA"/>
        </w:rPr>
        <w:t>公告</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cs="宋体"/>
          <w:sz w:val="24"/>
          <w:szCs w:val="24"/>
          <w:lang w:eastAsia="zh-CN"/>
        </w:rPr>
        <w:t>一、采购人</w:t>
      </w:r>
      <w:r>
        <w:rPr>
          <w:rFonts w:hint="eastAsia" w:ascii="宋体" w:hAnsi="宋体" w:eastAsia="宋体" w:cs="宋体"/>
          <w:sz w:val="24"/>
          <w:szCs w:val="24"/>
        </w:rPr>
        <w:t>：济南高新技术产业开发区临港街道办事处（章锦街道办事处）</w:t>
      </w:r>
    </w:p>
    <w:p>
      <w:pPr>
        <w:pStyle w:val="3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地址：济南市历城区港西路2099号港盛大厦</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sz w:val="24"/>
          <w:szCs w:val="24"/>
          <w:lang w:val="en-US" w:eastAsia="zh-CN"/>
        </w:rPr>
      </w:pPr>
      <w:r>
        <w:rPr>
          <w:rFonts w:hint="eastAsia" w:ascii="宋体" w:hAnsi="宋体" w:eastAsia="宋体" w:cs="宋体"/>
          <w:sz w:val="24"/>
          <w:szCs w:val="24"/>
          <w:lang w:val="zh-CN"/>
        </w:rPr>
        <w:t>联系人：</w:t>
      </w:r>
      <w:r>
        <w:rPr>
          <w:rFonts w:hint="eastAsia" w:ascii="宋体" w:hAnsi="宋体" w:cs="宋体"/>
          <w:sz w:val="24"/>
          <w:szCs w:val="24"/>
          <w:lang w:val="zh-CN" w:eastAsia="zh-CN"/>
        </w:rPr>
        <w:t>秦老师</w:t>
      </w:r>
      <w:r>
        <w:rPr>
          <w:rFonts w:hint="eastAsia" w:ascii="宋体" w:hAnsi="宋体" w:eastAsia="宋体" w:cs="宋体"/>
          <w:sz w:val="24"/>
          <w:szCs w:val="24"/>
          <w:lang w:val="en-US" w:eastAsia="zh-CN"/>
        </w:rPr>
        <w:t xml:space="preserve">  </w:t>
      </w:r>
      <w:r>
        <w:rPr>
          <w:rFonts w:hint="eastAsia" w:ascii="宋体" w:hAnsi="宋体" w:cs="宋体"/>
          <w:sz w:val="24"/>
          <w:szCs w:val="24"/>
          <w:lang w:val="en-US"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电话：</w:t>
      </w:r>
      <w:r>
        <w:rPr>
          <w:rFonts w:hint="eastAsia" w:ascii="宋体" w:hAnsi="宋体" w:cs="宋体"/>
          <w:sz w:val="24"/>
          <w:szCs w:val="24"/>
          <w:lang w:val="en-US" w:eastAsia="zh-CN"/>
        </w:rPr>
        <w:t>0531-88695912</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eastAsia="zh-CN"/>
        </w:rPr>
        <w:t>采购代理机构</w:t>
      </w:r>
      <w:r>
        <w:rPr>
          <w:rFonts w:hint="eastAsia" w:ascii="宋体" w:hAnsi="宋体" w:eastAsia="宋体" w:cs="宋体"/>
          <w:sz w:val="24"/>
          <w:szCs w:val="24"/>
        </w:rPr>
        <w:t>：山东蓝盾</w:t>
      </w:r>
      <w:r>
        <w:rPr>
          <w:rFonts w:hint="eastAsia" w:ascii="宋体" w:hAnsi="宋体" w:cs="宋体"/>
          <w:sz w:val="24"/>
          <w:szCs w:val="24"/>
          <w:lang w:eastAsia="zh-CN"/>
        </w:rPr>
        <w:t>招标代理</w:t>
      </w:r>
      <w:r>
        <w:rPr>
          <w:rFonts w:hint="eastAsia" w:ascii="宋体" w:hAnsi="宋体" w:eastAsia="宋体" w:cs="宋体"/>
          <w:sz w:val="24"/>
          <w:szCs w:val="24"/>
        </w:rPr>
        <w:t>有限公司</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sz w:val="24"/>
          <w:szCs w:val="24"/>
          <w:lang w:eastAsia="zh-CN"/>
        </w:rPr>
      </w:pPr>
      <w:r>
        <w:rPr>
          <w:rFonts w:hint="eastAsia" w:ascii="宋体" w:hAnsi="宋体" w:eastAsia="宋体" w:cs="宋体"/>
          <w:sz w:val="24"/>
          <w:szCs w:val="24"/>
        </w:rPr>
        <w:t>地址：</w:t>
      </w:r>
      <w:r>
        <w:rPr>
          <w:sz w:val="24"/>
          <w:szCs w:val="24"/>
        </w:rPr>
        <w:t>济南市工业南路</w:t>
      </w:r>
      <w:r>
        <w:rPr>
          <w:spacing w:val="-60"/>
          <w:sz w:val="24"/>
          <w:szCs w:val="24"/>
        </w:rPr>
        <w:t xml:space="preserve"> </w:t>
      </w:r>
      <w:r>
        <w:rPr>
          <w:sz w:val="24"/>
          <w:szCs w:val="24"/>
        </w:rPr>
        <w:t>59</w:t>
      </w:r>
      <w:r>
        <w:rPr>
          <w:spacing w:val="-60"/>
          <w:sz w:val="24"/>
          <w:szCs w:val="24"/>
        </w:rPr>
        <w:t xml:space="preserve"> </w:t>
      </w:r>
      <w:r>
        <w:rPr>
          <w:sz w:val="24"/>
          <w:szCs w:val="24"/>
        </w:rPr>
        <w:t>号中铁财智中心</w:t>
      </w:r>
      <w:r>
        <w:rPr>
          <w:spacing w:val="-60"/>
          <w:sz w:val="24"/>
          <w:szCs w:val="24"/>
        </w:rPr>
        <w:t xml:space="preserve"> </w:t>
      </w:r>
      <w:r>
        <w:rPr>
          <w:sz w:val="24"/>
          <w:szCs w:val="24"/>
        </w:rPr>
        <w:t>6</w:t>
      </w:r>
      <w:r>
        <w:rPr>
          <w:spacing w:val="-60"/>
          <w:sz w:val="24"/>
          <w:szCs w:val="24"/>
        </w:rPr>
        <w:t xml:space="preserve"> </w:t>
      </w:r>
      <w:r>
        <w:rPr>
          <w:sz w:val="24"/>
          <w:szCs w:val="24"/>
        </w:rPr>
        <w:t>号楼</w:t>
      </w:r>
      <w:r>
        <w:rPr>
          <w:spacing w:val="-60"/>
          <w:sz w:val="24"/>
          <w:szCs w:val="24"/>
        </w:rPr>
        <w:t xml:space="preserve"> </w:t>
      </w:r>
      <w:r>
        <w:rPr>
          <w:sz w:val="24"/>
          <w:szCs w:val="24"/>
        </w:rPr>
        <w:t>15</w:t>
      </w:r>
      <w:r>
        <w:rPr>
          <w:spacing w:val="-60"/>
          <w:sz w:val="24"/>
          <w:szCs w:val="24"/>
        </w:rPr>
        <w:t xml:space="preserve"> </w:t>
      </w:r>
      <w:r>
        <w:rPr>
          <w:sz w:val="24"/>
          <w:szCs w:val="24"/>
        </w:rPr>
        <w:t>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rPr>
        <w:t>联系人：</w:t>
      </w:r>
      <w:r>
        <w:rPr>
          <w:rFonts w:hint="eastAsia" w:ascii="宋体" w:hAnsi="宋体" w:cs="宋体"/>
          <w:sz w:val="24"/>
          <w:szCs w:val="24"/>
          <w:lang w:val="zh-CN"/>
        </w:rPr>
        <w:t>李同同</w:t>
      </w:r>
      <w:r>
        <w:rPr>
          <w:rFonts w:hint="eastAsia" w:ascii="宋体" w:hAnsi="宋体" w:eastAsia="宋体" w:cs="宋体"/>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zh-CN"/>
        </w:rPr>
        <w:t>联系方式：</w:t>
      </w:r>
      <w:r>
        <w:rPr>
          <w:rFonts w:hint="eastAsia" w:ascii="宋体" w:hAnsi="宋体" w:eastAsia="宋体" w:cs="宋体"/>
          <w:sz w:val="24"/>
          <w:szCs w:val="24"/>
        </w:rPr>
        <w:t>0531-88809762-801</w:t>
      </w:r>
      <w:r>
        <w:rPr>
          <w:rFonts w:hint="eastAsia" w:ascii="宋体" w:hAnsi="宋体" w:eastAsia="宋体" w:cs="宋体"/>
          <w:sz w:val="24"/>
          <w:szCs w:val="24"/>
          <w:lang w:val="en-US" w:eastAsia="zh-CN"/>
        </w:rPr>
        <w:t>7</w:t>
      </w:r>
      <w:r>
        <w:rPr>
          <w:rFonts w:hint="eastAsia" w:ascii="宋体" w:hAnsi="宋体" w:cs="宋体"/>
          <w:sz w:val="24"/>
          <w:szCs w:val="24"/>
          <w:lang w:val="en-US" w:eastAsia="zh-CN"/>
        </w:rPr>
        <w:t xml:space="preserve">  18596098629</w:t>
      </w:r>
    </w:p>
    <w:p>
      <w:pPr>
        <w:keepNext w:val="0"/>
        <w:keepLines w:val="0"/>
        <w:pageBreakBefore w:val="0"/>
        <w:widowControl w:val="0"/>
        <w:kinsoku/>
        <w:wordWrap/>
        <w:overflowPunct/>
        <w:topLinePunct w:val="0"/>
        <w:autoSpaceDE/>
        <w:autoSpaceDN/>
        <w:bidi w:val="0"/>
        <w:adjustRightInd w:val="0"/>
        <w:snapToGrid w:val="0"/>
        <w:spacing w:line="360" w:lineRule="auto"/>
        <w:ind w:left="1680" w:hanging="1680" w:hangingChars="700"/>
        <w:textAlignment w:val="auto"/>
        <w:rPr>
          <w:rFonts w:hint="eastAsia" w:eastAsia="宋体"/>
          <w:sz w:val="24"/>
          <w:szCs w:val="24"/>
          <w:lang w:val="zh-CN" w:eastAsia="zh-CN"/>
        </w:rPr>
      </w:pPr>
      <w:r>
        <w:rPr>
          <w:rFonts w:hint="eastAsia"/>
          <w:sz w:val="24"/>
          <w:szCs w:val="24"/>
        </w:rPr>
        <w:t>二</w:t>
      </w:r>
      <w:r>
        <w:rPr>
          <w:rFonts w:hint="eastAsia"/>
          <w:sz w:val="24"/>
          <w:szCs w:val="24"/>
          <w:lang w:eastAsia="zh-CN"/>
        </w:rPr>
        <w:t>、</w:t>
      </w:r>
      <w:r>
        <w:rPr>
          <w:rFonts w:hint="eastAsia"/>
          <w:sz w:val="24"/>
          <w:szCs w:val="24"/>
        </w:rPr>
        <w:t>项目名称：</w:t>
      </w:r>
      <w:r>
        <w:rPr>
          <w:rFonts w:hint="eastAsia"/>
          <w:sz w:val="24"/>
          <w:szCs w:val="24"/>
          <w:lang w:eastAsia="zh-CN"/>
        </w:rPr>
        <w:t>济南高新技术产业开发区临港街道办事处（章锦街道办事处）东岸嘉园社区党群服务中心打造提升项目</w:t>
      </w:r>
    </w:p>
    <w:p>
      <w:pPr>
        <w:keepNext w:val="0"/>
        <w:keepLines w:val="0"/>
        <w:pageBreakBefore w:val="0"/>
        <w:kinsoku/>
        <w:overflowPunct/>
        <w:topLinePunct w:val="0"/>
        <w:autoSpaceDE/>
        <w:autoSpaceDN/>
        <w:bidi w:val="0"/>
        <w:adjustRightInd w:val="0"/>
        <w:snapToGrid w:val="0"/>
        <w:spacing w:line="360" w:lineRule="auto"/>
        <w:ind w:firstLine="480" w:firstLineChars="200"/>
        <w:textAlignment w:val="auto"/>
        <w:rPr>
          <w:rFonts w:hint="eastAsia" w:ascii="宋体" w:hAnsi="宋体" w:eastAsia="宋体"/>
          <w:color w:val="000000"/>
          <w:sz w:val="24"/>
          <w:szCs w:val="24"/>
          <w:highlight w:val="yellow"/>
          <w:lang w:val="en-US" w:eastAsia="zh-CN"/>
        </w:rPr>
      </w:pPr>
      <w:r>
        <w:rPr>
          <w:rFonts w:hint="eastAsia" w:ascii="宋体" w:hAnsi="宋体" w:eastAsia="宋体" w:cs="宋体"/>
          <w:sz w:val="24"/>
          <w:szCs w:val="24"/>
          <w:highlight w:val="none"/>
          <w:lang w:eastAsia="zh-CN"/>
        </w:rPr>
        <w:t>项目编号：</w:t>
      </w:r>
      <w:r>
        <w:rPr>
          <w:rFonts w:hint="eastAsia" w:ascii="宋体" w:hAnsi="宋体"/>
          <w:color w:val="000000"/>
          <w:sz w:val="24"/>
          <w:szCs w:val="24"/>
          <w:highlight w:val="none"/>
          <w:lang w:eastAsia="zh-CN"/>
        </w:rPr>
        <w:t>SDLD2019CS048</w:t>
      </w:r>
    </w:p>
    <w:p>
      <w:pPr>
        <w:keepNext w:val="0"/>
        <w:keepLines w:val="0"/>
        <w:pageBreakBefore w:val="0"/>
        <w:kinsoku/>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sz w:val="24"/>
          <w:szCs w:val="24"/>
        </w:rPr>
        <w:t>分包情况:</w:t>
      </w:r>
    </w:p>
    <w:tbl>
      <w:tblPr>
        <w:tblStyle w:val="37"/>
        <w:tblW w:w="1034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0"/>
        <w:gridCol w:w="1731"/>
        <w:gridCol w:w="754"/>
        <w:gridCol w:w="5539"/>
        <w:gridCol w:w="142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autoSpaceDE/>
              <w:autoSpaceDN/>
              <w:bidi w:val="0"/>
              <w:adjustRightInd w:val="0"/>
              <w:snapToGrid w:val="0"/>
              <w:spacing w:line="360" w:lineRule="auto"/>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标包</w:t>
            </w:r>
          </w:p>
        </w:tc>
        <w:tc>
          <w:tcPr>
            <w:tcW w:w="17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autoSpaceDE/>
              <w:autoSpaceDN/>
              <w:bidi w:val="0"/>
              <w:adjustRightInd w:val="0"/>
              <w:snapToGrid w:val="0"/>
              <w:spacing w:line="360" w:lineRule="auto"/>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lang w:eastAsia="zh-CN"/>
              </w:rPr>
              <w:t>项目</w:t>
            </w:r>
            <w:r>
              <w:rPr>
                <w:rFonts w:hint="eastAsia" w:ascii="宋体" w:hAnsi="宋体" w:eastAsia="宋体" w:cs="宋体"/>
                <w:kern w:val="0"/>
                <w:sz w:val="24"/>
                <w:szCs w:val="24"/>
              </w:rPr>
              <w:t>名称</w:t>
            </w:r>
          </w:p>
        </w:tc>
        <w:tc>
          <w:tcPr>
            <w:tcW w:w="7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autoSpaceDE/>
              <w:autoSpaceDN/>
              <w:bidi w:val="0"/>
              <w:adjustRightInd w:val="0"/>
              <w:snapToGrid w:val="0"/>
              <w:spacing w:line="360" w:lineRule="auto"/>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数量</w:t>
            </w:r>
          </w:p>
        </w:tc>
        <w:tc>
          <w:tcPr>
            <w:tcW w:w="553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autoSpaceDE/>
              <w:autoSpaceDN/>
              <w:bidi w:val="0"/>
              <w:adjustRightInd w:val="0"/>
              <w:snapToGrid w:val="0"/>
              <w:spacing w:line="360" w:lineRule="auto"/>
              <w:jc w:val="center"/>
              <w:textAlignment w:val="auto"/>
              <w:rPr>
                <w:rFonts w:hint="eastAsia" w:ascii="宋体" w:hAnsi="宋体" w:eastAsia="宋体" w:cs="宋体"/>
                <w:kern w:val="0"/>
                <w:sz w:val="24"/>
                <w:szCs w:val="24"/>
              </w:rPr>
            </w:pPr>
            <w:r>
              <w:rPr>
                <w:rFonts w:hint="eastAsia" w:ascii="宋体" w:hAnsi="宋体" w:cs="宋体"/>
                <w:kern w:val="0"/>
                <w:sz w:val="24"/>
                <w:szCs w:val="24"/>
                <w:lang w:eastAsia="zh-CN"/>
              </w:rPr>
              <w:t>供应商</w:t>
            </w:r>
            <w:r>
              <w:rPr>
                <w:rFonts w:hint="eastAsia" w:ascii="宋体" w:hAnsi="宋体" w:eastAsia="宋体" w:cs="宋体"/>
                <w:kern w:val="0"/>
                <w:sz w:val="24"/>
                <w:szCs w:val="24"/>
              </w:rPr>
              <w:t>资格要求</w:t>
            </w:r>
          </w:p>
        </w:tc>
        <w:tc>
          <w:tcPr>
            <w:tcW w:w="14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autoSpaceDE/>
              <w:autoSpaceDN/>
              <w:bidi w:val="0"/>
              <w:adjustRightInd w:val="0"/>
              <w:snapToGrid w:val="0"/>
              <w:spacing w:line="360" w:lineRule="auto"/>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预算金额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8" w:hRule="atLeast"/>
          <w:jc w:val="center"/>
        </w:trPr>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autoSpaceDE/>
              <w:autoSpaceDN/>
              <w:bidi w:val="0"/>
              <w:adjustRightInd w:val="0"/>
              <w:snapToGrid w:val="0"/>
              <w:spacing w:line="360" w:lineRule="auto"/>
              <w:jc w:val="center"/>
              <w:textAlignment w:val="auto"/>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w:t>
            </w:r>
          </w:p>
        </w:tc>
        <w:tc>
          <w:tcPr>
            <w:tcW w:w="17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autoSpaceDE/>
              <w:autoSpaceDN/>
              <w:bidi w:val="0"/>
              <w:adjustRightInd w:val="0"/>
              <w:snapToGrid w:val="0"/>
              <w:spacing w:line="360" w:lineRule="auto"/>
              <w:jc w:val="center"/>
              <w:textAlignment w:val="auto"/>
              <w:rPr>
                <w:rFonts w:hint="eastAsia" w:ascii="宋体" w:hAnsi="宋体" w:eastAsia="宋体" w:cs="宋体"/>
                <w:kern w:val="0"/>
                <w:sz w:val="24"/>
                <w:szCs w:val="24"/>
                <w:lang w:eastAsia="zh-CN"/>
              </w:rPr>
            </w:pPr>
            <w:r>
              <w:rPr>
                <w:rFonts w:hint="eastAsia" w:ascii="宋体" w:hAnsi="宋体" w:cs="宋体"/>
                <w:sz w:val="24"/>
                <w:szCs w:val="24"/>
                <w:lang w:eastAsia="zh-CN"/>
              </w:rPr>
              <w:t>济南高新技术产业开发区临港街道办事处（章锦街道办事处）东岸嘉园社区党群服务中心打造提升项目</w:t>
            </w:r>
          </w:p>
        </w:tc>
        <w:tc>
          <w:tcPr>
            <w:tcW w:w="7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autoSpaceDE/>
              <w:autoSpaceDN/>
              <w:bidi w:val="0"/>
              <w:adjustRightInd w:val="0"/>
              <w:snapToGrid w:val="0"/>
              <w:spacing w:line="360" w:lineRule="auto"/>
              <w:jc w:val="center"/>
              <w:textAlignment w:val="auto"/>
              <w:rPr>
                <w:rFonts w:hint="eastAsia" w:ascii="宋体" w:hAnsi="宋体" w:eastAsia="宋体" w:cs="宋体"/>
                <w:kern w:val="0"/>
                <w:sz w:val="24"/>
                <w:szCs w:val="24"/>
                <w:lang w:eastAsia="zh-CN"/>
              </w:rPr>
            </w:pPr>
            <w:r>
              <w:rPr>
                <w:rFonts w:hint="eastAsia" w:ascii="宋体" w:hAnsi="宋体" w:eastAsia="宋体" w:cs="宋体"/>
                <w:kern w:val="0"/>
                <w:sz w:val="24"/>
                <w:szCs w:val="24"/>
                <w:lang w:val="en-US" w:eastAsia="zh-CN"/>
              </w:rPr>
              <w:t>1</w:t>
            </w:r>
          </w:p>
        </w:tc>
        <w:tc>
          <w:tcPr>
            <w:tcW w:w="5539" w:type="dxa"/>
            <w:tcBorders>
              <w:top w:val="single" w:color="auto" w:sz="4" w:space="0"/>
              <w:left w:val="single" w:color="auto" w:sz="4" w:space="0"/>
              <w:right w:val="single" w:color="auto" w:sz="4" w:space="0"/>
            </w:tcBorders>
            <w:noWrap w:val="0"/>
            <w:vAlign w:val="top"/>
          </w:tcPr>
          <w:p>
            <w:pPr>
              <w:keepNext w:val="0"/>
              <w:keepLines w:val="0"/>
              <w:pageBreakBefore w:val="0"/>
              <w:widowControl/>
              <w:kinsoku/>
              <w:overflowPunct/>
              <w:topLinePunct w:val="0"/>
              <w:autoSpaceDE/>
              <w:autoSpaceDN/>
              <w:bidi w:val="0"/>
              <w:adjustRightInd w:val="0"/>
              <w:snapToGrid w:val="0"/>
              <w:spacing w:line="360" w:lineRule="auto"/>
              <w:jc w:val="left"/>
              <w:textAlignment w:val="auto"/>
              <w:rPr>
                <w:rFonts w:hint="eastAsia" w:ascii="宋体" w:hAnsi="宋体" w:cs="宋体"/>
                <w:kern w:val="0"/>
                <w:sz w:val="24"/>
              </w:rPr>
            </w:pPr>
            <w:r>
              <w:rPr>
                <w:rFonts w:hint="eastAsia" w:ascii="宋体" w:hAnsi="宋体" w:cs="宋体"/>
                <w:kern w:val="0"/>
                <w:sz w:val="24"/>
                <w:lang w:val="en-US" w:eastAsia="zh-CN"/>
              </w:rPr>
              <w:t>1、</w:t>
            </w:r>
            <w:r>
              <w:rPr>
                <w:rFonts w:hint="eastAsia" w:ascii="宋体" w:hAnsi="宋体" w:cs="宋体"/>
                <w:kern w:val="0"/>
                <w:sz w:val="24"/>
              </w:rPr>
              <w:t>具备《政府采购法》第二十二条规定的条件；</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jc w:val="left"/>
              <w:textAlignment w:val="auto"/>
              <w:rPr>
                <w:rFonts w:hint="eastAsia" w:ascii="宋体" w:hAnsi="宋体" w:cs="宋体"/>
                <w:kern w:val="0"/>
                <w:sz w:val="24"/>
              </w:rPr>
            </w:pPr>
            <w:r>
              <w:rPr>
                <w:rFonts w:hint="eastAsia" w:ascii="宋体" w:hAnsi="宋体" w:cs="宋体"/>
                <w:kern w:val="0"/>
                <w:sz w:val="24"/>
                <w:lang w:val="en-US" w:eastAsia="zh-CN"/>
              </w:rPr>
              <w:t>2、</w:t>
            </w:r>
            <w:r>
              <w:rPr>
                <w:rFonts w:hint="eastAsia" w:ascii="宋体" w:hAnsi="宋体" w:cs="宋体"/>
                <w:kern w:val="0"/>
                <w:sz w:val="24"/>
                <w:lang w:eastAsia="zh-CN"/>
              </w:rPr>
              <w:t>供应商</w:t>
            </w:r>
            <w:r>
              <w:rPr>
                <w:rFonts w:hint="eastAsia" w:ascii="宋体" w:hAnsi="宋体" w:cs="宋体"/>
                <w:kern w:val="0"/>
                <w:sz w:val="24"/>
              </w:rPr>
              <w:t>须具备独立法人资格，并在人员、设备、资金等方面具备较强的履约能力；</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ind w:leftChars="0"/>
              <w:jc w:val="left"/>
              <w:textAlignment w:val="auto"/>
              <w:rPr>
                <w:rFonts w:hint="eastAsia" w:ascii="宋体" w:hAnsi="宋体" w:cs="宋体"/>
                <w:kern w:val="0"/>
                <w:sz w:val="24"/>
              </w:rPr>
            </w:pPr>
            <w:r>
              <w:rPr>
                <w:rFonts w:hint="eastAsia" w:ascii="宋体" w:hAnsi="宋体" w:cs="宋体"/>
                <w:kern w:val="0"/>
                <w:sz w:val="24"/>
                <w:lang w:val="en-US" w:eastAsia="zh-CN"/>
              </w:rPr>
              <w:t>3、</w:t>
            </w:r>
            <w:r>
              <w:rPr>
                <w:rFonts w:hint="eastAsia" w:ascii="宋体" w:hAnsi="宋体" w:cs="宋体"/>
                <w:kern w:val="0"/>
                <w:sz w:val="24"/>
                <w:lang w:eastAsia="zh-CN"/>
              </w:rPr>
              <w:t>供应商</w:t>
            </w:r>
            <w:r>
              <w:rPr>
                <w:rFonts w:hint="eastAsia" w:ascii="宋体" w:hAnsi="宋体" w:cs="宋体"/>
                <w:kern w:val="0"/>
                <w:sz w:val="24"/>
              </w:rPr>
              <w:t>须具备建筑工程施工总承包叁级及以上资质或建筑装修装饰工程专业承包贰级及以上资质；</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ind w:leftChars="0"/>
              <w:jc w:val="left"/>
              <w:textAlignment w:val="auto"/>
              <w:rPr>
                <w:rFonts w:hint="eastAsia" w:ascii="宋体" w:hAnsi="宋体" w:cs="宋体"/>
                <w:kern w:val="0"/>
                <w:sz w:val="24"/>
              </w:rPr>
            </w:pPr>
            <w:r>
              <w:rPr>
                <w:rFonts w:hint="eastAsia" w:ascii="宋体" w:hAnsi="宋体" w:cs="宋体"/>
                <w:kern w:val="0"/>
                <w:sz w:val="24"/>
                <w:lang w:val="en-US" w:eastAsia="zh-CN"/>
              </w:rPr>
              <w:t>4、</w:t>
            </w:r>
            <w:r>
              <w:rPr>
                <w:rFonts w:hint="eastAsia" w:ascii="宋体" w:hAnsi="宋体" w:cs="宋体"/>
                <w:kern w:val="0"/>
                <w:sz w:val="24"/>
              </w:rPr>
              <w:t>具有有效的安全生产许可证；</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ind w:leftChars="0"/>
              <w:jc w:val="left"/>
              <w:textAlignment w:val="auto"/>
              <w:rPr>
                <w:rFonts w:hint="eastAsia" w:ascii="宋体" w:hAnsi="宋体" w:cs="宋体"/>
                <w:kern w:val="0"/>
                <w:sz w:val="24"/>
                <w:lang w:eastAsia="zh-CN"/>
              </w:rPr>
            </w:pPr>
            <w:r>
              <w:rPr>
                <w:rFonts w:hint="eastAsia" w:ascii="宋体" w:hAnsi="宋体" w:cs="宋体"/>
                <w:kern w:val="0"/>
                <w:sz w:val="24"/>
                <w:lang w:val="en-US" w:eastAsia="zh-CN"/>
              </w:rPr>
              <w:t>5、</w:t>
            </w:r>
            <w:r>
              <w:rPr>
                <w:rFonts w:hint="eastAsia" w:ascii="宋体" w:hAnsi="宋体" w:cs="宋体"/>
                <w:kern w:val="0"/>
                <w:sz w:val="24"/>
              </w:rPr>
              <w:t>项目经理具有</w:t>
            </w:r>
            <w:r>
              <w:rPr>
                <w:rFonts w:hint="eastAsia" w:ascii="宋体" w:hAnsi="宋体" w:cs="宋体"/>
                <w:kern w:val="0"/>
                <w:sz w:val="24"/>
                <w:lang w:eastAsia="zh-CN"/>
              </w:rPr>
              <w:t>建筑工程类</w:t>
            </w:r>
            <w:r>
              <w:rPr>
                <w:rFonts w:hint="eastAsia" w:ascii="宋体" w:hAnsi="宋体" w:cs="宋体"/>
                <w:kern w:val="0"/>
                <w:sz w:val="24"/>
              </w:rPr>
              <w:t>贰级及以上建造师证书、有效的安全生产考核合格证书（B类）</w:t>
            </w:r>
            <w:r>
              <w:rPr>
                <w:rFonts w:hint="eastAsia" w:ascii="宋体" w:hAnsi="宋体" w:cs="宋体"/>
                <w:kern w:val="0"/>
                <w:sz w:val="24"/>
                <w:lang w:eastAsia="zh-CN"/>
              </w:rPr>
              <w:t>。</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ind w:leftChars="0"/>
              <w:jc w:val="left"/>
              <w:textAlignment w:val="auto"/>
              <w:rPr>
                <w:rFonts w:hint="eastAsia"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投标人应未被列入“信用中国”（www.creditchina.gov.cn）信用记录失信被执行人、重大税收违法案件当事人名单。</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ind w:leftChars="0"/>
              <w:jc w:val="left"/>
              <w:textAlignment w:val="auto"/>
              <w:rPr>
                <w:rFonts w:hint="eastAsia" w:ascii="宋体" w:hAnsi="宋体" w:cs="宋体"/>
                <w:kern w:val="0"/>
                <w:sz w:val="24"/>
                <w:lang w:eastAsia="zh-CN"/>
              </w:rPr>
            </w:pPr>
            <w:r>
              <w:rPr>
                <w:rFonts w:hint="eastAsia" w:ascii="宋体" w:hAnsi="宋体" w:cs="宋体"/>
                <w:kern w:val="0"/>
                <w:sz w:val="24"/>
                <w:lang w:val="en-US" w:eastAsia="zh-CN"/>
              </w:rPr>
              <w:t>7、</w:t>
            </w:r>
            <w:r>
              <w:rPr>
                <w:rFonts w:hint="eastAsia" w:ascii="宋体" w:hAnsi="宋体" w:cs="宋体"/>
                <w:kern w:val="0"/>
                <w:sz w:val="24"/>
              </w:rPr>
              <w:t>本次招标不接受联合体投标</w:t>
            </w:r>
            <w:r>
              <w:rPr>
                <w:rFonts w:hint="eastAsia" w:ascii="宋体" w:hAnsi="宋体" w:cs="宋体"/>
                <w:kern w:val="0"/>
                <w:sz w:val="24"/>
                <w:lang w:eastAsia="zh-CN"/>
              </w:rPr>
              <w:t>。</w:t>
            </w:r>
          </w:p>
          <w:p>
            <w:pPr>
              <w:keepNext w:val="0"/>
              <w:keepLines w:val="0"/>
              <w:pageBreakBefore w:val="0"/>
              <w:widowControl/>
              <w:kinsoku/>
              <w:overflowPunct/>
              <w:topLinePunct w:val="0"/>
              <w:autoSpaceDE/>
              <w:autoSpaceDN/>
              <w:bidi w:val="0"/>
              <w:adjustRightInd w:val="0"/>
              <w:snapToGrid w:val="0"/>
              <w:spacing w:line="360" w:lineRule="auto"/>
              <w:jc w:val="left"/>
              <w:textAlignment w:val="auto"/>
              <w:rPr>
                <w:rFonts w:hint="default" w:ascii="宋体" w:hAnsi="宋体" w:cs="宋体"/>
                <w:kern w:val="0"/>
                <w:sz w:val="24"/>
                <w:lang w:val="en-US" w:eastAsia="zh-CN"/>
              </w:rPr>
            </w:pPr>
            <w:r>
              <w:rPr>
                <w:rFonts w:hint="eastAsia" w:ascii="宋体" w:hAnsi="宋体" w:cs="宋体"/>
                <w:kern w:val="0"/>
                <w:sz w:val="24"/>
                <w:lang w:val="en-US" w:eastAsia="zh-CN"/>
              </w:rPr>
              <w:t>8</w:t>
            </w:r>
            <w:r>
              <w:rPr>
                <w:rFonts w:hint="eastAsia" w:ascii="宋体" w:hAnsi="宋体" w:cs="宋体"/>
                <w:kern w:val="0"/>
                <w:sz w:val="24"/>
              </w:rPr>
              <w:t>、法律法规的其他要求规定。</w:t>
            </w:r>
          </w:p>
        </w:tc>
        <w:tc>
          <w:tcPr>
            <w:tcW w:w="14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autoSpaceDE/>
              <w:autoSpaceDN/>
              <w:bidi w:val="0"/>
              <w:adjustRightInd w:val="0"/>
              <w:snapToGrid w:val="0"/>
              <w:spacing w:line="360" w:lineRule="auto"/>
              <w:jc w:val="center"/>
              <w:textAlignment w:val="auto"/>
              <w:rPr>
                <w:rFonts w:hint="default" w:ascii="宋体" w:hAnsi="宋体" w:cs="宋体"/>
                <w:kern w:val="0"/>
                <w:sz w:val="24"/>
                <w:lang w:val="en-US" w:eastAsia="zh-CN"/>
              </w:rPr>
            </w:pPr>
            <w:r>
              <w:rPr>
                <w:rFonts w:hint="eastAsia" w:ascii="宋体" w:hAnsi="宋体" w:cs="宋体"/>
                <w:kern w:val="0"/>
                <w:sz w:val="24"/>
                <w:lang w:val="en-US" w:eastAsia="zh-CN"/>
              </w:rPr>
              <w:t>30万元</w:t>
            </w:r>
          </w:p>
        </w:tc>
      </w:tr>
    </w:tbl>
    <w:p>
      <w:pPr>
        <w:keepNext w:val="0"/>
        <w:keepLines w:val="0"/>
        <w:pageBreakBefore w:val="0"/>
        <w:kinsoku/>
        <w:overflowPunct/>
        <w:topLinePunct w:val="0"/>
        <w:autoSpaceDE/>
        <w:autoSpaceDN/>
        <w:bidi w:val="0"/>
        <w:adjustRightInd w:val="0"/>
        <w:snapToGrid w:val="0"/>
        <w:spacing w:line="36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br w:type="page"/>
      </w:r>
    </w:p>
    <w:p>
      <w:pPr>
        <w:keepNext w:val="0"/>
        <w:keepLines w:val="0"/>
        <w:pageBreakBefore w:val="0"/>
        <w:kinsoku/>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三</w:t>
      </w:r>
      <w:r>
        <w:rPr>
          <w:rFonts w:hint="eastAsia" w:ascii="宋体" w:hAnsi="宋体" w:eastAsia="宋体" w:cs="宋体"/>
          <w:sz w:val="24"/>
          <w:szCs w:val="24"/>
        </w:rPr>
        <w:t>、获取</w:t>
      </w:r>
      <w:r>
        <w:rPr>
          <w:rFonts w:hint="eastAsia" w:ascii="宋体" w:hAnsi="宋体" w:cs="宋体"/>
          <w:sz w:val="24"/>
          <w:szCs w:val="24"/>
          <w:lang w:eastAsia="zh-CN"/>
        </w:rPr>
        <w:t>竞争性磋商文件</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1.时</w:t>
      </w:r>
      <w:r>
        <w:rPr>
          <w:rFonts w:hint="eastAsia" w:ascii="宋体" w:hAnsi="宋体" w:eastAsia="宋体" w:cs="宋体"/>
          <w:sz w:val="24"/>
          <w:szCs w:val="24"/>
          <w:highlight w:val="none"/>
        </w:rPr>
        <w:t>间：</w:t>
      </w:r>
      <w:r>
        <w:rPr>
          <w:rFonts w:hint="eastAsia" w:ascii="宋体" w:hAnsi="宋体" w:eastAsia="宋体" w:cs="宋体"/>
          <w:color w:val="auto"/>
          <w:sz w:val="24"/>
          <w:szCs w:val="24"/>
          <w:highlight w:val="none"/>
        </w:rPr>
        <w:t>2019年</w:t>
      </w:r>
      <w:r>
        <w:rPr>
          <w:rFonts w:hint="eastAsia" w:ascii="宋体" w:hAnsi="宋体" w:cs="宋体"/>
          <w:color w:val="auto"/>
          <w:sz w:val="24"/>
          <w:szCs w:val="24"/>
          <w:highlight w:val="none"/>
          <w:lang w:val="en-US" w:eastAsia="zh-CN"/>
        </w:rPr>
        <w:t xml:space="preserve"> 12 </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 xml:space="preserve"> 2 </w:t>
      </w:r>
      <w:r>
        <w:rPr>
          <w:rFonts w:hint="eastAsia" w:ascii="宋体" w:hAnsi="宋体" w:eastAsia="宋体" w:cs="宋体"/>
          <w:color w:val="auto"/>
          <w:sz w:val="24"/>
          <w:szCs w:val="24"/>
          <w:highlight w:val="none"/>
        </w:rPr>
        <w:t>日9时00分至2019年</w:t>
      </w:r>
      <w:r>
        <w:rPr>
          <w:rFonts w:hint="eastAsia" w:ascii="宋体" w:hAnsi="宋体" w:cs="宋体"/>
          <w:color w:val="auto"/>
          <w:sz w:val="24"/>
          <w:szCs w:val="24"/>
          <w:highlight w:val="none"/>
          <w:lang w:val="en-US" w:eastAsia="zh-CN"/>
        </w:rPr>
        <w:t xml:space="preserve"> 12 </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 xml:space="preserve"> 6 </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 xml:space="preserve"> 16 </w:t>
      </w:r>
      <w:r>
        <w:rPr>
          <w:rFonts w:hint="eastAsia" w:ascii="宋体" w:hAnsi="宋体" w:eastAsia="宋体" w:cs="宋体"/>
          <w:color w:val="auto"/>
          <w:sz w:val="24"/>
          <w:szCs w:val="24"/>
          <w:highlight w:val="none"/>
        </w:rPr>
        <w:t>时00分</w:t>
      </w:r>
      <w:r>
        <w:rPr>
          <w:rFonts w:hint="eastAsia" w:ascii="宋体" w:hAnsi="宋体" w:eastAsia="宋体" w:cs="宋体"/>
          <w:sz w:val="24"/>
          <w:szCs w:val="24"/>
          <w:highlight w:val="none"/>
        </w:rPr>
        <w:t>（北京时</w:t>
      </w:r>
      <w:r>
        <w:rPr>
          <w:rFonts w:hint="eastAsia" w:ascii="宋体" w:hAnsi="宋体" w:cs="宋体"/>
          <w:sz w:val="24"/>
          <w:szCs w:val="24"/>
          <w:highlight w:val="none"/>
          <w:lang w:eastAsia="zh-CN"/>
        </w:rPr>
        <w:t>间）</w:t>
      </w:r>
    </w:p>
    <w:p>
      <w:pPr>
        <w:keepNext w:val="0"/>
        <w:keepLines w:val="0"/>
        <w:pageBreakBefore w:val="0"/>
        <w:kinsoku/>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rPr>
      </w:pP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lang w:val="zh-CN" w:eastAsia="zh-CN"/>
        </w:rPr>
      </w:pPr>
      <w:r>
        <w:rPr>
          <w:rFonts w:hint="eastAsia" w:ascii="宋体" w:hAnsi="宋体" w:eastAsia="宋体" w:cs="宋体"/>
          <w:sz w:val="24"/>
          <w:szCs w:val="24"/>
        </w:rPr>
        <w:t>2.地点：</w:t>
      </w:r>
      <w:r>
        <w:rPr>
          <w:sz w:val="24"/>
          <w:szCs w:val="24"/>
        </w:rPr>
        <w:t>济南市工业南路</w:t>
      </w:r>
      <w:r>
        <w:rPr>
          <w:spacing w:val="-60"/>
          <w:sz w:val="24"/>
          <w:szCs w:val="24"/>
        </w:rPr>
        <w:t xml:space="preserve"> </w:t>
      </w:r>
      <w:r>
        <w:rPr>
          <w:sz w:val="24"/>
          <w:szCs w:val="24"/>
        </w:rPr>
        <w:t>59</w:t>
      </w:r>
      <w:r>
        <w:rPr>
          <w:spacing w:val="-60"/>
          <w:sz w:val="24"/>
          <w:szCs w:val="24"/>
        </w:rPr>
        <w:t xml:space="preserve"> </w:t>
      </w:r>
      <w:r>
        <w:rPr>
          <w:sz w:val="24"/>
          <w:szCs w:val="24"/>
        </w:rPr>
        <w:t>号中铁财智中心</w:t>
      </w:r>
      <w:r>
        <w:rPr>
          <w:spacing w:val="-60"/>
          <w:sz w:val="24"/>
          <w:szCs w:val="24"/>
        </w:rPr>
        <w:t xml:space="preserve"> </w:t>
      </w:r>
      <w:r>
        <w:rPr>
          <w:sz w:val="24"/>
          <w:szCs w:val="24"/>
        </w:rPr>
        <w:t>6</w:t>
      </w:r>
      <w:r>
        <w:rPr>
          <w:spacing w:val="-60"/>
          <w:sz w:val="24"/>
          <w:szCs w:val="24"/>
        </w:rPr>
        <w:t xml:space="preserve"> </w:t>
      </w:r>
      <w:r>
        <w:rPr>
          <w:sz w:val="24"/>
          <w:szCs w:val="24"/>
        </w:rPr>
        <w:t>号楼</w:t>
      </w:r>
      <w:r>
        <w:rPr>
          <w:spacing w:val="-60"/>
          <w:sz w:val="24"/>
          <w:szCs w:val="24"/>
        </w:rPr>
        <w:t xml:space="preserve"> </w:t>
      </w:r>
      <w:r>
        <w:rPr>
          <w:sz w:val="24"/>
          <w:szCs w:val="24"/>
        </w:rPr>
        <w:t>15</w:t>
      </w:r>
      <w:r>
        <w:rPr>
          <w:spacing w:val="-60"/>
          <w:sz w:val="24"/>
          <w:szCs w:val="24"/>
        </w:rPr>
        <w:t xml:space="preserve"> </w:t>
      </w:r>
      <w:r>
        <w:rPr>
          <w:sz w:val="24"/>
          <w:szCs w:val="24"/>
        </w:rPr>
        <w:t>层</w:t>
      </w:r>
      <w:r>
        <w:rPr>
          <w:rFonts w:hint="eastAsia"/>
          <w:sz w:val="24"/>
          <w:szCs w:val="24"/>
          <w:lang w:eastAsia="zh-CN"/>
        </w:rPr>
        <w:t>财务部</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leftChars="0" w:firstLine="480" w:firstLineChars="200"/>
        <w:jc w:val="left"/>
        <w:textAlignment w:val="auto"/>
        <w:rPr>
          <w:rFonts w:hint="eastAsia" w:ascii="宋体" w:hAnsi="宋体" w:cs="宋体"/>
          <w:kern w:val="0"/>
          <w:sz w:val="24"/>
          <w:lang w:bidi="ar"/>
        </w:rPr>
      </w:pPr>
      <w:r>
        <w:rPr>
          <w:rFonts w:hint="eastAsia" w:ascii="宋体" w:hAnsi="宋体" w:eastAsia="宋体" w:cs="宋体"/>
          <w:sz w:val="24"/>
          <w:szCs w:val="24"/>
        </w:rPr>
        <w:t>3.方式：</w:t>
      </w:r>
      <w:r>
        <w:rPr>
          <w:rFonts w:hint="eastAsia" w:ascii="宋体" w:hAnsi="宋体" w:cs="宋体"/>
          <w:kern w:val="0"/>
          <w:sz w:val="24"/>
        </w:rPr>
        <w:t>报名时须提供营业执照（副本）</w:t>
      </w:r>
      <w:r>
        <w:rPr>
          <w:rFonts w:hint="eastAsia" w:ascii="宋体" w:hAnsi="宋体" w:cs="宋体"/>
          <w:kern w:val="0"/>
          <w:sz w:val="24"/>
          <w:lang w:eastAsia="zh-CN"/>
        </w:rPr>
        <w:t>；</w:t>
      </w:r>
      <w:r>
        <w:rPr>
          <w:rFonts w:hint="eastAsia" w:ascii="宋体" w:hAnsi="宋体" w:cs="宋体"/>
          <w:kern w:val="0"/>
          <w:sz w:val="24"/>
        </w:rPr>
        <w:t>施工总承包叁级及以上资质或建筑装修装饰工程专业承包</w:t>
      </w:r>
      <w:r>
        <w:rPr>
          <w:rFonts w:hint="eastAsia" w:ascii="宋体" w:hAnsi="宋体" w:cs="宋体"/>
          <w:kern w:val="0"/>
          <w:sz w:val="24"/>
          <w:lang w:eastAsia="zh-CN"/>
        </w:rPr>
        <w:t>贰</w:t>
      </w:r>
      <w:r>
        <w:rPr>
          <w:rFonts w:hint="eastAsia" w:ascii="宋体" w:hAnsi="宋体" w:cs="宋体"/>
          <w:kern w:val="0"/>
          <w:sz w:val="24"/>
        </w:rPr>
        <w:t>级及以上资质</w:t>
      </w:r>
      <w:r>
        <w:rPr>
          <w:rFonts w:hint="eastAsia" w:ascii="宋体" w:hAnsi="宋体" w:cs="宋体"/>
          <w:kern w:val="0"/>
          <w:sz w:val="24"/>
          <w:lang w:eastAsia="zh-CN"/>
        </w:rPr>
        <w:t>证书；</w:t>
      </w:r>
      <w:r>
        <w:rPr>
          <w:rFonts w:hint="eastAsia" w:ascii="宋体" w:hAnsi="宋体" w:cs="宋体"/>
          <w:kern w:val="0"/>
          <w:sz w:val="24"/>
        </w:rPr>
        <w:t>具有有效的安全生产许可证</w:t>
      </w:r>
      <w:r>
        <w:rPr>
          <w:rFonts w:hint="eastAsia" w:ascii="宋体" w:hAnsi="宋体" w:cs="宋体"/>
          <w:kern w:val="0"/>
          <w:sz w:val="24"/>
          <w:lang w:eastAsia="zh-CN"/>
        </w:rPr>
        <w:t>；</w:t>
      </w:r>
      <w:r>
        <w:rPr>
          <w:rFonts w:hint="eastAsia" w:ascii="宋体" w:hAnsi="宋体" w:cs="宋体"/>
          <w:kern w:val="0"/>
          <w:sz w:val="24"/>
        </w:rPr>
        <w:t>项目经理具有</w:t>
      </w:r>
      <w:r>
        <w:rPr>
          <w:rFonts w:hint="eastAsia" w:ascii="宋体" w:hAnsi="宋体" w:cs="宋体"/>
          <w:kern w:val="0"/>
          <w:sz w:val="24"/>
          <w:lang w:eastAsia="zh-CN"/>
        </w:rPr>
        <w:t>建筑</w:t>
      </w:r>
      <w:r>
        <w:rPr>
          <w:rFonts w:hint="eastAsia" w:ascii="宋体" w:hAnsi="宋体" w:cs="宋体"/>
          <w:kern w:val="0"/>
          <w:sz w:val="24"/>
        </w:rPr>
        <w:t>工程</w:t>
      </w:r>
      <w:r>
        <w:rPr>
          <w:rFonts w:hint="eastAsia" w:ascii="宋体" w:hAnsi="宋体" w:cs="宋体"/>
          <w:kern w:val="0"/>
          <w:sz w:val="24"/>
          <w:lang w:eastAsia="zh-CN"/>
        </w:rPr>
        <w:t>类</w:t>
      </w:r>
      <w:r>
        <w:rPr>
          <w:rFonts w:hint="eastAsia" w:ascii="宋体" w:hAnsi="宋体" w:cs="宋体"/>
          <w:kern w:val="0"/>
          <w:sz w:val="24"/>
        </w:rPr>
        <w:t>贰级及以上建造师证书</w:t>
      </w:r>
      <w:r>
        <w:rPr>
          <w:rFonts w:hint="eastAsia" w:ascii="宋体" w:hAnsi="宋体" w:cs="宋体"/>
          <w:kern w:val="0"/>
          <w:sz w:val="24"/>
          <w:lang w:eastAsia="zh-CN"/>
        </w:rPr>
        <w:t>；</w:t>
      </w:r>
      <w:r>
        <w:rPr>
          <w:rFonts w:hint="eastAsia" w:ascii="宋体" w:hAnsi="宋体" w:cs="宋体"/>
          <w:kern w:val="0"/>
          <w:sz w:val="24"/>
        </w:rPr>
        <w:t>有效的安全生产考核合格证书（B类）</w:t>
      </w:r>
      <w:r>
        <w:rPr>
          <w:rFonts w:hint="eastAsia" w:ascii="宋体" w:hAnsi="宋体" w:cs="宋体"/>
          <w:kern w:val="0"/>
          <w:sz w:val="24"/>
          <w:lang w:eastAsia="zh-CN"/>
        </w:rPr>
        <w:t>；</w:t>
      </w:r>
      <w:r>
        <w:rPr>
          <w:rFonts w:hint="eastAsia" w:ascii="宋体" w:hAnsi="宋体" w:cs="宋体"/>
          <w:kern w:val="0"/>
          <w:sz w:val="24"/>
        </w:rPr>
        <w:t>信用中国（截图打印并加盖公章），法定代表人证明书（或委托的代理人持授权委托书及代理人身份证原件）</w:t>
      </w:r>
      <w:r>
        <w:rPr>
          <w:rFonts w:hint="eastAsia" w:ascii="宋体" w:hAnsi="宋体" w:cs="宋体"/>
          <w:kern w:val="0"/>
          <w:sz w:val="24"/>
          <w:lang w:eastAsia="zh-CN"/>
        </w:rPr>
        <w:t>。</w:t>
      </w:r>
      <w:r>
        <w:rPr>
          <w:rFonts w:hint="eastAsia" w:ascii="宋体" w:hAnsi="宋体" w:cs="宋体"/>
          <w:kern w:val="0"/>
          <w:sz w:val="24"/>
        </w:rPr>
        <w:t>以上证件</w:t>
      </w:r>
      <w:r>
        <w:rPr>
          <w:rFonts w:hint="eastAsia" w:ascii="宋体" w:hAnsi="宋体" w:cs="宋体"/>
          <w:kern w:val="0"/>
          <w:sz w:val="24"/>
          <w:lang w:eastAsia="zh-CN"/>
        </w:rPr>
        <w:t>须提供加盖公章的</w:t>
      </w:r>
      <w:r>
        <w:rPr>
          <w:rFonts w:hint="eastAsia" w:ascii="宋体" w:hAnsi="宋体" w:cs="宋体"/>
          <w:kern w:val="0"/>
          <w:sz w:val="24"/>
        </w:rPr>
        <w:t>复印件</w:t>
      </w:r>
      <w:r>
        <w:rPr>
          <w:rFonts w:hint="eastAsia" w:ascii="宋体" w:hAnsi="宋体" w:cs="宋体"/>
          <w:kern w:val="0"/>
          <w:sz w:val="24"/>
          <w:lang w:eastAsia="zh-CN"/>
        </w:rPr>
        <w:t>一套</w:t>
      </w:r>
      <w:r>
        <w:rPr>
          <w:rFonts w:hint="eastAsia" w:ascii="宋体" w:hAnsi="宋体" w:cs="宋体"/>
          <w:kern w:val="0"/>
          <w:sz w:val="24"/>
        </w:rPr>
        <w:t>。报名时提交的资料查验不代表资格审查的最终通过或合格。</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rPr>
        <w:t>4.售价：</w:t>
      </w:r>
      <w:r>
        <w:rPr>
          <w:rFonts w:hint="eastAsia" w:ascii="宋体" w:hAnsi="宋体" w:eastAsia="宋体" w:cs="宋体"/>
          <w:sz w:val="24"/>
          <w:szCs w:val="24"/>
          <w:lang w:val="en-US" w:eastAsia="zh-CN"/>
        </w:rPr>
        <w:t>5</w:t>
      </w:r>
      <w:r>
        <w:rPr>
          <w:rFonts w:hint="eastAsia" w:ascii="宋体" w:hAnsi="宋体" w:eastAsia="宋体" w:cs="宋体"/>
          <w:sz w:val="24"/>
          <w:szCs w:val="24"/>
        </w:rPr>
        <w:t>00元/份，</w:t>
      </w:r>
      <w:r>
        <w:rPr>
          <w:rFonts w:hint="eastAsia" w:ascii="宋体" w:hAnsi="宋体" w:eastAsia="宋体" w:cs="宋体"/>
          <w:sz w:val="24"/>
          <w:szCs w:val="24"/>
          <w:lang w:eastAsia="zh-CN"/>
        </w:rPr>
        <w:t>现金支付，</w:t>
      </w:r>
      <w:r>
        <w:rPr>
          <w:rFonts w:hint="eastAsia" w:ascii="宋体" w:hAnsi="宋体" w:eastAsia="宋体" w:cs="宋体"/>
          <w:sz w:val="24"/>
          <w:szCs w:val="24"/>
        </w:rPr>
        <w:t>售后不退。</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eastAsia="zh-CN"/>
        </w:rPr>
        <w:t>四</w:t>
      </w:r>
      <w:r>
        <w:rPr>
          <w:rFonts w:hint="eastAsia" w:ascii="宋体" w:hAnsi="宋体" w:eastAsia="宋体" w:cs="宋体"/>
          <w:sz w:val="24"/>
          <w:szCs w:val="24"/>
        </w:rPr>
        <w:t>、</w:t>
      </w:r>
      <w:r>
        <w:rPr>
          <w:rFonts w:hint="eastAsia" w:ascii="宋体" w:hAnsi="宋体" w:eastAsia="宋体" w:cs="宋体"/>
          <w:color w:val="auto"/>
          <w:sz w:val="24"/>
          <w:szCs w:val="24"/>
          <w:highlight w:val="none"/>
        </w:rPr>
        <w:t>公告期限：2019年</w:t>
      </w:r>
      <w:r>
        <w:rPr>
          <w:rFonts w:hint="eastAsia" w:ascii="宋体" w:hAnsi="宋体" w:cs="宋体"/>
          <w:color w:val="auto"/>
          <w:sz w:val="24"/>
          <w:szCs w:val="24"/>
          <w:highlight w:val="none"/>
          <w:lang w:val="en-US" w:eastAsia="zh-CN"/>
        </w:rPr>
        <w:t xml:space="preserve"> 12 </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 xml:space="preserve"> 2 </w:t>
      </w:r>
      <w:r>
        <w:rPr>
          <w:rFonts w:hint="eastAsia" w:ascii="宋体" w:hAnsi="宋体" w:eastAsia="宋体" w:cs="宋体"/>
          <w:color w:val="auto"/>
          <w:sz w:val="24"/>
          <w:szCs w:val="24"/>
          <w:highlight w:val="none"/>
        </w:rPr>
        <w:t>日至2019年</w:t>
      </w:r>
      <w:r>
        <w:rPr>
          <w:rFonts w:hint="eastAsia" w:ascii="宋体" w:hAnsi="宋体" w:cs="宋体"/>
          <w:color w:val="auto"/>
          <w:sz w:val="24"/>
          <w:szCs w:val="24"/>
          <w:highlight w:val="none"/>
          <w:lang w:val="en-US" w:eastAsia="zh-CN"/>
        </w:rPr>
        <w:t xml:space="preserve"> 12 </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 xml:space="preserve"> 6 </w:t>
      </w:r>
      <w:r>
        <w:rPr>
          <w:rFonts w:hint="eastAsia" w:ascii="宋体" w:hAnsi="宋体" w:eastAsia="宋体" w:cs="宋体"/>
          <w:color w:val="auto"/>
          <w:sz w:val="24"/>
          <w:szCs w:val="24"/>
          <w:highlight w:val="none"/>
        </w:rPr>
        <w:t>日</w:t>
      </w:r>
      <w:r>
        <w:rPr>
          <w:rFonts w:hint="eastAsia" w:ascii="宋体" w:hAnsi="宋体" w:eastAsia="宋体" w:cs="宋体"/>
          <w:sz w:val="24"/>
          <w:szCs w:val="24"/>
          <w:highlight w:val="none"/>
        </w:rPr>
        <w:t>（北京时</w:t>
      </w:r>
      <w:r>
        <w:rPr>
          <w:rFonts w:hint="eastAsia" w:ascii="宋体" w:hAnsi="宋体" w:cs="宋体"/>
          <w:sz w:val="24"/>
          <w:szCs w:val="24"/>
          <w:highlight w:val="none"/>
          <w:lang w:eastAsia="zh-CN"/>
        </w:rPr>
        <w:t>间）</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五</w:t>
      </w:r>
      <w:r>
        <w:rPr>
          <w:rFonts w:hint="eastAsia" w:ascii="宋体" w:hAnsi="宋体" w:eastAsia="宋体" w:cs="宋体"/>
          <w:sz w:val="24"/>
          <w:szCs w:val="24"/>
          <w:highlight w:val="none"/>
        </w:rPr>
        <w:t>、递交</w:t>
      </w:r>
      <w:r>
        <w:rPr>
          <w:rFonts w:hint="eastAsia" w:ascii="宋体" w:hAnsi="宋体" w:cs="宋体"/>
          <w:sz w:val="24"/>
          <w:szCs w:val="24"/>
          <w:highlight w:val="none"/>
          <w:lang w:eastAsia="zh-CN"/>
        </w:rPr>
        <w:t>报价文件</w:t>
      </w:r>
      <w:r>
        <w:rPr>
          <w:rFonts w:hint="eastAsia" w:ascii="宋体" w:hAnsi="宋体" w:eastAsia="宋体" w:cs="宋体"/>
          <w:sz w:val="24"/>
          <w:szCs w:val="24"/>
          <w:highlight w:val="none"/>
        </w:rPr>
        <w:t>时间及地点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 xml:space="preserve"> </w:t>
      </w:r>
      <w:r>
        <w:rPr>
          <w:rFonts w:hint="eastAsia" w:ascii="宋体" w:hAnsi="宋体" w:eastAsia="宋体" w:cs="宋体"/>
          <w:sz w:val="24"/>
          <w:szCs w:val="24"/>
          <w:highlight w:val="none"/>
          <w:lang w:eastAsia="zh-CN"/>
        </w:rPr>
        <w:t>详见竞争性磋商文件</w:t>
      </w:r>
    </w:p>
    <w:p>
      <w:pPr>
        <w:keepNext w:val="0"/>
        <w:keepLines w:val="0"/>
        <w:pageBreakBefore w:val="0"/>
        <w:widowControl/>
        <w:kinsoku/>
        <w:wordWrap/>
        <w:overflowPunct/>
        <w:topLinePunct w:val="0"/>
        <w:autoSpaceDE/>
        <w:autoSpaceDN/>
        <w:bidi w:val="0"/>
        <w:adjustRightInd w:val="0"/>
        <w:snapToGrid w:val="0"/>
        <w:spacing w:afterAutospacing="0" w:line="360" w:lineRule="auto"/>
        <w:ind w:left="456" w:leftChars="22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六、磋商时间及地点</w:t>
      </w:r>
    </w:p>
    <w:p>
      <w:pPr>
        <w:keepNext w:val="0"/>
        <w:keepLines w:val="0"/>
        <w:pageBreakBefore w:val="0"/>
        <w:widowControl/>
        <w:kinsoku/>
        <w:wordWrap/>
        <w:overflowPunct/>
        <w:topLinePunct w:val="0"/>
        <w:autoSpaceDE/>
        <w:autoSpaceDN/>
        <w:bidi w:val="0"/>
        <w:adjustRightInd w:val="0"/>
        <w:snapToGrid w:val="0"/>
        <w:spacing w:afterAutospacing="0" w:line="360" w:lineRule="auto"/>
        <w:ind w:left="456" w:leftChars="22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1.时间：</w:t>
      </w:r>
      <w:r>
        <w:rPr>
          <w:rFonts w:hint="eastAsia" w:ascii="宋体" w:hAnsi="宋体" w:eastAsia="宋体" w:cs="宋体"/>
          <w:color w:val="auto"/>
          <w:sz w:val="24"/>
          <w:szCs w:val="24"/>
          <w:highlight w:val="none"/>
          <w:u w:val="single"/>
        </w:rPr>
        <w:t>201</w:t>
      </w:r>
      <w:r>
        <w:rPr>
          <w:rFonts w:hint="eastAsia" w:ascii="宋体" w:hAnsi="宋体" w:eastAsia="宋体" w:cs="宋体"/>
          <w:color w:val="auto"/>
          <w:sz w:val="24"/>
          <w:szCs w:val="24"/>
          <w:highlight w:val="none"/>
          <w:u w:val="single"/>
          <w:lang w:val="en-US" w:eastAsia="zh-CN"/>
        </w:rPr>
        <w:t>9</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u w:val="single"/>
          <w:lang w:val="en-US" w:eastAsia="zh-CN"/>
        </w:rPr>
        <w:t>12</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u w:val="single"/>
          <w:lang w:val="en-US" w:eastAsia="zh-CN"/>
        </w:rPr>
        <w:t>13</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u w:val="single"/>
          <w:lang w:val="en-US" w:eastAsia="zh-CN"/>
        </w:rPr>
        <w:t>13</w:t>
      </w:r>
      <w:r>
        <w:rPr>
          <w:rFonts w:hint="eastAsia" w:ascii="宋体" w:hAnsi="宋体" w:eastAsia="宋体" w:cs="宋体"/>
          <w:color w:val="auto"/>
          <w:sz w:val="24"/>
          <w:szCs w:val="24"/>
          <w:highlight w:val="none"/>
        </w:rPr>
        <w:t>时</w:t>
      </w:r>
      <w:r>
        <w:rPr>
          <w:rFonts w:hint="eastAsia" w:ascii="宋体" w:hAnsi="宋体" w:cs="宋体"/>
          <w:color w:val="auto"/>
          <w:sz w:val="24"/>
          <w:szCs w:val="24"/>
          <w:highlight w:val="none"/>
          <w:u w:val="single"/>
          <w:lang w:val="en-US" w:eastAsia="zh-CN"/>
        </w:rPr>
        <w:t>30</w:t>
      </w:r>
      <w:r>
        <w:rPr>
          <w:rFonts w:hint="eastAsia" w:ascii="宋体" w:hAnsi="宋体" w:eastAsia="宋体" w:cs="宋体"/>
          <w:color w:val="auto"/>
          <w:sz w:val="24"/>
          <w:szCs w:val="24"/>
          <w:highlight w:val="none"/>
        </w:rPr>
        <w:t>分（北京时间）</w:t>
      </w:r>
    </w:p>
    <w:p>
      <w:pPr>
        <w:keepNext w:val="0"/>
        <w:keepLines w:val="0"/>
        <w:pageBreakBefore w:val="0"/>
        <w:widowControl/>
        <w:kinsoku/>
        <w:wordWrap/>
        <w:overflowPunct/>
        <w:topLinePunct w:val="0"/>
        <w:autoSpaceDE/>
        <w:autoSpaceDN/>
        <w:bidi w:val="0"/>
        <w:adjustRightInd w:val="0"/>
        <w:snapToGrid w:val="0"/>
        <w:spacing w:afterAutospacing="0" w:line="360" w:lineRule="auto"/>
        <w:ind w:left="456" w:leftChars="228"/>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 xml:space="preserve"> 2.地点</w:t>
      </w:r>
      <w:r>
        <w:rPr>
          <w:rFonts w:hint="eastAsia" w:ascii="宋体" w:hAnsi="宋体" w:eastAsia="宋体" w:cs="宋体"/>
          <w:color w:val="auto"/>
          <w:sz w:val="24"/>
          <w:szCs w:val="24"/>
          <w:highlight w:val="none"/>
          <w:lang w:val="zh-CN"/>
        </w:rPr>
        <w:t>：</w:t>
      </w:r>
      <w:r>
        <w:rPr>
          <w:sz w:val="24"/>
          <w:szCs w:val="24"/>
        </w:rPr>
        <w:t>济南市工业南路</w:t>
      </w:r>
      <w:r>
        <w:rPr>
          <w:spacing w:val="-60"/>
          <w:sz w:val="24"/>
          <w:szCs w:val="24"/>
        </w:rPr>
        <w:t xml:space="preserve"> </w:t>
      </w:r>
      <w:r>
        <w:rPr>
          <w:sz w:val="24"/>
          <w:szCs w:val="24"/>
        </w:rPr>
        <w:t>59</w:t>
      </w:r>
      <w:r>
        <w:rPr>
          <w:spacing w:val="-60"/>
          <w:sz w:val="24"/>
          <w:szCs w:val="24"/>
        </w:rPr>
        <w:t xml:space="preserve"> </w:t>
      </w:r>
      <w:r>
        <w:rPr>
          <w:sz w:val="24"/>
          <w:szCs w:val="24"/>
        </w:rPr>
        <w:t>号中铁财智中心</w:t>
      </w:r>
      <w:r>
        <w:rPr>
          <w:spacing w:val="-60"/>
          <w:sz w:val="24"/>
          <w:szCs w:val="24"/>
        </w:rPr>
        <w:t xml:space="preserve"> </w:t>
      </w:r>
      <w:r>
        <w:rPr>
          <w:sz w:val="24"/>
          <w:szCs w:val="24"/>
        </w:rPr>
        <w:t>6</w:t>
      </w:r>
      <w:r>
        <w:rPr>
          <w:spacing w:val="-60"/>
          <w:sz w:val="24"/>
          <w:szCs w:val="24"/>
        </w:rPr>
        <w:t xml:space="preserve"> </w:t>
      </w:r>
      <w:r>
        <w:rPr>
          <w:sz w:val="24"/>
          <w:szCs w:val="24"/>
        </w:rPr>
        <w:t>号楼</w:t>
      </w:r>
      <w:r>
        <w:rPr>
          <w:spacing w:val="-60"/>
          <w:sz w:val="24"/>
          <w:szCs w:val="24"/>
        </w:rPr>
        <w:t xml:space="preserve"> </w:t>
      </w:r>
      <w:r>
        <w:rPr>
          <w:sz w:val="24"/>
          <w:szCs w:val="24"/>
        </w:rPr>
        <w:t>15</w:t>
      </w:r>
      <w:r>
        <w:rPr>
          <w:spacing w:val="-60"/>
          <w:sz w:val="24"/>
          <w:szCs w:val="24"/>
        </w:rPr>
        <w:t xml:space="preserve"> </w:t>
      </w:r>
      <w:r>
        <w:rPr>
          <w:sz w:val="24"/>
          <w:szCs w:val="24"/>
        </w:rPr>
        <w:t>层</w:t>
      </w:r>
      <w:r>
        <w:rPr>
          <w:rFonts w:hint="eastAsia"/>
          <w:sz w:val="24"/>
          <w:szCs w:val="24"/>
          <w:lang w:eastAsia="zh-CN"/>
        </w:rPr>
        <w:t>会议室</w:t>
      </w:r>
    </w:p>
    <w:p>
      <w:pPr>
        <w:keepNext w:val="0"/>
        <w:keepLines w:val="0"/>
        <w:pageBreakBefore w:val="0"/>
        <w:widowControl/>
        <w:kinsoku/>
        <w:wordWrap/>
        <w:overflowPunct/>
        <w:topLinePunct w:val="0"/>
        <w:autoSpaceDE/>
        <w:autoSpaceDN/>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七、采购项目联系方式</w:t>
      </w:r>
    </w:p>
    <w:p>
      <w:pPr>
        <w:keepNext w:val="0"/>
        <w:keepLines w:val="0"/>
        <w:pageBreakBefore w:val="0"/>
        <w:widowControl/>
        <w:kinsoku/>
        <w:wordWrap/>
        <w:overflowPunct/>
        <w:topLinePunct w:val="0"/>
        <w:autoSpaceDE/>
        <w:autoSpaceDN/>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 xml:space="preserve">    联系人：</w:t>
      </w:r>
      <w:r>
        <w:rPr>
          <w:rFonts w:hint="eastAsia" w:ascii="宋体" w:hAnsi="宋体" w:eastAsia="宋体" w:cs="宋体"/>
          <w:color w:val="auto"/>
          <w:sz w:val="24"/>
          <w:szCs w:val="24"/>
          <w:highlight w:val="none"/>
          <w:u w:val="single"/>
          <w:lang w:val="zh-CN"/>
        </w:rPr>
        <w:t xml:space="preserve"> </w:t>
      </w:r>
      <w:r>
        <w:rPr>
          <w:rFonts w:hint="eastAsia" w:ascii="宋体" w:hAnsi="宋体" w:cs="宋体"/>
          <w:color w:val="auto"/>
          <w:sz w:val="24"/>
          <w:szCs w:val="24"/>
          <w:highlight w:val="none"/>
          <w:u w:val="single"/>
          <w:lang w:val="zh-CN"/>
        </w:rPr>
        <w:t>李同同</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联系方式：</w:t>
      </w:r>
      <w:r>
        <w:rPr>
          <w:rFonts w:hint="eastAsia" w:ascii="宋体" w:hAnsi="宋体" w:eastAsia="宋体" w:cs="宋体"/>
          <w:color w:val="auto"/>
          <w:sz w:val="24"/>
          <w:szCs w:val="24"/>
          <w:highlight w:val="none"/>
          <w:u w:val="single"/>
          <w:lang w:val="zh-CN"/>
        </w:rPr>
        <w:t xml:space="preserve"> 185960986</w:t>
      </w:r>
      <w:r>
        <w:rPr>
          <w:rFonts w:hint="eastAsia" w:ascii="宋体" w:hAnsi="宋体" w:cs="宋体"/>
          <w:color w:val="auto"/>
          <w:sz w:val="24"/>
          <w:szCs w:val="24"/>
          <w:highlight w:val="none"/>
          <w:u w:val="single"/>
          <w:lang w:val="en-US" w:eastAsia="zh-CN"/>
        </w:rPr>
        <w:t>29</w:t>
      </w:r>
      <w:r>
        <w:rPr>
          <w:rFonts w:hint="eastAsia" w:ascii="宋体" w:hAnsi="宋体" w:eastAsia="宋体" w:cs="宋体"/>
          <w:color w:val="auto"/>
          <w:sz w:val="24"/>
          <w:szCs w:val="24"/>
          <w:highlight w:val="none"/>
          <w:u w:val="single"/>
          <w:lang w:val="zh-CN"/>
        </w:rPr>
        <w:t>、</w:t>
      </w:r>
      <w:r>
        <w:rPr>
          <w:rFonts w:hint="eastAsia" w:ascii="宋体" w:hAnsi="宋体" w:eastAsia="宋体" w:cs="宋体"/>
          <w:color w:val="auto"/>
          <w:sz w:val="24"/>
          <w:szCs w:val="24"/>
          <w:highlight w:val="none"/>
          <w:u w:val="single"/>
          <w:lang w:val="zh-CN" w:eastAsia="zh-CN"/>
        </w:rPr>
        <w:t>0531-88809762-8017</w:t>
      </w:r>
    </w:p>
    <w:p>
      <w:pPr>
        <w:keepNext w:val="0"/>
        <w:keepLines w:val="0"/>
        <w:pageBreakBefore w:val="0"/>
        <w:widowControl/>
        <w:numPr>
          <w:ilvl w:val="0"/>
          <w:numId w:val="1"/>
        </w:numPr>
        <w:kinsoku/>
        <w:wordWrap/>
        <w:overflowPunct/>
        <w:topLinePunct w:val="0"/>
        <w:autoSpaceDE/>
        <w:autoSpaceDN/>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采购项目的用途、数量、简要技术要求等</w:t>
      </w:r>
    </w:p>
    <w:p>
      <w:pPr>
        <w:keepNext w:val="0"/>
        <w:keepLines w:val="0"/>
        <w:pageBreakBefore w:val="0"/>
        <w:widowControl/>
        <w:kinsoku/>
        <w:wordWrap/>
        <w:overflowPunct/>
        <w:topLinePunct w:val="0"/>
        <w:autoSpaceDE/>
        <w:autoSpaceDN/>
        <w:bidi w:val="0"/>
        <w:adjustRightInd w:val="0"/>
        <w:snapToGrid w:val="0"/>
        <w:spacing w:afterAutospacing="0" w:line="360" w:lineRule="auto"/>
        <w:ind w:firstLine="1200" w:firstLineChars="5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详见竞争性磋商文件</w:t>
      </w:r>
    </w:p>
    <w:p>
      <w:pPr>
        <w:keepNext w:val="0"/>
        <w:keepLines w:val="0"/>
        <w:pageBreakBefore w:val="0"/>
        <w:widowControl/>
        <w:numPr>
          <w:ilvl w:val="0"/>
          <w:numId w:val="1"/>
        </w:numPr>
        <w:kinsoku/>
        <w:wordWrap/>
        <w:overflowPunct/>
        <w:topLinePunct w:val="0"/>
        <w:autoSpaceDE/>
        <w:autoSpaceDN/>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采购项目需要落实的政府采购政策</w:t>
      </w:r>
    </w:p>
    <w:p>
      <w:pPr>
        <w:keepNext w:val="0"/>
        <w:keepLines w:val="0"/>
        <w:pageBreakBefore w:val="0"/>
        <w:widowControl/>
        <w:kinsoku/>
        <w:wordWrap/>
        <w:overflowPunct/>
        <w:topLinePunct w:val="0"/>
        <w:autoSpaceDE/>
        <w:autoSpaceDN/>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详见竞争性磋商文件</w:t>
      </w:r>
    </w:p>
    <w:p>
      <w:pPr>
        <w:keepNext w:val="0"/>
        <w:keepLines w:val="0"/>
        <w:pageBreakBefore w:val="0"/>
        <w:widowControl/>
        <w:kinsoku/>
        <w:wordWrap/>
        <w:overflowPunct/>
        <w:topLinePunct w:val="0"/>
        <w:autoSpaceDE/>
        <w:autoSpaceDN/>
        <w:bidi w:val="0"/>
        <w:adjustRightInd w:val="0"/>
        <w:snapToGrid w:val="0"/>
        <w:spacing w:afterAutospacing="0" w:line="360" w:lineRule="auto"/>
        <w:jc w:val="righ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p>
    <w:p>
      <w:pPr>
        <w:keepNext w:val="0"/>
        <w:keepLines w:val="0"/>
        <w:pageBreakBefore w:val="0"/>
        <w:widowControl/>
        <w:kinsoku/>
        <w:wordWrap/>
        <w:overflowPunct/>
        <w:topLinePunct w:val="0"/>
        <w:autoSpaceDE/>
        <w:autoSpaceDN/>
        <w:bidi w:val="0"/>
        <w:adjustRightInd w:val="0"/>
        <w:snapToGrid w:val="0"/>
        <w:spacing w:afterAutospacing="0" w:line="360" w:lineRule="auto"/>
        <w:jc w:val="righ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发 布 人：山东蓝盾招标代理有限公司</w:t>
      </w:r>
    </w:p>
    <w:p>
      <w:pPr>
        <w:keepNext w:val="0"/>
        <w:keepLines w:val="0"/>
        <w:pageBreakBefore w:val="0"/>
        <w:widowControl/>
        <w:kinsoku/>
        <w:wordWrap/>
        <w:overflowPunct/>
        <w:topLinePunct w:val="0"/>
        <w:autoSpaceDE/>
        <w:autoSpaceDN/>
        <w:bidi w:val="0"/>
        <w:adjustRightInd w:val="0"/>
        <w:snapToGrid w:val="0"/>
        <w:spacing w:afterAutospacing="0" w:line="360" w:lineRule="auto"/>
        <w:ind w:firstLine="5280" w:firstLineChars="2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发布时间：</w:t>
      </w:r>
      <w:r>
        <w:rPr>
          <w:rFonts w:hint="eastAsia" w:ascii="宋体" w:hAnsi="宋体" w:eastAsia="宋体" w:cs="宋体"/>
          <w:color w:val="auto"/>
          <w:sz w:val="24"/>
          <w:szCs w:val="24"/>
          <w:highlight w:val="none"/>
          <w:u w:val="single"/>
        </w:rPr>
        <w:t>201</w:t>
      </w:r>
      <w:r>
        <w:rPr>
          <w:rFonts w:hint="eastAsia" w:ascii="宋体" w:hAnsi="宋体" w:eastAsia="宋体" w:cs="宋体"/>
          <w:color w:val="auto"/>
          <w:sz w:val="24"/>
          <w:szCs w:val="24"/>
          <w:highlight w:val="none"/>
          <w:u w:val="single"/>
          <w:lang w:val="en-US" w:eastAsia="zh-CN"/>
        </w:rPr>
        <w:t>9</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u w:val="single"/>
          <w:lang w:val="en-US" w:eastAsia="zh-CN"/>
        </w:rPr>
        <w:t>12</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u w:val="single"/>
          <w:lang w:val="en-US" w:eastAsia="zh-CN"/>
        </w:rPr>
        <w:t>1</w:t>
      </w:r>
      <w:r>
        <w:rPr>
          <w:rFonts w:hint="eastAsia" w:ascii="宋体" w:hAnsi="宋体" w:eastAsia="宋体" w:cs="宋体"/>
          <w:color w:val="auto"/>
          <w:sz w:val="24"/>
          <w:szCs w:val="24"/>
          <w:highlight w:val="none"/>
        </w:rPr>
        <w:t>日</w:t>
      </w:r>
      <w:bookmarkStart w:id="18" w:name="_Toc5178"/>
      <w:bookmarkStart w:id="19" w:name="_Toc23570"/>
      <w:bookmarkStart w:id="20" w:name="_Toc19754"/>
      <w:bookmarkStart w:id="21" w:name="_Toc8134"/>
      <w:bookmarkStart w:id="22" w:name="_Toc12262"/>
      <w:bookmarkStart w:id="23" w:name="_Toc21062"/>
      <w:bookmarkStart w:id="24" w:name="_Toc27223"/>
      <w:bookmarkStart w:id="25" w:name="_Toc6000"/>
      <w:bookmarkStart w:id="26" w:name="_Toc11981"/>
      <w:bookmarkStart w:id="27" w:name="_Toc11964"/>
      <w:bookmarkStart w:id="28" w:name="_Toc29265"/>
      <w:bookmarkStart w:id="29" w:name="_Toc28014"/>
      <w:bookmarkStart w:id="30" w:name="_Toc25360"/>
    </w:p>
    <w:p>
      <w:pPr>
        <w:pageBreakBefore w:val="0"/>
        <w:widowControl/>
        <w:kinsoku/>
        <w:wordWrap/>
        <w:overflowPunct/>
        <w:topLinePunct w:val="0"/>
        <w:autoSpaceDE/>
        <w:autoSpaceDN/>
        <w:bidi w:val="0"/>
        <w:adjustRightInd w:val="0"/>
        <w:snapToGrid w:val="0"/>
        <w:spacing w:afterAutospacing="0" w:line="360" w:lineRule="auto"/>
        <w:ind w:firstLine="11485" w:firstLineChars="2600"/>
        <w:jc w:val="both"/>
        <w:textAlignment w:val="auto"/>
        <w:rPr>
          <w:rStyle w:val="45"/>
          <w:rFonts w:hint="eastAsia" w:ascii="宋体" w:hAnsi="宋体" w:eastAsia="宋体" w:cs="宋体"/>
          <w:color w:val="auto"/>
          <w:highlight w:val="none"/>
        </w:rPr>
      </w:pPr>
      <w:r>
        <w:rPr>
          <w:rStyle w:val="45"/>
          <w:rFonts w:hint="eastAsia" w:ascii="宋体" w:hAnsi="宋体" w:eastAsia="宋体" w:cs="宋体"/>
          <w:color w:val="auto"/>
          <w:highlight w:val="none"/>
        </w:rPr>
        <w:br w:type="page"/>
      </w:r>
    </w:p>
    <w:p>
      <w:pPr>
        <w:pageBreakBefore w:val="0"/>
        <w:kinsoku/>
        <w:wordWrap/>
        <w:topLinePunct w:val="0"/>
        <w:bidi w:val="0"/>
        <w:adjustRightInd w:val="0"/>
        <w:snapToGrid w:val="0"/>
        <w:spacing w:afterAutospacing="0" w:line="360" w:lineRule="auto"/>
        <w:jc w:val="center"/>
        <w:textAlignment w:val="auto"/>
        <w:outlineLvl w:val="0"/>
        <w:rPr>
          <w:rStyle w:val="45"/>
          <w:rFonts w:hint="eastAsia" w:ascii="宋体" w:hAnsi="宋体" w:eastAsia="宋体" w:cs="宋体"/>
          <w:color w:val="auto"/>
          <w:highlight w:val="none"/>
        </w:rPr>
      </w:pPr>
      <w:r>
        <w:rPr>
          <w:rStyle w:val="45"/>
          <w:rFonts w:hint="eastAsia" w:ascii="宋体" w:hAnsi="宋体" w:eastAsia="宋体" w:cs="宋体"/>
          <w:color w:val="auto"/>
          <w:highlight w:val="none"/>
        </w:rPr>
        <w:t xml:space="preserve">第二部分  </w:t>
      </w:r>
      <w:r>
        <w:rPr>
          <w:rStyle w:val="45"/>
          <w:rFonts w:hint="eastAsia" w:ascii="宋体" w:hAnsi="宋体" w:eastAsia="宋体" w:cs="宋体"/>
          <w:color w:val="auto"/>
          <w:highlight w:val="none"/>
          <w:lang w:eastAsia="zh-CN"/>
        </w:rPr>
        <w:t>供应商</w:t>
      </w:r>
      <w:r>
        <w:rPr>
          <w:rStyle w:val="45"/>
          <w:rFonts w:hint="eastAsia" w:ascii="宋体" w:hAnsi="宋体" w:eastAsia="宋体" w:cs="宋体"/>
          <w:color w:val="auto"/>
          <w:highlight w:val="none"/>
        </w:rPr>
        <w:t>须知</w:t>
      </w:r>
      <w:bookmarkEnd w:id="18"/>
      <w:bookmarkEnd w:id="19"/>
      <w:bookmarkEnd w:id="20"/>
      <w:bookmarkEnd w:id="21"/>
      <w:bookmarkEnd w:id="22"/>
      <w:bookmarkEnd w:id="23"/>
    </w:p>
    <w:p>
      <w:pPr>
        <w:pageBreakBefore w:val="0"/>
        <w:kinsoku/>
        <w:wordWrap/>
        <w:topLinePunct w:val="0"/>
        <w:bidi w:val="0"/>
        <w:adjustRightInd w:val="0"/>
        <w:snapToGrid w:val="0"/>
        <w:spacing w:afterAutospacing="0" w:line="360" w:lineRule="auto"/>
        <w:jc w:val="center"/>
        <w:textAlignment w:val="auto"/>
        <w:outlineLvl w:val="1"/>
        <w:rPr>
          <w:rFonts w:hint="eastAsia" w:ascii="宋体" w:hAnsi="宋体" w:eastAsia="宋体" w:cs="宋体"/>
          <w:b/>
          <w:color w:val="auto"/>
          <w:sz w:val="32"/>
          <w:szCs w:val="32"/>
          <w:highlight w:val="none"/>
        </w:rPr>
      </w:pPr>
      <w:bookmarkStart w:id="31" w:name="_Toc31665"/>
      <w:r>
        <w:rPr>
          <w:rFonts w:hint="eastAsia" w:ascii="宋体" w:hAnsi="宋体" w:eastAsia="宋体" w:cs="宋体"/>
          <w:b/>
          <w:color w:val="auto"/>
          <w:sz w:val="32"/>
          <w:szCs w:val="32"/>
          <w:highlight w:val="none"/>
        </w:rPr>
        <w:t>前 附 表</w:t>
      </w:r>
      <w:bookmarkEnd w:id="31"/>
    </w:p>
    <w:tbl>
      <w:tblPr>
        <w:tblStyle w:val="37"/>
        <w:tblW w:w="9972"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65"/>
        <w:gridCol w:w="1793"/>
        <w:gridCol w:w="731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 w:hRule="atLeast"/>
          <w:jc w:val="center"/>
        </w:trPr>
        <w:tc>
          <w:tcPr>
            <w:tcW w:w="865" w:type="dxa"/>
            <w:tcBorders>
              <w:bottom w:val="single" w:color="auto" w:sz="8"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序号</w:t>
            </w:r>
          </w:p>
        </w:tc>
        <w:tc>
          <w:tcPr>
            <w:tcW w:w="1793" w:type="dxa"/>
            <w:tcBorders>
              <w:left w:val="single" w:color="auto" w:sz="4" w:space="0"/>
              <w:bottom w:val="single" w:color="auto" w:sz="8"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内容</w:t>
            </w:r>
          </w:p>
        </w:tc>
        <w:tc>
          <w:tcPr>
            <w:tcW w:w="7314" w:type="dxa"/>
            <w:tcBorders>
              <w:bottom w:val="single" w:color="auto" w:sz="8"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说明与要求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 w:hRule="atLeast"/>
          <w:jc w:val="center"/>
        </w:trPr>
        <w:tc>
          <w:tcPr>
            <w:tcW w:w="865" w:type="dxa"/>
            <w:tcBorders>
              <w:bottom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1</w:t>
            </w:r>
          </w:p>
        </w:tc>
        <w:tc>
          <w:tcPr>
            <w:tcW w:w="1793" w:type="dxa"/>
            <w:tcBorders>
              <w:left w:val="single" w:color="auto" w:sz="4" w:space="0"/>
              <w:bottom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工程名称</w:t>
            </w:r>
          </w:p>
        </w:tc>
        <w:tc>
          <w:tcPr>
            <w:tcW w:w="7314" w:type="dxa"/>
            <w:tcBorders>
              <w:bottom w:val="single" w:color="auto" w:sz="4" w:space="0"/>
            </w:tcBorders>
            <w:vAlign w:val="center"/>
          </w:tcPr>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pacing w:val="6"/>
                <w:sz w:val="24"/>
                <w:szCs w:val="24"/>
                <w:highlight w:val="none"/>
                <w:lang w:eastAsia="zh-CN"/>
              </w:rPr>
            </w:pPr>
            <w:r>
              <w:rPr>
                <w:rFonts w:hint="eastAsia" w:ascii="宋体" w:hAnsi="宋体" w:cs="宋体"/>
                <w:sz w:val="24"/>
                <w:szCs w:val="24"/>
                <w:lang w:eastAsia="zh-CN"/>
              </w:rPr>
              <w:t>济南高新技术产业开发区临港街道办事处（章锦街道办事处）东岸嘉园社区党群服务中心打造提升项目</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80" w:hRule="atLeast"/>
          <w:jc w:val="center"/>
        </w:trPr>
        <w:tc>
          <w:tcPr>
            <w:tcW w:w="865" w:type="dxa"/>
            <w:tcBorders>
              <w:bottom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2</w:t>
            </w:r>
          </w:p>
        </w:tc>
        <w:tc>
          <w:tcPr>
            <w:tcW w:w="1793" w:type="dxa"/>
            <w:tcBorders>
              <w:left w:val="single" w:color="auto" w:sz="4" w:space="0"/>
              <w:bottom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建设地点</w:t>
            </w:r>
          </w:p>
        </w:tc>
        <w:tc>
          <w:tcPr>
            <w:tcW w:w="7314" w:type="dxa"/>
            <w:tcBorders>
              <w:bottom w:val="single" w:color="auto" w:sz="4" w:space="0"/>
            </w:tcBorders>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pacing w:val="6"/>
                <w:sz w:val="24"/>
                <w:szCs w:val="24"/>
                <w:highlight w:val="none"/>
                <w:lang w:eastAsia="zh-CN"/>
              </w:rPr>
            </w:pPr>
            <w:r>
              <w:rPr>
                <w:rFonts w:hint="eastAsia" w:ascii="宋体" w:hAnsi="宋体" w:cs="宋体"/>
                <w:color w:val="auto"/>
                <w:spacing w:val="6"/>
                <w:sz w:val="24"/>
                <w:szCs w:val="24"/>
                <w:highlight w:val="none"/>
                <w:lang w:eastAsia="zh-CN"/>
              </w:rPr>
              <w:t>甲方指定地点</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08" w:hRule="atLeast"/>
          <w:jc w:val="center"/>
        </w:trPr>
        <w:tc>
          <w:tcPr>
            <w:tcW w:w="865" w:type="dxa"/>
            <w:tcBorders>
              <w:top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3</w:t>
            </w:r>
          </w:p>
        </w:tc>
        <w:tc>
          <w:tcPr>
            <w:tcW w:w="1793" w:type="dxa"/>
            <w:tcBorders>
              <w:top w:val="single" w:color="auto" w:sz="4" w:space="0"/>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项目概况</w:t>
            </w:r>
          </w:p>
        </w:tc>
        <w:tc>
          <w:tcPr>
            <w:tcW w:w="7314" w:type="dxa"/>
            <w:tcBorders>
              <w:top w:val="single" w:color="auto" w:sz="4" w:space="0"/>
            </w:tcBorders>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本项目为</w:t>
            </w:r>
            <w:r>
              <w:rPr>
                <w:rFonts w:hint="eastAsia" w:ascii="宋体" w:hAnsi="宋体" w:cs="宋体"/>
                <w:sz w:val="24"/>
                <w:szCs w:val="24"/>
                <w:lang w:eastAsia="zh-CN"/>
              </w:rPr>
              <w:t>济南高新技术产业开发区临港街道办事处（章锦街道办事处）东岸嘉园社区党群服务中心打造提升项目</w:t>
            </w:r>
            <w:r>
              <w:rPr>
                <w:rFonts w:hint="eastAsia" w:ascii="宋体" w:hAnsi="宋体" w:eastAsia="宋体" w:cs="宋体"/>
                <w:color w:val="auto"/>
                <w:sz w:val="24"/>
                <w:highlight w:val="none"/>
                <w:lang w:eastAsia="zh-CN"/>
              </w:rPr>
              <w:t>，</w:t>
            </w:r>
            <w:r>
              <w:rPr>
                <w:rFonts w:hint="eastAsia" w:ascii="宋体" w:hAnsi="宋体" w:eastAsia="宋体" w:cs="宋体"/>
                <w:color w:val="auto"/>
                <w:sz w:val="24"/>
                <w:szCs w:val="24"/>
                <w:highlight w:val="none"/>
              </w:rPr>
              <w:t>具体详见工程量清单。</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4</w:t>
            </w:r>
          </w:p>
        </w:tc>
        <w:tc>
          <w:tcPr>
            <w:tcW w:w="1793" w:type="dxa"/>
            <w:tcBorders>
              <w:left w:val="single" w:color="auto" w:sz="4" w:space="0"/>
            </w:tcBorders>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质量标准</w:t>
            </w:r>
          </w:p>
        </w:tc>
        <w:tc>
          <w:tcPr>
            <w:tcW w:w="7314" w:type="dxa"/>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合格</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5</w:t>
            </w:r>
          </w:p>
        </w:tc>
        <w:tc>
          <w:tcPr>
            <w:tcW w:w="1793" w:type="dxa"/>
            <w:tcBorders>
              <w:left w:val="single" w:color="auto" w:sz="4" w:space="0"/>
            </w:tcBorders>
            <w:vAlign w:val="center"/>
          </w:tcPr>
          <w:p>
            <w:pPr>
              <w:pStyle w:val="50"/>
              <w:pageBreakBefore w:val="0"/>
              <w:kinsoku/>
              <w:wordWrap/>
              <w:topLinePunct w:val="0"/>
              <w:bidi w:val="0"/>
              <w:adjustRightInd w:val="0"/>
              <w:snapToGrid w:val="0"/>
              <w:spacing w:afterAutospacing="0" w:line="360" w:lineRule="auto"/>
              <w:ind w:left="1260" w:hanging="1260" w:hangingChars="500"/>
              <w:jc w:val="center"/>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质保期</w:t>
            </w:r>
          </w:p>
        </w:tc>
        <w:tc>
          <w:tcPr>
            <w:tcW w:w="7314" w:type="dxa"/>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年，符合国家相关质量标准。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9"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6</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报价方式</w:t>
            </w:r>
          </w:p>
        </w:tc>
        <w:tc>
          <w:tcPr>
            <w:tcW w:w="7314" w:type="dxa"/>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工程量清单报价</w:t>
            </w: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7</w:t>
            </w:r>
          </w:p>
        </w:tc>
        <w:tc>
          <w:tcPr>
            <w:tcW w:w="1793" w:type="dxa"/>
            <w:tcBorders>
              <w:left w:val="single" w:color="auto" w:sz="4" w:space="0"/>
            </w:tcBorders>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工期</w:t>
            </w:r>
          </w:p>
        </w:tc>
        <w:tc>
          <w:tcPr>
            <w:tcW w:w="7314" w:type="dxa"/>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cs="宋体"/>
                <w:b/>
                <w:bCs/>
                <w:color w:val="auto"/>
                <w:spacing w:val="6"/>
                <w:sz w:val="24"/>
                <w:szCs w:val="24"/>
                <w:highlight w:val="none"/>
                <w:lang w:val="en-US" w:eastAsia="zh-CN"/>
              </w:rPr>
              <w:t xml:space="preserve"> 10 </w:t>
            </w:r>
            <w:r>
              <w:rPr>
                <w:rFonts w:hint="eastAsia" w:ascii="宋体" w:hAnsi="宋体" w:eastAsia="宋体" w:cs="宋体"/>
                <w:b/>
                <w:bCs/>
                <w:color w:val="auto"/>
                <w:spacing w:val="6"/>
                <w:sz w:val="24"/>
                <w:szCs w:val="24"/>
                <w:highlight w:val="none"/>
              </w:rPr>
              <w:t>日历天，以甲方开工令为准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037"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8</w:t>
            </w:r>
          </w:p>
        </w:tc>
        <w:tc>
          <w:tcPr>
            <w:tcW w:w="1793" w:type="dxa"/>
            <w:tcBorders>
              <w:left w:val="single" w:color="auto" w:sz="4" w:space="0"/>
            </w:tcBorders>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资要求</w:t>
            </w:r>
          </w:p>
        </w:tc>
        <w:tc>
          <w:tcPr>
            <w:tcW w:w="7314" w:type="dxa"/>
            <w:vAlign w:val="top"/>
          </w:tcPr>
          <w:p>
            <w:pPr>
              <w:keepNext w:val="0"/>
              <w:keepLines w:val="0"/>
              <w:pageBreakBefore w:val="0"/>
              <w:widowControl/>
              <w:kinsoku/>
              <w:overflowPunct/>
              <w:topLinePunct w:val="0"/>
              <w:autoSpaceDE/>
              <w:autoSpaceDN/>
              <w:bidi w:val="0"/>
              <w:adjustRightInd w:val="0"/>
              <w:snapToGrid w:val="0"/>
              <w:spacing w:line="360" w:lineRule="auto"/>
              <w:jc w:val="left"/>
              <w:textAlignment w:val="auto"/>
              <w:rPr>
                <w:rFonts w:hint="eastAsia" w:ascii="宋体" w:hAnsi="宋体" w:cs="宋体"/>
                <w:kern w:val="0"/>
                <w:sz w:val="24"/>
              </w:rPr>
            </w:pPr>
            <w:r>
              <w:rPr>
                <w:rFonts w:hint="eastAsia" w:ascii="宋体" w:hAnsi="宋体" w:cs="宋体"/>
                <w:kern w:val="0"/>
                <w:sz w:val="24"/>
                <w:lang w:val="en-US" w:eastAsia="zh-CN"/>
              </w:rPr>
              <w:t>1、</w:t>
            </w:r>
            <w:r>
              <w:rPr>
                <w:rFonts w:hint="eastAsia" w:ascii="宋体" w:hAnsi="宋体" w:cs="宋体"/>
                <w:kern w:val="0"/>
                <w:sz w:val="24"/>
              </w:rPr>
              <w:t>具备《政府采购法》第二十二条规定的条件；</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jc w:val="left"/>
              <w:textAlignment w:val="auto"/>
              <w:rPr>
                <w:rFonts w:hint="eastAsia" w:ascii="宋体" w:hAnsi="宋体" w:cs="宋体"/>
                <w:kern w:val="0"/>
                <w:sz w:val="24"/>
              </w:rPr>
            </w:pPr>
            <w:r>
              <w:rPr>
                <w:rFonts w:hint="eastAsia" w:ascii="宋体" w:hAnsi="宋体" w:cs="宋体"/>
                <w:kern w:val="0"/>
                <w:sz w:val="24"/>
                <w:lang w:val="en-US" w:eastAsia="zh-CN"/>
              </w:rPr>
              <w:t>2、</w:t>
            </w:r>
            <w:r>
              <w:rPr>
                <w:rFonts w:hint="eastAsia" w:ascii="宋体" w:hAnsi="宋体" w:cs="宋体"/>
                <w:kern w:val="0"/>
                <w:sz w:val="24"/>
                <w:lang w:eastAsia="zh-CN"/>
              </w:rPr>
              <w:t>供应商</w:t>
            </w:r>
            <w:r>
              <w:rPr>
                <w:rFonts w:hint="eastAsia" w:ascii="宋体" w:hAnsi="宋体" w:cs="宋体"/>
                <w:kern w:val="0"/>
                <w:sz w:val="24"/>
              </w:rPr>
              <w:t>须具备独立法人资格，并在人员、设备、资金等方面具备较强的履约能力；</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ind w:leftChars="0"/>
              <w:jc w:val="left"/>
              <w:textAlignment w:val="auto"/>
              <w:rPr>
                <w:rFonts w:hint="eastAsia" w:ascii="宋体" w:hAnsi="宋体" w:cs="宋体"/>
                <w:kern w:val="0"/>
                <w:sz w:val="24"/>
              </w:rPr>
            </w:pPr>
            <w:r>
              <w:rPr>
                <w:rFonts w:hint="eastAsia" w:ascii="宋体" w:hAnsi="宋体" w:cs="宋体"/>
                <w:kern w:val="0"/>
                <w:sz w:val="24"/>
                <w:lang w:val="en-US" w:eastAsia="zh-CN"/>
              </w:rPr>
              <w:t>3、</w:t>
            </w:r>
            <w:r>
              <w:rPr>
                <w:rFonts w:hint="eastAsia" w:ascii="宋体" w:hAnsi="宋体" w:cs="宋体"/>
                <w:kern w:val="0"/>
                <w:sz w:val="24"/>
                <w:lang w:eastAsia="zh-CN"/>
              </w:rPr>
              <w:t>供应商</w:t>
            </w:r>
            <w:r>
              <w:rPr>
                <w:rFonts w:hint="eastAsia" w:ascii="宋体" w:hAnsi="宋体" w:cs="宋体"/>
                <w:kern w:val="0"/>
                <w:sz w:val="24"/>
              </w:rPr>
              <w:t>须具备建筑工程施工总承包叁级及以上资质或建筑装修装饰工程专业承包贰级及以上资质；</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ind w:leftChars="0"/>
              <w:jc w:val="left"/>
              <w:textAlignment w:val="auto"/>
              <w:rPr>
                <w:rFonts w:hint="eastAsia" w:ascii="宋体" w:hAnsi="宋体" w:cs="宋体"/>
                <w:kern w:val="0"/>
                <w:sz w:val="24"/>
              </w:rPr>
            </w:pPr>
            <w:r>
              <w:rPr>
                <w:rFonts w:hint="eastAsia" w:ascii="宋体" w:hAnsi="宋体" w:cs="宋体"/>
                <w:kern w:val="0"/>
                <w:sz w:val="24"/>
                <w:lang w:val="en-US" w:eastAsia="zh-CN"/>
              </w:rPr>
              <w:t>4、</w:t>
            </w:r>
            <w:r>
              <w:rPr>
                <w:rFonts w:hint="eastAsia" w:ascii="宋体" w:hAnsi="宋体" w:cs="宋体"/>
                <w:kern w:val="0"/>
                <w:sz w:val="24"/>
              </w:rPr>
              <w:t>具有有效的安全生产许可证；</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ind w:leftChars="0"/>
              <w:jc w:val="left"/>
              <w:textAlignment w:val="auto"/>
              <w:rPr>
                <w:rFonts w:hint="eastAsia" w:ascii="宋体" w:hAnsi="宋体" w:cs="宋体"/>
                <w:kern w:val="0"/>
                <w:sz w:val="24"/>
                <w:lang w:eastAsia="zh-CN"/>
              </w:rPr>
            </w:pPr>
            <w:r>
              <w:rPr>
                <w:rFonts w:hint="eastAsia" w:ascii="宋体" w:hAnsi="宋体" w:cs="宋体"/>
                <w:kern w:val="0"/>
                <w:sz w:val="24"/>
                <w:lang w:val="en-US" w:eastAsia="zh-CN"/>
              </w:rPr>
              <w:t>5、</w:t>
            </w:r>
            <w:r>
              <w:rPr>
                <w:rFonts w:hint="eastAsia" w:ascii="宋体" w:hAnsi="宋体" w:cs="宋体"/>
                <w:kern w:val="0"/>
                <w:sz w:val="24"/>
              </w:rPr>
              <w:t>项目经理具有</w:t>
            </w:r>
            <w:r>
              <w:rPr>
                <w:rFonts w:hint="eastAsia" w:ascii="宋体" w:hAnsi="宋体" w:cs="宋体"/>
                <w:kern w:val="0"/>
                <w:sz w:val="24"/>
                <w:lang w:eastAsia="zh-CN"/>
              </w:rPr>
              <w:t>建筑工程类</w:t>
            </w:r>
            <w:r>
              <w:rPr>
                <w:rFonts w:hint="eastAsia" w:ascii="宋体" w:hAnsi="宋体" w:cs="宋体"/>
                <w:kern w:val="0"/>
                <w:sz w:val="24"/>
              </w:rPr>
              <w:t>贰级及以上建造师证书、有效的安全生产考核合格证书（B类）</w:t>
            </w:r>
            <w:r>
              <w:rPr>
                <w:rFonts w:hint="eastAsia" w:ascii="宋体" w:hAnsi="宋体" w:cs="宋体"/>
                <w:kern w:val="0"/>
                <w:sz w:val="24"/>
                <w:lang w:eastAsia="zh-CN"/>
              </w:rPr>
              <w:t>。</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ind w:leftChars="0"/>
              <w:jc w:val="left"/>
              <w:textAlignment w:val="auto"/>
              <w:rPr>
                <w:rFonts w:hint="eastAsia"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投标人应未被列入“信用中国”（www.creditchina.gov.cn）信用记录失信被执行人、重大税收违法案件当事人名单。</w:t>
            </w:r>
          </w:p>
          <w:p>
            <w:pPr>
              <w:keepNext w:val="0"/>
              <w:keepLines w:val="0"/>
              <w:pageBreakBefore w:val="0"/>
              <w:widowControl/>
              <w:numPr>
                <w:ilvl w:val="0"/>
                <w:numId w:val="0"/>
              </w:numPr>
              <w:kinsoku/>
              <w:overflowPunct/>
              <w:topLinePunct w:val="0"/>
              <w:autoSpaceDE/>
              <w:autoSpaceDN/>
              <w:bidi w:val="0"/>
              <w:adjustRightInd w:val="0"/>
              <w:snapToGrid w:val="0"/>
              <w:spacing w:line="360" w:lineRule="auto"/>
              <w:ind w:leftChars="0"/>
              <w:jc w:val="left"/>
              <w:textAlignment w:val="auto"/>
              <w:rPr>
                <w:rFonts w:hint="eastAsia" w:ascii="宋体" w:hAnsi="宋体" w:cs="宋体"/>
                <w:kern w:val="0"/>
                <w:sz w:val="24"/>
                <w:lang w:eastAsia="zh-CN"/>
              </w:rPr>
            </w:pPr>
            <w:r>
              <w:rPr>
                <w:rFonts w:hint="eastAsia" w:ascii="宋体" w:hAnsi="宋体" w:cs="宋体"/>
                <w:kern w:val="0"/>
                <w:sz w:val="24"/>
                <w:lang w:val="en-US" w:eastAsia="zh-CN"/>
              </w:rPr>
              <w:t>7、</w:t>
            </w:r>
            <w:r>
              <w:rPr>
                <w:rFonts w:hint="eastAsia" w:ascii="宋体" w:hAnsi="宋体" w:cs="宋体"/>
                <w:kern w:val="0"/>
                <w:sz w:val="24"/>
              </w:rPr>
              <w:t>本次招标不接受联合体投标</w:t>
            </w:r>
            <w:r>
              <w:rPr>
                <w:rFonts w:hint="eastAsia" w:ascii="宋体" w:hAnsi="宋体" w:cs="宋体"/>
                <w:kern w:val="0"/>
                <w:sz w:val="24"/>
                <w:lang w:eastAsia="zh-CN"/>
              </w:rPr>
              <w:t>。</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kern w:val="2"/>
                <w:sz w:val="24"/>
                <w:szCs w:val="24"/>
              </w:rPr>
            </w:pPr>
            <w:r>
              <w:rPr>
                <w:rFonts w:hint="eastAsia" w:ascii="宋体" w:hAnsi="宋体" w:cs="宋体"/>
                <w:kern w:val="0"/>
                <w:sz w:val="24"/>
                <w:lang w:val="en-US" w:eastAsia="zh-CN"/>
              </w:rPr>
              <w:t>8</w:t>
            </w:r>
            <w:r>
              <w:rPr>
                <w:rFonts w:hint="eastAsia" w:ascii="宋体" w:hAnsi="宋体" w:cs="宋体"/>
                <w:kern w:val="0"/>
                <w:sz w:val="24"/>
              </w:rPr>
              <w:t>、法律法规的其他要求规定。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9</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资格审查方式</w:t>
            </w:r>
          </w:p>
        </w:tc>
        <w:tc>
          <w:tcPr>
            <w:tcW w:w="7314" w:type="dxa"/>
            <w:vAlign w:val="center"/>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资格后审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10</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rPr>
              <w:t>资金来源</w:t>
            </w:r>
          </w:p>
        </w:tc>
        <w:tc>
          <w:tcPr>
            <w:tcW w:w="7314" w:type="dxa"/>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财政资金</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11</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验收方式</w:t>
            </w:r>
          </w:p>
        </w:tc>
        <w:tc>
          <w:tcPr>
            <w:tcW w:w="7314" w:type="dxa"/>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自行组织验收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12</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报价</w:t>
            </w:r>
            <w:r>
              <w:rPr>
                <w:rFonts w:hint="eastAsia" w:ascii="宋体" w:hAnsi="宋体" w:eastAsia="宋体" w:cs="宋体"/>
                <w:color w:val="auto"/>
                <w:sz w:val="24"/>
                <w:szCs w:val="24"/>
                <w:highlight w:val="none"/>
              </w:rPr>
              <w:t>有效期</w:t>
            </w:r>
          </w:p>
        </w:tc>
        <w:tc>
          <w:tcPr>
            <w:tcW w:w="7314" w:type="dxa"/>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公开报价后</w:t>
            </w:r>
            <w:r>
              <w:rPr>
                <w:rFonts w:hint="eastAsia" w:ascii="宋体" w:hAnsi="宋体" w:eastAsia="宋体" w:cs="宋体"/>
                <w:color w:val="auto"/>
                <w:spacing w:val="6"/>
                <w:sz w:val="24"/>
                <w:szCs w:val="24"/>
                <w:highlight w:val="none"/>
                <w:u w:val="single"/>
              </w:rPr>
              <w:t>90</w:t>
            </w:r>
            <w:r>
              <w:rPr>
                <w:rFonts w:hint="eastAsia" w:ascii="宋体" w:hAnsi="宋体" w:eastAsia="宋体" w:cs="宋体"/>
                <w:color w:val="auto"/>
                <w:spacing w:val="6"/>
                <w:sz w:val="24"/>
                <w:szCs w:val="24"/>
                <w:highlight w:val="none"/>
              </w:rPr>
              <w:t>日历天</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887"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13</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踏勘现场</w:t>
            </w:r>
          </w:p>
        </w:tc>
        <w:tc>
          <w:tcPr>
            <w:tcW w:w="7314" w:type="dxa"/>
            <w:vAlign w:val="center"/>
          </w:tcPr>
          <w:p>
            <w:pPr>
              <w:pageBreakBefore w:val="0"/>
              <w:kinsoku/>
              <w:wordWrap/>
              <w:topLinePunct w:val="0"/>
              <w:bidi w:val="0"/>
              <w:adjustRightInd w:val="0"/>
              <w:snapToGrid w:val="0"/>
              <w:spacing w:afterAutospacing="0" w:line="360" w:lineRule="auto"/>
              <w:jc w:val="both"/>
              <w:textAlignment w:val="auto"/>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rPr>
              <w:t>1、自行踏勘现场。</w:t>
            </w:r>
          </w:p>
          <w:p>
            <w:pPr>
              <w:pageBreakBefore w:val="0"/>
              <w:kinsoku/>
              <w:wordWrap/>
              <w:topLinePunct w:val="0"/>
              <w:bidi w:val="0"/>
              <w:adjustRightInd w:val="0"/>
              <w:snapToGrid w:val="0"/>
              <w:spacing w:afterAutospacing="0" w:line="360" w:lineRule="auto"/>
              <w:jc w:val="both"/>
              <w:textAlignment w:val="auto"/>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rPr>
              <w:t>2、踏勘现场要求：</w:t>
            </w:r>
          </w:p>
          <w:p>
            <w:pPr>
              <w:pageBreakBefore w:val="0"/>
              <w:kinsoku/>
              <w:wordWrap/>
              <w:topLinePunct w:val="0"/>
              <w:bidi w:val="0"/>
              <w:adjustRightInd w:val="0"/>
              <w:snapToGrid w:val="0"/>
              <w:spacing w:afterAutospacing="0" w:line="360" w:lineRule="auto"/>
              <w:jc w:val="both"/>
              <w:textAlignment w:val="auto"/>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rPr>
              <w:t>（1）供应商踏勘现场发生的费用自理。</w:t>
            </w:r>
          </w:p>
          <w:p>
            <w:pPr>
              <w:pageBreakBefore w:val="0"/>
              <w:kinsoku/>
              <w:wordWrap/>
              <w:topLinePunct w:val="0"/>
              <w:bidi w:val="0"/>
              <w:adjustRightInd w:val="0"/>
              <w:snapToGrid w:val="0"/>
              <w:spacing w:afterAutospacing="0" w:line="360" w:lineRule="auto"/>
              <w:jc w:val="both"/>
              <w:textAlignment w:val="auto"/>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rPr>
              <w:t>（2）供应商自行负责在踏勘现场中所发生的人员伤亡和财产损失。</w:t>
            </w:r>
          </w:p>
          <w:p>
            <w:pPr>
              <w:pageBreakBefore w:val="0"/>
              <w:kinsoku/>
              <w:wordWrap/>
              <w:topLinePunct w:val="0"/>
              <w:bidi w:val="0"/>
              <w:adjustRightInd w:val="0"/>
              <w:snapToGrid w:val="0"/>
              <w:spacing w:afterAutospacing="0" w:line="360" w:lineRule="auto"/>
              <w:jc w:val="both"/>
              <w:textAlignment w:val="auto"/>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rPr>
              <w:t>（3）采购人在踏勘现场中介绍的本项目情况和相关的周边环境情况，供应商在编制报价文件时参考，采购人不对供应商据此作出的判断和决策负责。</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534"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lang w:eastAsia="zh-CN"/>
              </w:rPr>
            </w:pPr>
            <w:r>
              <w:rPr>
                <w:rFonts w:hint="eastAsia" w:ascii="宋体" w:hAnsi="宋体" w:eastAsia="宋体" w:cs="宋体"/>
                <w:color w:val="auto"/>
                <w:spacing w:val="6"/>
                <w:sz w:val="24"/>
                <w:szCs w:val="24"/>
                <w:highlight w:val="none"/>
              </w:rPr>
              <w:t>1</w:t>
            </w:r>
            <w:r>
              <w:rPr>
                <w:rFonts w:hint="eastAsia" w:ascii="宋体" w:hAnsi="宋体" w:eastAsia="宋体" w:cs="宋体"/>
                <w:color w:val="auto"/>
                <w:spacing w:val="6"/>
                <w:sz w:val="24"/>
                <w:szCs w:val="24"/>
                <w:highlight w:val="none"/>
                <w:lang w:val="en-US" w:eastAsia="zh-CN"/>
              </w:rPr>
              <w:t>4</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报价文件份数</w:t>
            </w:r>
          </w:p>
        </w:tc>
        <w:tc>
          <w:tcPr>
            <w:tcW w:w="7314" w:type="dxa"/>
            <w:vAlign w:val="center"/>
          </w:tcPr>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正本一份，副本</w:t>
            </w:r>
            <w:r>
              <w:rPr>
                <w:rFonts w:hint="eastAsia" w:ascii="宋体" w:hAnsi="宋体" w:cs="宋体"/>
                <w:sz w:val="24"/>
                <w:szCs w:val="24"/>
                <w:highlight w:val="none"/>
                <w:lang w:eastAsia="zh-CN"/>
              </w:rPr>
              <w:t>三</w:t>
            </w:r>
            <w:r>
              <w:rPr>
                <w:rFonts w:hint="eastAsia" w:ascii="宋体" w:hAnsi="宋体" w:eastAsia="宋体" w:cs="宋体"/>
                <w:sz w:val="24"/>
                <w:szCs w:val="24"/>
                <w:highlight w:val="none"/>
              </w:rPr>
              <w:t>份（</w:t>
            </w:r>
            <w:r>
              <w:rPr>
                <w:rFonts w:hint="eastAsia" w:ascii="宋体" w:hAnsi="宋体" w:cs="宋体"/>
                <w:sz w:val="24"/>
                <w:szCs w:val="24"/>
                <w:highlight w:val="none"/>
                <w:lang w:eastAsia="zh-CN"/>
              </w:rPr>
              <w:t>磋商会议开始</w:t>
            </w:r>
            <w:r>
              <w:rPr>
                <w:rFonts w:hint="eastAsia" w:ascii="宋体" w:hAnsi="宋体" w:eastAsia="宋体" w:cs="宋体"/>
                <w:sz w:val="24"/>
                <w:szCs w:val="24"/>
                <w:highlight w:val="none"/>
              </w:rPr>
              <w:t>后不退还）。</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报价文件</w:t>
            </w:r>
            <w:r>
              <w:rPr>
                <w:rFonts w:hint="eastAsia" w:ascii="宋体" w:hAnsi="宋体" w:eastAsia="宋体" w:cs="宋体"/>
                <w:sz w:val="24"/>
                <w:szCs w:val="24"/>
                <w:highlight w:val="none"/>
              </w:rPr>
              <w:t>电子版U盘一份（内容包含</w:t>
            </w:r>
            <w:r>
              <w:rPr>
                <w:rFonts w:hint="eastAsia" w:ascii="宋体" w:hAnsi="宋体" w:cs="宋体"/>
                <w:sz w:val="24"/>
                <w:szCs w:val="24"/>
                <w:highlight w:val="none"/>
                <w:lang w:eastAsia="zh-CN"/>
              </w:rPr>
              <w:t>报价文件</w:t>
            </w:r>
            <w:r>
              <w:rPr>
                <w:rFonts w:hint="eastAsia" w:ascii="宋体" w:hAnsi="宋体" w:eastAsia="宋体" w:cs="宋体"/>
                <w:sz w:val="24"/>
                <w:szCs w:val="24"/>
                <w:highlight w:val="none"/>
              </w:rPr>
              <w:t>所有内容，</w:t>
            </w:r>
            <w:r>
              <w:rPr>
                <w:rFonts w:hint="eastAsia" w:ascii="宋体" w:hAnsi="宋体" w:cs="宋体"/>
                <w:sz w:val="24"/>
                <w:szCs w:val="24"/>
                <w:highlight w:val="none"/>
                <w:lang w:eastAsia="zh-CN"/>
              </w:rPr>
              <w:t>为</w:t>
            </w:r>
            <w:r>
              <w:rPr>
                <w:rFonts w:hint="eastAsia" w:ascii="宋体" w:hAnsi="宋体" w:cs="宋体"/>
                <w:sz w:val="24"/>
                <w:szCs w:val="24"/>
                <w:highlight w:val="none"/>
                <w:lang w:val="en-US" w:eastAsia="zh-CN"/>
              </w:rPr>
              <w:t>world/excel格式，</w:t>
            </w:r>
            <w:r>
              <w:rPr>
                <w:rFonts w:hint="eastAsia" w:ascii="宋体" w:hAnsi="宋体" w:cs="宋体"/>
                <w:sz w:val="24"/>
                <w:szCs w:val="24"/>
                <w:highlight w:val="none"/>
                <w:lang w:eastAsia="zh-CN"/>
              </w:rPr>
              <w:t>磋商会议开始</w:t>
            </w:r>
            <w:r>
              <w:rPr>
                <w:rFonts w:hint="eastAsia" w:ascii="宋体" w:hAnsi="宋体" w:eastAsia="宋体" w:cs="宋体"/>
                <w:sz w:val="24"/>
                <w:szCs w:val="24"/>
                <w:highlight w:val="none"/>
              </w:rPr>
              <w:t>后不退还）。</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报价一览表</w:t>
            </w:r>
            <w:r>
              <w:rPr>
                <w:rFonts w:hint="eastAsia" w:ascii="宋体" w:hAnsi="宋体" w:eastAsia="宋体" w:cs="宋体"/>
                <w:sz w:val="24"/>
                <w:szCs w:val="24"/>
                <w:highlight w:val="none"/>
              </w:rPr>
              <w:t>三份（单独密封）</w:t>
            </w:r>
            <w:r>
              <w:rPr>
                <w:rFonts w:hint="eastAsia" w:ascii="宋体" w:hAnsi="宋体" w:cs="宋体"/>
                <w:sz w:val="24"/>
                <w:szCs w:val="24"/>
                <w:highlight w:val="none"/>
                <w:lang w:eastAsia="zh-CN"/>
              </w:rPr>
              <w:t>。</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资质文件复印件加盖单位公章一份</w:t>
            </w:r>
            <w:r>
              <w:rPr>
                <w:rFonts w:hint="eastAsia" w:ascii="宋体" w:hAnsi="宋体" w:eastAsia="宋体" w:cs="宋体"/>
                <w:sz w:val="24"/>
                <w:szCs w:val="24"/>
                <w:highlight w:val="none"/>
                <w:lang w:eastAsia="zh-CN"/>
              </w:rPr>
              <w:t>，单独</w:t>
            </w:r>
            <w:r>
              <w:rPr>
                <w:rFonts w:hint="eastAsia" w:ascii="宋体" w:hAnsi="宋体" w:eastAsia="宋体" w:cs="宋体"/>
                <w:color w:val="auto"/>
                <w:spacing w:val="6"/>
                <w:sz w:val="24"/>
                <w:szCs w:val="24"/>
                <w:highlight w:val="none"/>
                <w:lang w:eastAsia="zh-CN"/>
              </w:rPr>
              <w:t>胶装，</w:t>
            </w:r>
            <w:r>
              <w:rPr>
                <w:rFonts w:hint="eastAsia" w:ascii="宋体" w:hAnsi="宋体" w:cs="宋体"/>
                <w:color w:val="auto"/>
                <w:spacing w:val="6"/>
                <w:sz w:val="24"/>
                <w:szCs w:val="24"/>
                <w:highlight w:val="none"/>
                <w:lang w:eastAsia="zh-CN"/>
              </w:rPr>
              <w:t>单独</w:t>
            </w:r>
            <w:r>
              <w:rPr>
                <w:rFonts w:hint="eastAsia" w:ascii="宋体" w:hAnsi="宋体" w:eastAsia="宋体" w:cs="宋体"/>
                <w:color w:val="auto"/>
                <w:spacing w:val="6"/>
                <w:sz w:val="24"/>
                <w:szCs w:val="24"/>
                <w:highlight w:val="none"/>
              </w:rPr>
              <w:t>密封。</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46"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lang w:val="en-US" w:eastAsia="zh-CN"/>
              </w:rPr>
              <w:t>15</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装订方式</w:t>
            </w:r>
          </w:p>
        </w:tc>
        <w:tc>
          <w:tcPr>
            <w:tcW w:w="7314" w:type="dxa"/>
            <w:vAlign w:val="center"/>
          </w:tcPr>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胶装（否则按</w:t>
            </w:r>
            <w:r>
              <w:rPr>
                <w:rFonts w:hint="eastAsia" w:ascii="宋体" w:hAnsi="宋体" w:cs="宋体"/>
                <w:color w:val="auto"/>
                <w:spacing w:val="6"/>
                <w:sz w:val="24"/>
                <w:szCs w:val="24"/>
                <w:highlight w:val="none"/>
                <w:lang w:eastAsia="zh-CN"/>
              </w:rPr>
              <w:t>无效报价</w:t>
            </w:r>
            <w:r>
              <w:rPr>
                <w:rFonts w:hint="eastAsia" w:ascii="宋体" w:hAnsi="宋体" w:eastAsia="宋体" w:cs="宋体"/>
                <w:color w:val="auto"/>
                <w:spacing w:val="6"/>
                <w:sz w:val="24"/>
                <w:szCs w:val="24"/>
                <w:highlight w:val="none"/>
              </w:rPr>
              <w:t>处理）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575"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16</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付款方式</w:t>
            </w:r>
          </w:p>
        </w:tc>
        <w:tc>
          <w:tcPr>
            <w:tcW w:w="7314" w:type="dxa"/>
            <w:vAlign w:val="center"/>
          </w:tcPr>
          <w:p>
            <w:pPr>
              <w:pageBreakBefore w:val="0"/>
              <w:kinsoku/>
              <w:wordWrap/>
              <w:topLinePunct w:val="0"/>
              <w:bidi w:val="0"/>
              <w:adjustRightInd w:val="0"/>
              <w:snapToGrid w:val="0"/>
              <w:spacing w:afterAutospacing="0" w:line="360" w:lineRule="auto"/>
              <w:jc w:val="both"/>
              <w:textAlignment w:val="auto"/>
              <w:rPr>
                <w:rFonts w:hint="default" w:ascii="宋体" w:hAnsi="宋体" w:eastAsia="宋体" w:cs="宋体"/>
                <w:sz w:val="24"/>
                <w:szCs w:val="24"/>
                <w:highlight w:val="none"/>
                <w:lang w:val="en-US"/>
              </w:rPr>
            </w:pPr>
            <w:r>
              <w:rPr>
                <w:rFonts w:hint="eastAsia" w:ascii="宋体" w:hAnsi="宋体" w:eastAsia="宋体" w:cs="宋体"/>
                <w:sz w:val="24"/>
                <w:szCs w:val="24"/>
                <w:highlight w:val="none"/>
                <w:lang w:val="en-US" w:eastAsia="zh-CN"/>
              </w:rPr>
              <w:t>签订合同后预付</w:t>
            </w:r>
            <w:r>
              <w:rPr>
                <w:rFonts w:hint="eastAsia" w:ascii="宋体" w:hAnsi="宋体" w:cs="宋体"/>
                <w:sz w:val="24"/>
                <w:szCs w:val="24"/>
                <w:highlight w:val="none"/>
                <w:lang w:val="en-US" w:eastAsia="zh-CN"/>
              </w:rPr>
              <w:t>合同</w:t>
            </w:r>
            <w:r>
              <w:rPr>
                <w:rFonts w:hint="eastAsia" w:ascii="宋体" w:hAnsi="宋体" w:eastAsia="宋体" w:cs="宋体"/>
                <w:sz w:val="24"/>
                <w:szCs w:val="24"/>
                <w:highlight w:val="none"/>
                <w:lang w:val="en-US" w:eastAsia="zh-CN"/>
              </w:rPr>
              <w:t>额</w:t>
            </w:r>
            <w:r>
              <w:rPr>
                <w:rFonts w:hint="eastAsia" w:ascii="宋体" w:hAnsi="宋体" w:cs="宋体"/>
                <w:sz w:val="24"/>
                <w:szCs w:val="24"/>
                <w:highlight w:val="none"/>
                <w:lang w:val="en-US" w:eastAsia="zh-CN"/>
              </w:rPr>
              <w:t>的</w:t>
            </w:r>
            <w:r>
              <w:rPr>
                <w:rFonts w:hint="eastAsia" w:ascii="宋体" w:hAnsi="宋体" w:eastAsia="宋体" w:cs="宋体"/>
                <w:sz w:val="24"/>
                <w:szCs w:val="24"/>
                <w:highlight w:val="none"/>
                <w:lang w:val="en-US" w:eastAsia="zh-CN"/>
              </w:rPr>
              <w:t>30%，设备进场</w:t>
            </w:r>
            <w:r>
              <w:rPr>
                <w:rFonts w:hint="eastAsia" w:ascii="宋体" w:hAnsi="宋体" w:cs="宋体"/>
                <w:sz w:val="24"/>
                <w:szCs w:val="24"/>
                <w:highlight w:val="none"/>
                <w:lang w:val="en-US" w:eastAsia="zh-CN"/>
              </w:rPr>
              <w:t>后</w:t>
            </w:r>
            <w:r>
              <w:rPr>
                <w:rFonts w:hint="eastAsia" w:ascii="宋体" w:hAnsi="宋体" w:eastAsia="宋体" w:cs="宋体"/>
                <w:sz w:val="24"/>
                <w:szCs w:val="24"/>
                <w:highlight w:val="none"/>
                <w:lang w:val="en-US" w:eastAsia="zh-CN"/>
              </w:rPr>
              <w:t>5日</w:t>
            </w:r>
            <w:r>
              <w:rPr>
                <w:rFonts w:hint="eastAsia" w:ascii="宋体" w:hAnsi="宋体" w:cs="宋体"/>
                <w:sz w:val="24"/>
                <w:szCs w:val="24"/>
                <w:highlight w:val="none"/>
                <w:lang w:val="en-US" w:eastAsia="zh-CN"/>
              </w:rPr>
              <w:t>内</w:t>
            </w:r>
            <w:r>
              <w:rPr>
                <w:rFonts w:hint="eastAsia" w:ascii="宋体" w:hAnsi="宋体" w:eastAsia="宋体" w:cs="宋体"/>
                <w:sz w:val="24"/>
                <w:szCs w:val="24"/>
                <w:highlight w:val="none"/>
                <w:lang w:val="en-US" w:eastAsia="zh-CN"/>
              </w:rPr>
              <w:t>付至</w:t>
            </w:r>
            <w:r>
              <w:rPr>
                <w:rFonts w:hint="eastAsia" w:ascii="宋体" w:hAnsi="宋体" w:cs="宋体"/>
                <w:sz w:val="24"/>
                <w:szCs w:val="24"/>
                <w:highlight w:val="none"/>
                <w:lang w:val="en-US" w:eastAsia="zh-CN"/>
              </w:rPr>
              <w:t>合同</w:t>
            </w:r>
            <w:r>
              <w:rPr>
                <w:rFonts w:hint="eastAsia" w:ascii="宋体" w:hAnsi="宋体" w:eastAsia="宋体" w:cs="宋体"/>
                <w:sz w:val="24"/>
                <w:szCs w:val="24"/>
                <w:highlight w:val="none"/>
                <w:lang w:val="en-US" w:eastAsia="zh-CN"/>
              </w:rPr>
              <w:t>额</w:t>
            </w:r>
            <w:r>
              <w:rPr>
                <w:rFonts w:hint="eastAsia" w:ascii="宋体" w:hAnsi="宋体" w:cs="宋体"/>
                <w:sz w:val="24"/>
                <w:szCs w:val="24"/>
                <w:highlight w:val="none"/>
                <w:lang w:val="en-US" w:eastAsia="zh-CN"/>
              </w:rPr>
              <w:t>的</w:t>
            </w:r>
            <w:r>
              <w:rPr>
                <w:rFonts w:hint="eastAsia" w:ascii="宋体" w:hAnsi="宋体" w:eastAsia="宋体" w:cs="宋体"/>
                <w:sz w:val="24"/>
                <w:szCs w:val="24"/>
                <w:highlight w:val="none"/>
                <w:lang w:val="en-US" w:eastAsia="zh-CN"/>
              </w:rPr>
              <w:t>60%，工程验收合格后付</w:t>
            </w:r>
            <w:r>
              <w:rPr>
                <w:rFonts w:hint="eastAsia" w:ascii="宋体" w:hAnsi="宋体" w:cs="宋体"/>
                <w:sz w:val="24"/>
                <w:szCs w:val="24"/>
                <w:highlight w:val="none"/>
                <w:lang w:val="en-US" w:eastAsia="zh-CN"/>
              </w:rPr>
              <w:t>至合同</w:t>
            </w:r>
            <w:r>
              <w:rPr>
                <w:rFonts w:hint="eastAsia" w:ascii="宋体" w:hAnsi="宋体" w:eastAsia="宋体" w:cs="宋体"/>
                <w:sz w:val="24"/>
                <w:szCs w:val="24"/>
                <w:highlight w:val="none"/>
                <w:lang w:val="en-US" w:eastAsia="zh-CN"/>
              </w:rPr>
              <w:t>额95%，余5%作为质保金,质保期</w:t>
            </w:r>
            <w:r>
              <w:rPr>
                <w:rFonts w:hint="eastAsia" w:ascii="宋体" w:hAnsi="宋体" w:cs="宋体"/>
                <w:sz w:val="24"/>
                <w:szCs w:val="24"/>
                <w:highlight w:val="none"/>
                <w:lang w:val="en-US" w:eastAsia="zh-CN"/>
              </w:rPr>
              <w:t>结束后10日内付款完成。</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524"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17</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提出疑问</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时间及方式</w:t>
            </w:r>
          </w:p>
        </w:tc>
        <w:tc>
          <w:tcPr>
            <w:tcW w:w="7314" w:type="dxa"/>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pacing w:val="6"/>
                <w:sz w:val="24"/>
                <w:szCs w:val="24"/>
                <w:highlight w:val="none"/>
                <w:u w:val="single"/>
              </w:rPr>
            </w:pPr>
            <w:r>
              <w:rPr>
                <w:rFonts w:hint="eastAsia" w:ascii="宋体" w:hAnsi="宋体" w:eastAsia="宋体" w:cs="宋体"/>
                <w:color w:val="auto"/>
                <w:sz w:val="24"/>
                <w:szCs w:val="24"/>
                <w:highlight w:val="none"/>
              </w:rPr>
              <w:t>时  间：</w:t>
            </w:r>
            <w:r>
              <w:rPr>
                <w:rFonts w:hint="eastAsia" w:ascii="宋体" w:hAnsi="宋体" w:eastAsia="宋体" w:cs="宋体"/>
                <w:color w:val="auto"/>
                <w:spacing w:val="6"/>
                <w:sz w:val="24"/>
                <w:szCs w:val="24"/>
                <w:highlight w:val="none"/>
                <w:u w:val="single"/>
              </w:rPr>
              <w:t>201</w:t>
            </w:r>
            <w:r>
              <w:rPr>
                <w:rFonts w:hint="eastAsia" w:ascii="宋体" w:hAnsi="宋体" w:eastAsia="宋体" w:cs="宋体"/>
                <w:color w:val="auto"/>
                <w:spacing w:val="6"/>
                <w:sz w:val="24"/>
                <w:szCs w:val="24"/>
                <w:highlight w:val="none"/>
                <w:u w:val="single"/>
                <w:lang w:val="en-US" w:eastAsia="zh-CN"/>
              </w:rPr>
              <w:t>9</w:t>
            </w:r>
            <w:r>
              <w:rPr>
                <w:rFonts w:hint="eastAsia" w:ascii="宋体" w:hAnsi="宋体" w:eastAsia="宋体" w:cs="宋体"/>
                <w:color w:val="auto"/>
                <w:spacing w:val="6"/>
                <w:sz w:val="24"/>
                <w:szCs w:val="24"/>
                <w:highlight w:val="none"/>
                <w:u w:val="single"/>
              </w:rPr>
              <w:t>年</w:t>
            </w:r>
            <w:r>
              <w:rPr>
                <w:rFonts w:hint="eastAsia" w:ascii="宋体" w:hAnsi="宋体" w:cs="宋体"/>
                <w:color w:val="auto"/>
                <w:spacing w:val="6"/>
                <w:sz w:val="24"/>
                <w:szCs w:val="24"/>
                <w:highlight w:val="none"/>
                <w:u w:val="single"/>
                <w:lang w:val="en-US" w:eastAsia="zh-CN"/>
              </w:rPr>
              <w:t>12</w:t>
            </w:r>
            <w:r>
              <w:rPr>
                <w:rFonts w:hint="eastAsia" w:ascii="宋体" w:hAnsi="宋体" w:eastAsia="宋体" w:cs="宋体"/>
                <w:color w:val="auto"/>
                <w:spacing w:val="6"/>
                <w:sz w:val="24"/>
                <w:szCs w:val="24"/>
                <w:highlight w:val="none"/>
                <w:u w:val="single"/>
              </w:rPr>
              <w:t>月</w:t>
            </w:r>
            <w:r>
              <w:rPr>
                <w:rFonts w:hint="eastAsia" w:ascii="宋体" w:hAnsi="宋体" w:cs="宋体"/>
                <w:color w:val="auto"/>
                <w:spacing w:val="6"/>
                <w:sz w:val="24"/>
                <w:szCs w:val="24"/>
                <w:highlight w:val="none"/>
                <w:u w:val="single"/>
                <w:lang w:val="en-US" w:eastAsia="zh-CN"/>
              </w:rPr>
              <w:t>7</w:t>
            </w:r>
            <w:r>
              <w:rPr>
                <w:rFonts w:hint="eastAsia" w:ascii="宋体" w:hAnsi="宋体" w:eastAsia="宋体" w:cs="宋体"/>
                <w:color w:val="auto"/>
                <w:spacing w:val="6"/>
                <w:sz w:val="24"/>
                <w:szCs w:val="24"/>
                <w:highlight w:val="none"/>
                <w:u w:val="single"/>
              </w:rPr>
              <w:t>日</w:t>
            </w:r>
            <w:r>
              <w:rPr>
                <w:rFonts w:hint="eastAsia" w:ascii="宋体" w:hAnsi="宋体" w:cs="宋体"/>
                <w:color w:val="auto"/>
                <w:spacing w:val="6"/>
                <w:sz w:val="24"/>
                <w:szCs w:val="24"/>
                <w:highlight w:val="none"/>
                <w:u w:val="single"/>
                <w:lang w:eastAsia="zh-CN"/>
              </w:rPr>
              <w:t>上</w:t>
            </w:r>
            <w:r>
              <w:rPr>
                <w:rFonts w:hint="eastAsia" w:ascii="宋体" w:hAnsi="宋体" w:eastAsia="宋体" w:cs="宋体"/>
                <w:color w:val="auto"/>
                <w:spacing w:val="6"/>
                <w:sz w:val="24"/>
                <w:szCs w:val="24"/>
                <w:highlight w:val="none"/>
                <w:u w:val="single"/>
              </w:rPr>
              <w:t>午</w:t>
            </w:r>
            <w:r>
              <w:rPr>
                <w:rFonts w:hint="eastAsia" w:ascii="宋体" w:hAnsi="宋体" w:cs="宋体"/>
                <w:color w:val="auto"/>
                <w:spacing w:val="6"/>
                <w:sz w:val="24"/>
                <w:szCs w:val="24"/>
                <w:highlight w:val="none"/>
                <w:u w:val="single"/>
                <w:lang w:val="en-US" w:eastAsia="zh-CN"/>
              </w:rPr>
              <w:t>12时</w:t>
            </w:r>
            <w:r>
              <w:rPr>
                <w:rFonts w:hint="eastAsia" w:ascii="宋体" w:hAnsi="宋体" w:eastAsia="宋体" w:cs="宋体"/>
                <w:color w:val="auto"/>
                <w:spacing w:val="6"/>
                <w:sz w:val="24"/>
                <w:szCs w:val="24"/>
                <w:highlight w:val="none"/>
                <w:u w:val="single"/>
              </w:rPr>
              <w:t>前（北京时间）</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方  式:</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"mailto:投标人可提交纸质文件至济南市高新区工业南路59号中铁财智中心6号楼15楼，同时，发送一份质疑文件的电子文档至ldzb002@163.com并电话通知查收"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可提交纸质文件至济南市高新区工业南路59号中铁财智中心6号楼15楼，同时，发送一份质疑文件的电子文档至</w:t>
            </w:r>
            <w:r>
              <w:rPr>
                <w:rFonts w:hint="eastAsia" w:ascii="宋体" w:hAnsi="宋体" w:eastAsia="宋体" w:cs="宋体"/>
                <w:sz w:val="24"/>
                <w:szCs w:val="24"/>
                <w:highlight w:val="none"/>
                <w:lang w:val="en-US" w:eastAsia="zh-CN"/>
              </w:rPr>
              <w:t>sdldzbdl@163.com</w:t>
            </w:r>
            <w:r>
              <w:rPr>
                <w:rFonts w:hint="eastAsia" w:ascii="宋体" w:hAnsi="宋体" w:eastAsia="宋体" w:cs="宋体"/>
                <w:color w:val="auto"/>
                <w:sz w:val="24"/>
                <w:szCs w:val="24"/>
                <w:highlight w:val="none"/>
              </w:rPr>
              <w:t>并电话通知查收</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联系电话：</w:t>
            </w:r>
            <w:r>
              <w:rPr>
                <w:rFonts w:hint="eastAsia" w:ascii="宋体" w:hAnsi="宋体" w:eastAsia="宋体" w:cs="宋体"/>
                <w:color w:val="auto"/>
                <w:sz w:val="24"/>
                <w:szCs w:val="24"/>
                <w:highlight w:val="none"/>
              </w:rPr>
              <w:t>0531-88809762。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12"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18</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答疑时间</w:t>
            </w:r>
          </w:p>
        </w:tc>
        <w:tc>
          <w:tcPr>
            <w:tcW w:w="7314" w:type="dxa"/>
            <w:tcBorders>
              <w:bottom w:val="single" w:color="auto" w:sz="4" w:space="0"/>
            </w:tcBorders>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  间：201</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eastAsia="zh-CN"/>
              </w:rPr>
              <w:t>下</w:t>
            </w:r>
            <w:r>
              <w:rPr>
                <w:rFonts w:hint="eastAsia" w:ascii="宋体" w:hAnsi="宋体" w:eastAsia="宋体" w:cs="宋体"/>
                <w:color w:val="auto"/>
                <w:sz w:val="24"/>
                <w:szCs w:val="24"/>
                <w:highlight w:val="none"/>
              </w:rPr>
              <w:t>午</w:t>
            </w:r>
            <w:r>
              <w:rPr>
                <w:rFonts w:hint="eastAsia" w:ascii="宋体" w:hAnsi="宋体" w:cs="宋体"/>
                <w:color w:val="auto"/>
                <w:sz w:val="24"/>
                <w:szCs w:val="24"/>
                <w:highlight w:val="none"/>
                <w:lang w:val="en-US" w:eastAsia="zh-CN"/>
              </w:rPr>
              <w:t>17：00</w:t>
            </w:r>
            <w:r>
              <w:rPr>
                <w:rFonts w:hint="eastAsia" w:ascii="宋体" w:hAnsi="宋体" w:eastAsia="宋体" w:cs="宋体"/>
                <w:color w:val="auto"/>
                <w:sz w:val="24"/>
                <w:szCs w:val="24"/>
                <w:highlight w:val="none"/>
              </w:rPr>
              <w:t>（</w:t>
            </w:r>
            <w:r>
              <w:rPr>
                <w:rFonts w:hint="eastAsia" w:ascii="宋体" w:hAnsi="宋体" w:eastAsia="宋体" w:cs="宋体"/>
                <w:color w:val="auto"/>
                <w:spacing w:val="6"/>
                <w:sz w:val="24"/>
                <w:szCs w:val="24"/>
                <w:highlight w:val="none"/>
              </w:rPr>
              <w:t>北京时间）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12" w:hRule="atLeast"/>
          <w:jc w:val="center"/>
        </w:trPr>
        <w:tc>
          <w:tcPr>
            <w:tcW w:w="865" w:type="dxa"/>
            <w:vMerge w:val="restart"/>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19</w:t>
            </w:r>
          </w:p>
        </w:tc>
        <w:tc>
          <w:tcPr>
            <w:tcW w:w="1793" w:type="dxa"/>
            <w:vMerge w:val="restart"/>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递交报价文件截止时间、地点</w:t>
            </w:r>
          </w:p>
        </w:tc>
        <w:tc>
          <w:tcPr>
            <w:tcW w:w="7314" w:type="dxa"/>
            <w:tcBorders>
              <w:bottom w:val="single" w:color="auto" w:sz="4" w:space="0"/>
            </w:tcBorders>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  间</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u w:val="single"/>
              </w:rPr>
              <w:t>201</w:t>
            </w:r>
            <w:r>
              <w:rPr>
                <w:rFonts w:hint="eastAsia" w:ascii="宋体" w:hAnsi="宋体" w:eastAsia="宋体" w:cs="宋体"/>
                <w:color w:val="auto"/>
                <w:sz w:val="24"/>
                <w:szCs w:val="24"/>
                <w:highlight w:val="none"/>
                <w:u w:val="single"/>
                <w:lang w:val="en-US" w:eastAsia="zh-CN"/>
              </w:rPr>
              <w:t>9</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u w:val="single"/>
                <w:lang w:val="en-US" w:eastAsia="zh-CN"/>
              </w:rPr>
              <w:t>12</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u w:val="single"/>
                <w:lang w:val="en-US" w:eastAsia="zh-CN"/>
              </w:rPr>
              <w:t>13</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eastAsia="zh-CN"/>
              </w:rPr>
              <w:t>下午</w:t>
            </w:r>
            <w:r>
              <w:rPr>
                <w:rFonts w:hint="eastAsia" w:ascii="宋体" w:hAnsi="宋体" w:cs="宋体"/>
                <w:color w:val="auto"/>
                <w:sz w:val="24"/>
                <w:szCs w:val="24"/>
                <w:highlight w:val="none"/>
                <w:u w:val="single"/>
                <w:lang w:val="en-US" w:eastAsia="zh-CN"/>
              </w:rPr>
              <w:t>13</w:t>
            </w:r>
            <w:r>
              <w:rPr>
                <w:rFonts w:hint="eastAsia" w:ascii="宋体" w:hAnsi="宋体" w:eastAsia="宋体" w:cs="宋体"/>
                <w:color w:val="auto"/>
                <w:sz w:val="24"/>
                <w:szCs w:val="24"/>
                <w:highlight w:val="none"/>
              </w:rPr>
              <w:t>时</w:t>
            </w:r>
            <w:r>
              <w:rPr>
                <w:rFonts w:hint="eastAsia" w:ascii="宋体" w:hAnsi="宋体" w:cs="宋体"/>
                <w:color w:val="auto"/>
                <w:sz w:val="24"/>
                <w:szCs w:val="24"/>
                <w:highlight w:val="none"/>
                <w:u w:val="single"/>
                <w:lang w:val="en-US" w:eastAsia="zh-CN"/>
              </w:rPr>
              <w:t>30</w:t>
            </w:r>
            <w:r>
              <w:rPr>
                <w:rFonts w:hint="eastAsia" w:ascii="宋体" w:hAnsi="宋体" w:eastAsia="宋体" w:cs="宋体"/>
                <w:color w:val="auto"/>
                <w:sz w:val="24"/>
                <w:szCs w:val="24"/>
                <w:highlight w:val="none"/>
              </w:rPr>
              <w:t>分（</w:t>
            </w:r>
            <w:r>
              <w:rPr>
                <w:rFonts w:hint="eastAsia" w:ascii="宋体" w:hAnsi="宋体" w:eastAsia="宋体" w:cs="宋体"/>
                <w:color w:val="auto"/>
                <w:spacing w:val="6"/>
                <w:sz w:val="24"/>
                <w:szCs w:val="24"/>
                <w:highlight w:val="none"/>
              </w:rPr>
              <w:t>北京时间）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48" w:hRule="atLeast"/>
          <w:jc w:val="center"/>
        </w:trPr>
        <w:tc>
          <w:tcPr>
            <w:tcW w:w="865" w:type="dxa"/>
            <w:vMerge w:val="continue"/>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p>
        </w:tc>
        <w:tc>
          <w:tcPr>
            <w:tcW w:w="1793" w:type="dxa"/>
            <w:vMerge w:val="continue"/>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p>
        </w:tc>
        <w:tc>
          <w:tcPr>
            <w:tcW w:w="7314" w:type="dxa"/>
            <w:tcBorders>
              <w:top w:val="single" w:color="auto" w:sz="4" w:space="0"/>
              <w:bottom w:val="single" w:color="auto" w:sz="4" w:space="0"/>
            </w:tcBorders>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  点</w:t>
            </w:r>
            <w:r>
              <w:rPr>
                <w:rFonts w:hint="eastAsia" w:ascii="宋体" w:hAnsi="宋体" w:eastAsia="宋体" w:cs="宋体"/>
                <w:color w:val="auto"/>
                <w:spacing w:val="6"/>
                <w:sz w:val="24"/>
                <w:szCs w:val="24"/>
                <w:highlight w:val="none"/>
              </w:rPr>
              <w:t>：</w:t>
            </w:r>
            <w:r>
              <w:rPr>
                <w:rFonts w:hint="eastAsia" w:ascii="宋体" w:hAnsi="宋体" w:cs="宋体"/>
                <w:color w:val="auto"/>
                <w:sz w:val="24"/>
                <w:szCs w:val="24"/>
                <w:highlight w:val="none"/>
                <w:lang w:val="en-US" w:eastAsia="zh-CN"/>
              </w:rPr>
              <w:t>济南市工业南路59号中铁财智中心6号楼15层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580"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20</w:t>
            </w:r>
          </w:p>
        </w:tc>
        <w:tc>
          <w:tcPr>
            <w:tcW w:w="1793" w:type="dxa"/>
            <w:tcBorders>
              <w:left w:val="single" w:color="auto" w:sz="4" w:space="0"/>
            </w:tcBorders>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办法</w:t>
            </w:r>
          </w:p>
        </w:tc>
        <w:tc>
          <w:tcPr>
            <w:tcW w:w="7314" w:type="dxa"/>
            <w:tcBorders>
              <w:top w:val="single" w:color="auto" w:sz="4" w:space="0"/>
              <w:bottom w:val="single" w:color="auto" w:sz="4" w:space="0"/>
            </w:tcBorders>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采用综合评分法，</w:t>
            </w:r>
            <w:r>
              <w:rPr>
                <w:rFonts w:hint="eastAsia" w:ascii="宋体" w:hAnsi="宋体" w:cs="宋体"/>
                <w:color w:val="auto"/>
                <w:sz w:val="24"/>
                <w:szCs w:val="24"/>
                <w:highlight w:val="none"/>
                <w:lang w:eastAsia="zh-CN"/>
              </w:rPr>
              <w:t>磋商小组</w:t>
            </w:r>
            <w:r>
              <w:rPr>
                <w:rFonts w:hint="eastAsia" w:ascii="宋体" w:hAnsi="宋体" w:eastAsia="宋体" w:cs="宋体"/>
                <w:color w:val="auto"/>
                <w:sz w:val="24"/>
                <w:szCs w:val="24"/>
                <w:highlight w:val="none"/>
              </w:rPr>
              <w:t>根据竞争性磋商文件中确定的评分办法综合评定各报价人提交的报价文件，</w:t>
            </w:r>
            <w:r>
              <w:rPr>
                <w:rFonts w:hint="eastAsia" w:ascii="宋体" w:hAnsi="宋体" w:cs="宋体"/>
                <w:color w:val="auto"/>
                <w:sz w:val="24"/>
                <w:szCs w:val="24"/>
                <w:highlight w:val="none"/>
                <w:lang w:eastAsia="zh-CN"/>
              </w:rPr>
              <w:t>采购人授权磋商小组直接确定得分最高的供应商为成交供应商</w:t>
            </w:r>
            <w:r>
              <w:rPr>
                <w:rFonts w:hint="eastAsia" w:ascii="宋体" w:hAnsi="宋体" w:eastAsia="宋体" w:cs="宋体"/>
                <w:color w:val="auto"/>
                <w:sz w:val="24"/>
                <w:szCs w:val="24"/>
                <w:highlight w:val="none"/>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leftChars="0"/>
              <w:jc w:val="center"/>
              <w:textAlignment w:val="auto"/>
              <w:rPr>
                <w:rFonts w:hint="eastAsia" w:ascii="宋体" w:hAnsi="宋体" w:eastAsia="宋体" w:cs="宋体"/>
                <w:color w:val="auto"/>
                <w:spacing w:val="6"/>
                <w:sz w:val="24"/>
                <w:szCs w:val="24"/>
                <w:highlight w:val="none"/>
                <w:lang w:val="en-US" w:eastAsia="zh-CN" w:bidi="ar-SA"/>
              </w:rPr>
            </w:pPr>
            <w:r>
              <w:rPr>
                <w:rFonts w:hint="eastAsia" w:ascii="宋体" w:hAnsi="宋体" w:eastAsia="宋体" w:cs="宋体"/>
                <w:spacing w:val="6"/>
                <w:szCs w:val="24"/>
                <w:lang w:val="en-US" w:eastAsia="zh-CN"/>
              </w:rPr>
              <w:t>21</w:t>
            </w:r>
          </w:p>
        </w:tc>
        <w:tc>
          <w:tcPr>
            <w:tcW w:w="1793" w:type="dxa"/>
            <w:tcBorders>
              <w:left w:val="single" w:color="auto" w:sz="4" w:space="0"/>
            </w:tcBorders>
            <w:vAlign w:val="center"/>
          </w:tcPr>
          <w:p>
            <w:pPr>
              <w:pStyle w:val="50"/>
              <w:keepNext w:val="0"/>
              <w:keepLines w:val="0"/>
              <w:pageBreakBefore w:val="0"/>
              <w:kinsoku/>
              <w:wordWrap/>
              <w:overflowPunct/>
              <w:topLinePunct w:val="0"/>
              <w:bidi w:val="0"/>
              <w:adjustRightInd w:val="0"/>
              <w:snapToGrid w:val="0"/>
              <w:spacing w:line="360" w:lineRule="auto"/>
              <w:ind w:left="0" w:leftChars="0" w:firstLine="0" w:firstLineChars="0"/>
              <w:jc w:val="center"/>
              <w:textAlignment w:val="auto"/>
              <w:rPr>
                <w:rFonts w:hint="eastAsia" w:ascii="宋体" w:hAnsi="宋体" w:eastAsia="宋体" w:cs="宋体"/>
                <w:color w:val="auto"/>
                <w:spacing w:val="6"/>
                <w:sz w:val="24"/>
                <w:szCs w:val="24"/>
                <w:highlight w:val="none"/>
                <w:lang w:val="en-US" w:eastAsia="zh-CN" w:bidi="ar-SA"/>
              </w:rPr>
            </w:pPr>
            <w:r>
              <w:rPr>
                <w:rFonts w:hint="eastAsia" w:ascii="宋体" w:hAnsi="宋体" w:eastAsia="宋体" w:cs="宋体"/>
                <w:szCs w:val="24"/>
              </w:rPr>
              <w:t>磋商保证金</w:t>
            </w:r>
          </w:p>
        </w:tc>
        <w:tc>
          <w:tcPr>
            <w:tcW w:w="7314" w:type="dxa"/>
            <w:tcBorders>
              <w:top w:val="single" w:color="auto" w:sz="4" w:space="0"/>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缴纳：</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以采用支票、汇票、电汇、本票或者金融机构、担保机构出具的</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保函等非现金形式提交，供应商须在</w:t>
            </w:r>
            <w:r>
              <w:rPr>
                <w:rFonts w:hint="eastAsia" w:ascii="宋体" w:hAnsi="宋体" w:eastAsia="宋体" w:cs="宋体"/>
                <w:spacing w:val="6"/>
                <w:sz w:val="24"/>
                <w:szCs w:val="24"/>
                <w:lang w:val="en-US" w:eastAsia="zh-CN"/>
              </w:rPr>
              <w:t>2019年11月26日16:00前</w:t>
            </w:r>
            <w:r>
              <w:rPr>
                <w:rFonts w:hint="eastAsia" w:ascii="宋体" w:hAnsi="宋体" w:eastAsia="宋体" w:cs="宋体"/>
                <w:spacing w:val="6"/>
                <w:sz w:val="24"/>
                <w:szCs w:val="24"/>
              </w:rPr>
              <w:t>提交磋商保证金。</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保证金金额：人民币：</w:t>
            </w:r>
            <w:r>
              <w:rPr>
                <w:rFonts w:hint="eastAsia" w:ascii="宋体" w:hAnsi="宋体" w:eastAsia="宋体" w:cs="宋体"/>
                <w:spacing w:val="6"/>
                <w:sz w:val="24"/>
                <w:szCs w:val="24"/>
                <w:highlight w:val="none"/>
                <w:u w:val="single"/>
                <w:lang w:val="en-US" w:eastAsia="zh-CN"/>
              </w:rPr>
              <w:t>6000</w:t>
            </w:r>
            <w:r>
              <w:rPr>
                <w:rFonts w:hint="eastAsia" w:ascii="宋体" w:hAnsi="宋体" w:eastAsia="宋体" w:cs="宋体"/>
                <w:spacing w:val="6"/>
                <w:sz w:val="24"/>
                <w:szCs w:val="24"/>
                <w:highlight w:val="none"/>
                <w:u w:val="single"/>
              </w:rPr>
              <w:t>.00元</w:t>
            </w:r>
            <w:r>
              <w:rPr>
                <w:rFonts w:hint="eastAsia" w:ascii="宋体" w:hAnsi="宋体" w:eastAsia="宋体" w:cs="宋体"/>
                <w:spacing w:val="6"/>
                <w:sz w:val="24"/>
                <w:szCs w:val="24"/>
              </w:rPr>
              <w:t xml:space="preserve"> 大写：</w:t>
            </w:r>
            <w:r>
              <w:rPr>
                <w:rFonts w:hint="eastAsia" w:ascii="宋体" w:hAnsi="宋体" w:eastAsia="宋体" w:cs="宋体"/>
                <w:spacing w:val="6"/>
                <w:sz w:val="24"/>
                <w:szCs w:val="24"/>
                <w:u w:val="single"/>
                <w:lang w:eastAsia="zh-CN"/>
              </w:rPr>
              <w:t>陆仟</w:t>
            </w:r>
            <w:r>
              <w:rPr>
                <w:rFonts w:hint="eastAsia" w:ascii="宋体" w:hAnsi="宋体" w:eastAsia="宋体" w:cs="宋体"/>
                <w:spacing w:val="6"/>
                <w:sz w:val="24"/>
                <w:szCs w:val="24"/>
                <w:u w:val="single"/>
              </w:rPr>
              <w:t>元整</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(1)若采用电汇或支票，供应商应将磋商保证金由供应商的基</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本账户转入指定账户，接收账户如下：</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单位名称：山东蓝盾招标代理有限公司</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开户银行：中国农业银行股份有限公司济南会展中心分理处</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帐号：15132401040008055</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磋商保证金必须由供应商基本账户支出。</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未按规定交纳报价保证金的供应商，其响应文件不予接收。</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①磋商保证金必须由报价单位的基本账户支出</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②保证金递交时间以代理公司实际到账时间为准。</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③磋商保证金须在规定的时间内提交，否则视为无效报价。供应商须在备注栏注明“【项目名称（简写）/包号】磋商保证金”。</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(2)以专业担保机构出具的担保函的形式交纳磋商保证金（格</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pacing w:val="6"/>
                <w:sz w:val="24"/>
                <w:szCs w:val="24"/>
              </w:rPr>
              <w:t>式见附件）供应商须在保证金截止时间前发送担保函扫描件</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宋体" w:hAnsi="宋体" w:eastAsia="宋体" w:cs="宋体"/>
                <w:spacing w:val="6"/>
                <w:sz w:val="24"/>
                <w:szCs w:val="24"/>
              </w:rPr>
            </w:pPr>
            <w:r>
              <w:rPr>
                <w:rFonts w:hint="eastAsia" w:ascii="宋体" w:hAnsi="宋体" w:eastAsia="宋体" w:cs="宋体"/>
                <w:sz w:val="24"/>
                <w:szCs w:val="24"/>
              </w:rPr>
              <w:t>sdldzbdl@163.com</w:t>
            </w:r>
            <w:r>
              <w:rPr>
                <w:rFonts w:hint="eastAsia" w:ascii="宋体" w:hAnsi="宋体" w:eastAsia="宋体" w:cs="宋体"/>
                <w:spacing w:val="6"/>
                <w:sz w:val="24"/>
                <w:szCs w:val="24"/>
              </w:rPr>
              <w:t>邮箱,逾期视为自动放弃报价资格。</w:t>
            </w:r>
          </w:p>
          <w:p>
            <w:pPr>
              <w:pStyle w:val="13"/>
              <w:keepNext w:val="0"/>
              <w:keepLines w:val="0"/>
              <w:pageBreakBefore w:val="0"/>
              <w:kinsoku/>
              <w:wordWrap/>
              <w:overflowPunct/>
              <w:topLinePunct w:val="0"/>
              <w:bidi w:val="0"/>
              <w:adjustRightInd w:val="0"/>
              <w:snapToGrid w:val="0"/>
              <w:spacing w:before="0" w:line="360" w:lineRule="auto"/>
              <w:ind w:left="0"/>
              <w:textAlignment w:val="auto"/>
              <w:rPr>
                <w:rFonts w:hint="eastAsia" w:ascii="宋体" w:hAnsi="宋体" w:eastAsia="宋体" w:cs="宋体"/>
                <w:sz w:val="24"/>
                <w:szCs w:val="24"/>
              </w:rPr>
            </w:pPr>
            <w:r>
              <w:rPr>
                <w:rFonts w:hint="eastAsia" w:ascii="宋体" w:hAnsi="宋体" w:eastAsia="宋体" w:cs="宋体"/>
                <w:b/>
                <w:bCs/>
                <w:spacing w:val="6"/>
                <w:sz w:val="24"/>
                <w:szCs w:val="24"/>
              </w:rPr>
              <w:t>退还：在书面合同签订后5日内向成交供应商和未成交的供应商退还磋商保证金。</w:t>
            </w:r>
          </w:p>
          <w:p>
            <w:pPr>
              <w:pStyle w:val="50"/>
              <w:keepNext w:val="0"/>
              <w:keepLines w:val="0"/>
              <w:pageBreakBefore w:val="0"/>
              <w:kinsoku/>
              <w:wordWrap/>
              <w:overflowPunct/>
              <w:topLinePunct w:val="0"/>
              <w:bidi w:val="0"/>
              <w:adjustRightInd w:val="0"/>
              <w:snapToGrid w:val="0"/>
              <w:spacing w:line="360" w:lineRule="auto"/>
              <w:ind w:left="0" w:leftChars="0" w:firstLine="0" w:firstLineChars="0"/>
              <w:textAlignment w:val="auto"/>
              <w:rPr>
                <w:rFonts w:hint="eastAsia" w:ascii="宋体" w:hAnsi="宋体" w:eastAsia="宋体" w:cs="宋体"/>
                <w:color w:val="auto"/>
                <w:spacing w:val="6"/>
                <w:sz w:val="24"/>
                <w:szCs w:val="24"/>
                <w:highlight w:val="none"/>
                <w:lang w:val="en-US" w:eastAsia="zh-CN" w:bidi="ar-SA"/>
              </w:rPr>
            </w:pPr>
            <w:r>
              <w:rPr>
                <w:rFonts w:hint="eastAsia" w:ascii="宋体" w:hAnsi="宋体" w:eastAsia="宋体" w:cs="宋体"/>
                <w:b/>
                <w:bCs/>
                <w:sz w:val="24"/>
                <w:szCs w:val="24"/>
              </w:rPr>
              <w:t>保证金退还流程：请携带供应商对采购代理公司开的退保证金收据（加盖财务章）及开户许可证复印件加盖公章到公司财务部办理。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26" w:hRule="atLeast"/>
          <w:jc w:val="center"/>
        </w:trPr>
        <w:tc>
          <w:tcPr>
            <w:tcW w:w="865"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pacing w:val="6"/>
                <w:sz w:val="24"/>
                <w:szCs w:val="24"/>
                <w:highlight w:val="none"/>
                <w:lang w:eastAsia="zh-CN"/>
              </w:rPr>
            </w:pPr>
            <w:r>
              <w:rPr>
                <w:rFonts w:hint="eastAsia" w:ascii="宋体" w:hAnsi="宋体" w:eastAsia="宋体" w:cs="宋体"/>
                <w:color w:val="auto"/>
                <w:spacing w:val="6"/>
                <w:sz w:val="24"/>
                <w:szCs w:val="24"/>
                <w:highlight w:val="none"/>
              </w:rPr>
              <w:t>2</w:t>
            </w:r>
            <w:r>
              <w:rPr>
                <w:rFonts w:hint="eastAsia" w:ascii="宋体" w:hAnsi="宋体" w:cs="宋体"/>
                <w:color w:val="auto"/>
                <w:spacing w:val="6"/>
                <w:sz w:val="24"/>
                <w:szCs w:val="24"/>
                <w:highlight w:val="none"/>
                <w:lang w:val="en-US" w:eastAsia="zh-CN"/>
              </w:rPr>
              <w:t>2</w:t>
            </w:r>
          </w:p>
        </w:tc>
        <w:tc>
          <w:tcPr>
            <w:tcW w:w="9107" w:type="dxa"/>
            <w:gridSpan w:val="2"/>
            <w:tcBorders>
              <w:left w:val="single" w:color="auto" w:sz="4" w:space="0"/>
            </w:tcBorders>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本项目招标控制价：</w:t>
            </w:r>
            <w:r>
              <w:rPr>
                <w:rFonts w:hint="eastAsia" w:ascii="宋体" w:hAnsi="宋体" w:cs="宋体"/>
                <w:b/>
                <w:bCs/>
                <w:kern w:val="0"/>
                <w:sz w:val="24"/>
                <w:lang w:val="en-US" w:eastAsia="zh-CN"/>
              </w:rPr>
              <w:t>30</w:t>
            </w:r>
            <w:r>
              <w:rPr>
                <w:rFonts w:hint="eastAsia" w:ascii="宋体" w:hAnsi="宋体" w:eastAsia="宋体" w:cs="宋体"/>
                <w:b/>
                <w:bCs/>
                <w:color w:val="auto"/>
                <w:sz w:val="24"/>
                <w:szCs w:val="24"/>
                <w:highlight w:val="none"/>
              </w:rPr>
              <w:t>万元，报价若超出此价格作</w:t>
            </w:r>
            <w:r>
              <w:rPr>
                <w:rFonts w:hint="eastAsia" w:ascii="宋体" w:hAnsi="宋体" w:cs="宋体"/>
                <w:b/>
                <w:bCs/>
                <w:color w:val="auto"/>
                <w:sz w:val="24"/>
                <w:szCs w:val="24"/>
                <w:highlight w:val="none"/>
                <w:lang w:eastAsia="zh-CN"/>
              </w:rPr>
              <w:t>无效报价</w:t>
            </w:r>
            <w:r>
              <w:rPr>
                <w:rFonts w:hint="eastAsia" w:ascii="宋体" w:hAnsi="宋体" w:eastAsia="宋体" w:cs="宋体"/>
                <w:b/>
                <w:bCs/>
                <w:color w:val="auto"/>
                <w:sz w:val="24"/>
                <w:szCs w:val="24"/>
                <w:highlight w:val="none"/>
              </w:rPr>
              <w:t>处理。</w:t>
            </w:r>
          </w:p>
        </w:tc>
      </w:tr>
      <w:bookmarkEnd w:id="15"/>
      <w:bookmarkEnd w:id="16"/>
      <w:bookmarkEnd w:id="24"/>
      <w:bookmarkEnd w:id="25"/>
      <w:bookmarkEnd w:id="26"/>
      <w:bookmarkEnd w:id="27"/>
      <w:bookmarkEnd w:id="28"/>
      <w:bookmarkEnd w:id="29"/>
      <w:bookmarkEnd w:id="30"/>
    </w:tbl>
    <w:p>
      <w:pPr>
        <w:rPr>
          <w:rFonts w:hint="eastAsia" w:ascii="宋体" w:hAnsi="宋体" w:eastAsia="宋体" w:cs="宋体"/>
          <w:b/>
          <w:color w:val="auto"/>
          <w:sz w:val="24"/>
          <w:szCs w:val="24"/>
          <w:highlight w:val="none"/>
        </w:rPr>
      </w:pPr>
      <w:bookmarkStart w:id="32" w:name="_Toc2014"/>
      <w:bookmarkStart w:id="33" w:name="_Toc32407"/>
      <w:bookmarkStart w:id="34" w:name="_Toc27371"/>
      <w:bookmarkStart w:id="35" w:name="_Toc12792"/>
      <w:bookmarkStart w:id="36" w:name="_Toc4771"/>
      <w:bookmarkStart w:id="37" w:name="_Toc10961"/>
      <w:bookmarkStart w:id="38" w:name="_Toc26461"/>
      <w:bookmarkStart w:id="39" w:name="_Toc26023"/>
      <w:bookmarkStart w:id="40" w:name="_Toc183264284"/>
      <w:bookmarkStart w:id="41" w:name="_Toc7029"/>
      <w:bookmarkStart w:id="42" w:name="_Toc9010"/>
      <w:bookmarkStart w:id="43" w:name="_Toc27171"/>
      <w:bookmarkStart w:id="44" w:name="_Toc4157"/>
      <w:r>
        <w:rPr>
          <w:rFonts w:hint="eastAsia" w:ascii="宋体" w:hAnsi="宋体" w:eastAsia="宋体" w:cs="宋体"/>
          <w:b/>
          <w:color w:val="auto"/>
          <w:sz w:val="24"/>
          <w:szCs w:val="24"/>
          <w:highlight w:val="none"/>
        </w:rPr>
        <w:br w:type="page"/>
      </w:r>
    </w:p>
    <w:p>
      <w:pPr>
        <w:pStyle w:val="76"/>
        <w:pageBreakBefore w:val="0"/>
        <w:kinsoku/>
        <w:wordWrap/>
        <w:topLinePunct w:val="0"/>
        <w:bidi w:val="0"/>
        <w:adjustRightInd w:val="0"/>
        <w:snapToGrid w:val="0"/>
        <w:spacing w:afterAutospacing="0" w:line="360" w:lineRule="auto"/>
        <w:ind w:firstLine="496" w:firstLineChars="196"/>
        <w:jc w:val="both"/>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一、适用范围</w:t>
      </w:r>
      <w:bookmarkEnd w:id="32"/>
      <w:bookmarkEnd w:id="33"/>
      <w:bookmarkEnd w:id="34"/>
      <w:bookmarkEnd w:id="35"/>
      <w:bookmarkEnd w:id="36"/>
      <w:bookmarkEnd w:id="37"/>
      <w:bookmarkEnd w:id="38"/>
      <w:bookmarkEnd w:id="39"/>
      <w:bookmarkEnd w:id="40"/>
      <w:bookmarkEnd w:id="41"/>
      <w:bookmarkEnd w:id="42"/>
      <w:bookmarkEnd w:id="43"/>
      <w:bookmarkEnd w:id="44"/>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本竞争性磋商文件仅适用于本次竞争性磋商资格公告中所叙述的项目。通过竞争性磋商方式择优选择成交</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w:t>
      </w:r>
    </w:p>
    <w:p>
      <w:pPr>
        <w:pStyle w:val="76"/>
        <w:pageBreakBefore w:val="0"/>
        <w:kinsoku/>
        <w:wordWrap/>
        <w:topLinePunct w:val="0"/>
        <w:bidi w:val="0"/>
        <w:adjustRightInd w:val="0"/>
        <w:snapToGrid w:val="0"/>
        <w:spacing w:afterAutospacing="0" w:line="360" w:lineRule="auto"/>
        <w:ind w:firstLine="506" w:firstLineChars="200"/>
        <w:jc w:val="both"/>
        <w:textAlignment w:val="auto"/>
        <w:outlineLvl w:val="1"/>
        <w:rPr>
          <w:rFonts w:hint="eastAsia" w:ascii="宋体" w:hAnsi="宋体" w:eastAsia="宋体" w:cs="宋体"/>
          <w:b/>
          <w:color w:val="auto"/>
          <w:sz w:val="24"/>
          <w:szCs w:val="24"/>
          <w:highlight w:val="none"/>
        </w:rPr>
      </w:pPr>
      <w:bookmarkStart w:id="45" w:name="_Toc6021"/>
      <w:bookmarkStart w:id="46" w:name="_Toc27128"/>
      <w:bookmarkStart w:id="47" w:name="_Toc17524"/>
      <w:bookmarkStart w:id="48" w:name="_Toc3281"/>
      <w:bookmarkStart w:id="49" w:name="_Toc6263"/>
      <w:bookmarkStart w:id="50" w:name="_Toc15358"/>
      <w:bookmarkStart w:id="51" w:name="_Toc12571"/>
      <w:bookmarkStart w:id="52" w:name="_Toc30575"/>
      <w:bookmarkStart w:id="53" w:name="_Toc16181"/>
      <w:bookmarkStart w:id="54" w:name="_Toc16665"/>
      <w:bookmarkStart w:id="55" w:name="_Toc183264285"/>
      <w:bookmarkStart w:id="56" w:name="_Toc6859"/>
      <w:bookmarkStart w:id="57" w:name="_Toc2971"/>
      <w:r>
        <w:rPr>
          <w:rFonts w:hint="eastAsia" w:ascii="宋体" w:hAnsi="宋体" w:eastAsia="宋体" w:cs="宋体"/>
          <w:b/>
          <w:color w:val="auto"/>
          <w:sz w:val="24"/>
          <w:szCs w:val="24"/>
          <w:highlight w:val="none"/>
        </w:rPr>
        <w:t>二、定义</w:t>
      </w:r>
      <w:bookmarkEnd w:id="45"/>
      <w:bookmarkEnd w:id="46"/>
      <w:bookmarkEnd w:id="47"/>
      <w:bookmarkEnd w:id="48"/>
      <w:bookmarkEnd w:id="49"/>
      <w:bookmarkEnd w:id="50"/>
      <w:bookmarkEnd w:id="51"/>
      <w:bookmarkEnd w:id="52"/>
      <w:bookmarkEnd w:id="53"/>
      <w:bookmarkEnd w:id="54"/>
      <w:bookmarkEnd w:id="55"/>
      <w:bookmarkEnd w:id="56"/>
      <w:bookmarkEnd w:id="57"/>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u w:val="single"/>
        </w:rPr>
      </w:pPr>
      <w:bookmarkStart w:id="58" w:name="_Toc29647"/>
      <w:bookmarkStart w:id="59" w:name="_Toc16016"/>
      <w:bookmarkStart w:id="60" w:name="_Toc32753"/>
      <w:bookmarkStart w:id="61" w:name="_Toc26902"/>
      <w:bookmarkStart w:id="62" w:name="_Toc5398"/>
      <w:bookmarkStart w:id="63" w:name="_Toc22833"/>
      <w:bookmarkStart w:id="64" w:name="_Toc5891"/>
      <w:bookmarkStart w:id="65" w:name="_Toc8147"/>
      <w:bookmarkStart w:id="66" w:name="_Toc17271"/>
      <w:bookmarkStart w:id="67" w:name="_Toc12343"/>
      <w:bookmarkStart w:id="68" w:name="_Toc8149"/>
      <w:bookmarkStart w:id="69" w:name="_Toc3285"/>
      <w:bookmarkStart w:id="70" w:name="_Toc183264286"/>
      <w:r>
        <w:rPr>
          <w:rFonts w:hint="eastAsia" w:ascii="宋体" w:hAnsi="宋体" w:eastAsia="宋体" w:cs="宋体"/>
          <w:color w:val="auto"/>
          <w:sz w:val="24"/>
          <w:szCs w:val="24"/>
          <w:highlight w:val="none"/>
        </w:rPr>
        <w:t>1.“采购人”系指</w:t>
      </w:r>
      <w:r>
        <w:rPr>
          <w:rFonts w:hint="eastAsia" w:ascii="宋体" w:hAnsi="宋体" w:eastAsia="宋体" w:cs="宋体"/>
          <w:color w:val="auto"/>
          <w:sz w:val="24"/>
          <w:szCs w:val="24"/>
          <w:highlight w:val="none"/>
          <w:u w:val="single"/>
        </w:rPr>
        <w:t>济南高新技术产业开发区临港街道办事处（章锦街道办事处）</w:t>
      </w:r>
      <w:r>
        <w:rPr>
          <w:rFonts w:hint="eastAsia" w:ascii="宋体" w:hAnsi="宋体" w:eastAsia="宋体" w:cs="宋体"/>
          <w:color w:val="auto"/>
          <w:sz w:val="24"/>
          <w:szCs w:val="24"/>
          <w:highlight w:val="none"/>
        </w:rPr>
        <w:t>。</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2.“采购代理机构”系指</w:t>
      </w:r>
      <w:r>
        <w:rPr>
          <w:rFonts w:hint="eastAsia" w:ascii="宋体" w:hAnsi="宋体" w:eastAsia="宋体" w:cs="宋体"/>
          <w:color w:val="auto"/>
          <w:sz w:val="24"/>
          <w:szCs w:val="24"/>
          <w:highlight w:val="none"/>
          <w:u w:val="single"/>
        </w:rPr>
        <w:t xml:space="preserve"> 山东蓝盾招标代理有限公司</w:t>
      </w:r>
      <w:r>
        <w:rPr>
          <w:rFonts w:hint="eastAsia" w:ascii="宋体" w:hAnsi="宋体" w:eastAsia="宋体" w:cs="宋体"/>
          <w:color w:val="auto"/>
          <w:sz w:val="24"/>
          <w:szCs w:val="24"/>
          <w:highlight w:val="none"/>
        </w:rPr>
        <w:t>。</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”系指</w:t>
      </w:r>
      <w:r>
        <w:rPr>
          <w:rFonts w:hint="eastAsia" w:ascii="宋体" w:hAnsi="宋体" w:eastAsia="宋体" w:cs="宋体"/>
          <w:color w:val="auto"/>
          <w:sz w:val="24"/>
          <w:szCs w:val="24"/>
          <w:highlight w:val="none"/>
          <w:u w:val="single"/>
        </w:rPr>
        <w:t>响应磋商并进行报价竞争的单位。</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系指由磋商小组评审确定的取得与采购人签订合同资格的</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w:t>
      </w:r>
    </w:p>
    <w:p>
      <w:pPr>
        <w:pStyle w:val="50"/>
        <w:pageBreakBefore w:val="0"/>
        <w:kinsoku/>
        <w:wordWrap/>
        <w:topLinePunct w:val="0"/>
        <w:bidi w:val="0"/>
        <w:adjustRightInd w:val="0"/>
        <w:snapToGrid w:val="0"/>
        <w:spacing w:afterAutospacing="0" w:line="360" w:lineRule="auto"/>
        <w:ind w:firstLine="506"/>
        <w:textAlignment w:val="auto"/>
        <w:outlineLvl w:val="1"/>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三、踏勘现场</w:t>
      </w:r>
      <w:bookmarkEnd w:id="58"/>
      <w:bookmarkEnd w:id="59"/>
      <w:bookmarkEnd w:id="60"/>
      <w:bookmarkEnd w:id="61"/>
      <w:bookmarkEnd w:id="62"/>
      <w:bookmarkEnd w:id="63"/>
      <w:bookmarkEnd w:id="64"/>
      <w:bookmarkEnd w:id="65"/>
      <w:bookmarkEnd w:id="66"/>
      <w:bookmarkEnd w:id="67"/>
      <w:bookmarkEnd w:id="68"/>
      <w:bookmarkEnd w:id="69"/>
    </w:p>
    <w:p>
      <w:pPr>
        <w:pageBreakBefore w:val="0"/>
        <w:kinsoku/>
        <w:wordWrap/>
        <w:topLinePunct w:val="0"/>
        <w:bidi w:val="0"/>
        <w:adjustRightInd w:val="0"/>
        <w:snapToGrid w:val="0"/>
        <w:spacing w:afterAutospacing="0" w:line="360" w:lineRule="auto"/>
        <w:ind w:firstLine="480" w:firstLineChars="200"/>
        <w:jc w:val="both"/>
        <w:textAlignment w:val="auto"/>
        <w:rPr>
          <w:rFonts w:hint="default" w:ascii="宋体" w:hAnsi="宋体" w:eastAsia="宋体" w:cs="宋体"/>
          <w:color w:val="auto"/>
          <w:sz w:val="24"/>
          <w:szCs w:val="24"/>
          <w:highlight w:val="none"/>
          <w:lang w:val="en-US"/>
        </w:rPr>
      </w:pPr>
      <w:bookmarkStart w:id="71" w:name="_Toc21426"/>
      <w:bookmarkStart w:id="72" w:name="_Toc18930"/>
      <w:bookmarkStart w:id="73" w:name="_Toc29039"/>
      <w:bookmarkStart w:id="74" w:name="_Toc9113"/>
      <w:bookmarkStart w:id="75" w:name="_Toc27146"/>
      <w:bookmarkStart w:id="76" w:name="_Toc19012"/>
      <w:bookmarkStart w:id="77" w:name="_Toc3602"/>
      <w:bookmarkStart w:id="78" w:name="_Toc18544"/>
      <w:bookmarkStart w:id="79" w:name="_Toc1476"/>
      <w:bookmarkStart w:id="80" w:name="_Toc28078"/>
      <w:bookmarkStart w:id="81" w:name="_Toc29646"/>
      <w:bookmarkStart w:id="82" w:name="_Toc26716"/>
      <w:r>
        <w:rPr>
          <w:rFonts w:hint="default" w:ascii="宋体" w:hAnsi="宋体" w:eastAsia="宋体" w:cs="宋体"/>
          <w:color w:val="auto"/>
          <w:sz w:val="24"/>
          <w:szCs w:val="24"/>
          <w:highlight w:val="none"/>
          <w:lang w:val="en-US"/>
        </w:rPr>
        <w:t>1、自行踏勘现场。</w:t>
      </w:r>
    </w:p>
    <w:p>
      <w:pPr>
        <w:pageBreakBefore w:val="0"/>
        <w:kinsoku/>
        <w:wordWrap/>
        <w:topLinePunct w:val="0"/>
        <w:bidi w:val="0"/>
        <w:adjustRightInd w:val="0"/>
        <w:snapToGrid w:val="0"/>
        <w:spacing w:afterAutospacing="0" w:line="360" w:lineRule="auto"/>
        <w:ind w:firstLine="480" w:firstLineChars="200"/>
        <w:jc w:val="both"/>
        <w:textAlignment w:val="auto"/>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rPr>
        <w:t>2、踏勘现场要求：</w:t>
      </w:r>
    </w:p>
    <w:p>
      <w:pPr>
        <w:pageBreakBefore w:val="0"/>
        <w:kinsoku/>
        <w:wordWrap/>
        <w:topLinePunct w:val="0"/>
        <w:bidi w:val="0"/>
        <w:adjustRightInd w:val="0"/>
        <w:snapToGrid w:val="0"/>
        <w:spacing w:afterAutospacing="0" w:line="360" w:lineRule="auto"/>
        <w:ind w:firstLine="480" w:firstLineChars="200"/>
        <w:jc w:val="both"/>
        <w:textAlignment w:val="auto"/>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rPr>
        <w:t>（1）供应商踏勘现场发生的费用自理。</w:t>
      </w:r>
    </w:p>
    <w:p>
      <w:pPr>
        <w:pageBreakBefore w:val="0"/>
        <w:kinsoku/>
        <w:wordWrap/>
        <w:topLinePunct w:val="0"/>
        <w:bidi w:val="0"/>
        <w:adjustRightInd w:val="0"/>
        <w:snapToGrid w:val="0"/>
        <w:spacing w:afterAutospacing="0" w:line="360" w:lineRule="auto"/>
        <w:ind w:firstLine="480" w:firstLineChars="200"/>
        <w:jc w:val="both"/>
        <w:textAlignment w:val="auto"/>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rPr>
        <w:t>（2）供应商自行负责在踏勘现场中所发生的人员伤亡和财产损失。</w:t>
      </w:r>
    </w:p>
    <w:p>
      <w:pPr>
        <w:pStyle w:val="76"/>
        <w:pageBreakBefore w:val="0"/>
        <w:kinsoku/>
        <w:wordWrap/>
        <w:topLinePunct w:val="0"/>
        <w:bidi w:val="0"/>
        <w:adjustRightInd w:val="0"/>
        <w:snapToGrid w:val="0"/>
        <w:spacing w:afterAutospacing="0" w:line="360" w:lineRule="auto"/>
        <w:ind w:firstLine="504" w:firstLineChars="200"/>
        <w:jc w:val="both"/>
        <w:textAlignment w:val="auto"/>
        <w:outlineLvl w:val="1"/>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rPr>
        <w:t>（3）采购人在踏勘现场中介绍的本项目情况和相关的周边环境情况，供应商在编制报价文件时参考，采购人不对供应商据此作出的判断和决策负责。</w:t>
      </w:r>
    </w:p>
    <w:p>
      <w:pPr>
        <w:pStyle w:val="76"/>
        <w:pageBreakBefore w:val="0"/>
        <w:kinsoku/>
        <w:wordWrap/>
        <w:topLinePunct w:val="0"/>
        <w:bidi w:val="0"/>
        <w:adjustRightInd w:val="0"/>
        <w:snapToGrid w:val="0"/>
        <w:spacing w:afterAutospacing="0" w:line="360" w:lineRule="auto"/>
        <w:ind w:firstLine="506" w:firstLineChars="200"/>
        <w:jc w:val="both"/>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四、竞争性磋商文件说明</w:t>
      </w:r>
      <w:bookmarkEnd w:id="70"/>
      <w:bookmarkEnd w:id="71"/>
      <w:bookmarkEnd w:id="72"/>
      <w:bookmarkEnd w:id="73"/>
      <w:bookmarkEnd w:id="74"/>
      <w:bookmarkEnd w:id="75"/>
      <w:bookmarkEnd w:id="76"/>
      <w:bookmarkEnd w:id="77"/>
      <w:bookmarkEnd w:id="78"/>
      <w:bookmarkEnd w:id="79"/>
      <w:bookmarkEnd w:id="80"/>
      <w:bookmarkEnd w:id="81"/>
      <w:bookmarkEnd w:id="82"/>
    </w:p>
    <w:p>
      <w:pPr>
        <w:pStyle w:val="90"/>
        <w:pageBreakBefore w:val="0"/>
        <w:kinsoku/>
        <w:wordWrap/>
        <w:topLinePunct w:val="0"/>
        <w:bidi w:val="0"/>
        <w:adjustRightInd w:val="0"/>
        <w:snapToGrid w:val="0"/>
        <w:spacing w:afterAutospacing="0" w:line="360" w:lineRule="auto"/>
        <w:ind w:firstLine="504"/>
        <w:jc w:val="both"/>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（一）竞争性磋商文件的组成</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第一部分 竞争性磋商公告</w:t>
      </w:r>
      <w:r>
        <w:rPr>
          <w:rFonts w:hint="eastAsia" w:ascii="宋体" w:hAnsi="宋体" w:eastAsia="宋体" w:cs="宋体"/>
          <w:color w:val="auto"/>
          <w:szCs w:val="24"/>
          <w:highlight w:val="none"/>
        </w:rPr>
        <w:tab/>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第二部分 </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须知</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第三部分 项目基本情况 </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 xml:space="preserve">第四部分 </w:t>
      </w:r>
      <w:r>
        <w:rPr>
          <w:rFonts w:hint="eastAsia" w:ascii="宋体" w:hAnsi="宋体" w:eastAsia="宋体" w:cs="宋体"/>
          <w:color w:val="auto"/>
          <w:szCs w:val="24"/>
          <w:highlight w:val="none"/>
          <w:lang w:eastAsia="zh-CN"/>
        </w:rPr>
        <w:t>磋商</w:t>
      </w:r>
      <w:r>
        <w:rPr>
          <w:rFonts w:hint="eastAsia" w:ascii="宋体" w:hAnsi="宋体" w:eastAsia="宋体" w:cs="宋体"/>
          <w:color w:val="auto"/>
          <w:szCs w:val="24"/>
          <w:highlight w:val="none"/>
        </w:rPr>
        <w:t>、评</w:t>
      </w:r>
      <w:r>
        <w:rPr>
          <w:rFonts w:hint="eastAsia" w:ascii="宋体" w:hAnsi="宋体" w:eastAsia="宋体" w:cs="宋体"/>
          <w:color w:val="auto"/>
          <w:szCs w:val="24"/>
          <w:highlight w:val="none"/>
          <w:lang w:eastAsia="zh-CN"/>
        </w:rPr>
        <w:t>审</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成交</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第五部分 合同格式</w:t>
      </w:r>
    </w:p>
    <w:p>
      <w:pPr>
        <w:pStyle w:val="27"/>
        <w:pageBreakBefore w:val="0"/>
        <w:tabs>
          <w:tab w:val="right" w:leader="dot" w:pos="9607"/>
        </w:tabs>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bCs/>
          <w:color w:val="auto"/>
          <w:kern w:val="2"/>
          <w:sz w:val="24"/>
          <w:szCs w:val="24"/>
          <w:highlight w:val="none"/>
          <w:lang w:val="en-US" w:eastAsia="zh-CN"/>
        </w:rPr>
        <w:t xml:space="preserve">    </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"_Toc27984"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第六部分 报价函部分格式</w:t>
      </w:r>
      <w:r>
        <w:rPr>
          <w:rFonts w:hint="eastAsia" w:ascii="宋体" w:hAnsi="宋体" w:eastAsia="宋体" w:cs="宋体"/>
          <w:color w:val="auto"/>
          <w:sz w:val="24"/>
          <w:szCs w:val="24"/>
          <w:highlight w:val="none"/>
        </w:rPr>
        <w:fldChar w:fldCharType="end"/>
      </w:r>
    </w:p>
    <w:p>
      <w:pPr>
        <w:pStyle w:val="27"/>
        <w:pageBreakBefore w:val="0"/>
        <w:tabs>
          <w:tab w:val="right" w:leader="dot" w:pos="9607"/>
        </w:tabs>
        <w:kinsoku/>
        <w:wordWrap/>
        <w:topLinePunct w:val="0"/>
        <w:bidi w:val="0"/>
        <w:adjustRightInd w:val="0"/>
        <w:snapToGrid w:val="0"/>
        <w:spacing w:afterAutospacing="0" w:line="360" w:lineRule="auto"/>
        <w:jc w:val="both"/>
        <w:textAlignment w:val="auto"/>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 xml:space="preserve">    </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"_Toc27984"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第七部分 附件</w:t>
      </w:r>
      <w:r>
        <w:rPr>
          <w:rFonts w:hint="eastAsia" w:ascii="宋体" w:hAnsi="宋体" w:eastAsia="宋体" w:cs="宋体"/>
          <w:color w:val="auto"/>
          <w:sz w:val="24"/>
          <w:szCs w:val="24"/>
          <w:highlight w:val="none"/>
        </w:rPr>
        <w:fldChar w:fldCharType="end"/>
      </w:r>
    </w:p>
    <w:p>
      <w:pPr>
        <w:pStyle w:val="30"/>
        <w:pageBreakBefore w:val="0"/>
        <w:tabs>
          <w:tab w:val="right" w:leader="dot" w:pos="9607"/>
        </w:tabs>
        <w:kinsoku/>
        <w:wordWrap/>
        <w:topLinePunct w:val="0"/>
        <w:bidi w:val="0"/>
        <w:adjustRightInd w:val="0"/>
        <w:snapToGrid w:val="0"/>
        <w:spacing w:afterAutospacing="0" w:line="360" w:lineRule="auto"/>
        <w:ind w:left="0" w:leftChars="0"/>
        <w:jc w:val="both"/>
        <w:textAlignment w:val="auto"/>
        <w:rPr>
          <w:rFonts w:hint="eastAsia" w:ascii="宋体" w:hAnsi="宋体" w:eastAsia="宋体" w:cs="宋体"/>
          <w:color w:val="auto"/>
          <w:sz w:val="24"/>
          <w:szCs w:val="24"/>
          <w:highlight w:val="none"/>
        </w:rPr>
      </w:pPr>
      <w:r>
        <w:rPr>
          <w:rFonts w:hint="eastAsia" w:ascii="宋体" w:hAnsi="宋体" w:eastAsia="宋体" w:cs="宋体"/>
          <w:bCs/>
          <w:color w:val="auto"/>
          <w:kern w:val="2"/>
          <w:sz w:val="24"/>
          <w:szCs w:val="24"/>
          <w:highlight w:val="none"/>
        </w:rPr>
        <w:t xml:space="preserve">    </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"_Toc5720"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
          <w:sz w:val="24"/>
          <w:szCs w:val="24"/>
          <w:highlight w:val="none"/>
        </w:rPr>
        <w:t>第八部分 报价文件商务部分格式</w:t>
      </w:r>
      <w:r>
        <w:rPr>
          <w:rFonts w:hint="eastAsia" w:ascii="宋体" w:hAnsi="宋体" w:eastAsia="宋体" w:cs="宋体"/>
          <w:bCs/>
          <w:color w:val="auto"/>
          <w:kern w:val="2"/>
          <w:sz w:val="24"/>
          <w:szCs w:val="24"/>
          <w:highlight w:val="none"/>
        </w:rPr>
        <w:fldChar w:fldCharType="end"/>
      </w:r>
    </w:p>
    <w:p>
      <w:pPr>
        <w:pStyle w:val="30"/>
        <w:pageBreakBefore w:val="0"/>
        <w:tabs>
          <w:tab w:val="right" w:leader="dot" w:pos="9607"/>
        </w:tabs>
        <w:kinsoku/>
        <w:wordWrap/>
        <w:topLinePunct w:val="0"/>
        <w:bidi w:val="0"/>
        <w:adjustRightInd w:val="0"/>
        <w:snapToGrid w:val="0"/>
        <w:spacing w:afterAutospacing="0" w:line="360" w:lineRule="auto"/>
        <w:ind w:left="0" w:leftChars="0" w:firstLine="480"/>
        <w:jc w:val="both"/>
        <w:textAlignment w:val="auto"/>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 xml:space="preserve">第九部分 </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"_Toc24177"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
          <w:sz w:val="24"/>
          <w:szCs w:val="24"/>
          <w:highlight w:val="none"/>
        </w:rPr>
        <w:t>报价文件技术部分格式</w:t>
      </w:r>
      <w:r>
        <w:rPr>
          <w:rFonts w:hint="eastAsia" w:ascii="宋体" w:hAnsi="宋体" w:eastAsia="宋体" w:cs="宋体"/>
          <w:bCs/>
          <w:color w:val="auto"/>
          <w:kern w:val="2"/>
          <w:sz w:val="24"/>
          <w:szCs w:val="24"/>
          <w:highlight w:val="none"/>
        </w:rPr>
        <w:fldChar w:fldCharType="end"/>
      </w:r>
    </w:p>
    <w:p>
      <w:pPr>
        <w:pStyle w:val="30"/>
        <w:pageBreakBefore w:val="0"/>
        <w:tabs>
          <w:tab w:val="right" w:leader="dot" w:pos="9607"/>
        </w:tabs>
        <w:kinsoku/>
        <w:wordWrap/>
        <w:topLinePunct w:val="0"/>
        <w:bidi w:val="0"/>
        <w:adjustRightInd w:val="0"/>
        <w:snapToGrid w:val="0"/>
        <w:spacing w:afterAutospacing="0" w:line="360" w:lineRule="auto"/>
        <w:ind w:left="0" w:leftChars="0" w:firstLine="48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"_Toc2396"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
          <w:sz w:val="24"/>
          <w:szCs w:val="24"/>
          <w:highlight w:val="none"/>
        </w:rPr>
        <w:t xml:space="preserve">第十部分 </w:t>
      </w:r>
      <w:r>
        <w:rPr>
          <w:rFonts w:hint="eastAsia" w:ascii="宋体" w:hAnsi="宋体" w:eastAsia="宋体" w:cs="宋体"/>
          <w:color w:val="auto"/>
          <w:spacing w:val="6"/>
          <w:sz w:val="24"/>
          <w:szCs w:val="24"/>
          <w:highlight w:val="none"/>
        </w:rPr>
        <w:t>评分标准</w:t>
      </w:r>
      <w:r>
        <w:rPr>
          <w:rFonts w:hint="eastAsia" w:ascii="宋体" w:hAnsi="宋体" w:eastAsia="宋体" w:cs="宋体"/>
          <w:color w:val="auto"/>
          <w:spacing w:val="6"/>
          <w:sz w:val="24"/>
          <w:szCs w:val="24"/>
          <w:highlight w:val="none"/>
        </w:rPr>
        <w:fldChar w:fldCharType="end"/>
      </w:r>
      <w:r>
        <w:rPr>
          <w:rFonts w:hint="eastAsia" w:ascii="宋体" w:hAnsi="宋体" w:eastAsia="宋体" w:cs="宋体"/>
          <w:color w:val="auto"/>
          <w:sz w:val="24"/>
          <w:szCs w:val="24"/>
          <w:highlight w:val="none"/>
        </w:rPr>
        <w:t xml:space="preserve">    </w:t>
      </w:r>
    </w:p>
    <w:p>
      <w:pPr>
        <w:pStyle w:val="50"/>
        <w:pageBreakBefore w:val="0"/>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（二）竞争性磋商文件的修改</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1．采购代理机构对竞争性磋商文件必须修改的内容，需在竞争性磋商文件要求提交报价文件截止时间3日前，以书面形式通知已购买竞争性磋商文件的所有</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。补充文件将作为竞争性磋商文件的组成部分，对所有</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均具有约束力。</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2．为使</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有足够的时间按竞争性磋商文件的要求修改报价文件，采购代理机构可酌情推迟报价的截止时间和日期，并将此变更书面通知上述每一</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（三）竞争性磋商文件的澄清</w:t>
      </w:r>
    </w:p>
    <w:p>
      <w:pPr>
        <w:pStyle w:val="50"/>
        <w:pageBreakBefore w:val="0"/>
        <w:kinsoku/>
        <w:wordWrap/>
        <w:topLinePunct w:val="0"/>
        <w:bidi w:val="0"/>
        <w:adjustRightInd w:val="0"/>
        <w:snapToGrid w:val="0"/>
        <w:spacing w:afterAutospacing="0" w:line="360" w:lineRule="auto"/>
        <w:ind w:left="0" w:leftChars="0" w:firstLine="478" w:firstLineChars="19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对竞争性磋商文件如有疑问可要求澄清，应在201</w:t>
      </w:r>
      <w:r>
        <w:rPr>
          <w:rFonts w:hint="eastAsia" w:ascii="宋体" w:hAnsi="宋体" w:eastAsia="宋体" w:cs="宋体"/>
          <w:color w:val="auto"/>
          <w:szCs w:val="24"/>
          <w:highlight w:val="none"/>
          <w:lang w:val="en-US" w:eastAsia="zh-CN"/>
        </w:rPr>
        <w:t>9</w:t>
      </w:r>
      <w:r>
        <w:rPr>
          <w:rFonts w:hint="eastAsia" w:ascii="宋体" w:hAnsi="宋体" w:eastAsia="宋体" w:cs="宋体"/>
          <w:color w:val="auto"/>
          <w:szCs w:val="24"/>
          <w:highlight w:val="none"/>
        </w:rPr>
        <w:t>年</w:t>
      </w:r>
      <w:r>
        <w:rPr>
          <w:rFonts w:hint="eastAsia" w:ascii="宋体" w:hAnsi="宋体" w:cs="宋体"/>
          <w:color w:val="auto"/>
          <w:szCs w:val="24"/>
          <w:highlight w:val="none"/>
          <w:lang w:val="en-US" w:eastAsia="zh-CN"/>
        </w:rPr>
        <w:t>12</w:t>
      </w:r>
      <w:r>
        <w:rPr>
          <w:rFonts w:hint="eastAsia" w:ascii="宋体" w:hAnsi="宋体" w:eastAsia="宋体" w:cs="宋体"/>
          <w:color w:val="auto"/>
          <w:szCs w:val="24"/>
          <w:highlight w:val="none"/>
        </w:rPr>
        <w:t>月</w:t>
      </w:r>
      <w:r>
        <w:rPr>
          <w:rFonts w:hint="eastAsia" w:ascii="宋体" w:hAnsi="宋体" w:cs="宋体"/>
          <w:color w:val="auto"/>
          <w:szCs w:val="24"/>
          <w:highlight w:val="none"/>
          <w:lang w:val="en-US" w:eastAsia="zh-CN"/>
        </w:rPr>
        <w:t>6</w:t>
      </w:r>
      <w:r>
        <w:rPr>
          <w:rFonts w:hint="eastAsia" w:ascii="宋体" w:hAnsi="宋体" w:eastAsia="宋体" w:cs="宋体"/>
          <w:color w:val="auto"/>
          <w:szCs w:val="24"/>
          <w:highlight w:val="none"/>
        </w:rPr>
        <w:t>日</w:t>
      </w:r>
      <w:r>
        <w:rPr>
          <w:rFonts w:hint="eastAsia" w:ascii="宋体" w:hAnsi="宋体" w:cs="宋体"/>
          <w:color w:val="auto"/>
          <w:szCs w:val="24"/>
          <w:highlight w:val="none"/>
          <w:lang w:eastAsia="zh-CN"/>
        </w:rPr>
        <w:t>上</w:t>
      </w:r>
      <w:r>
        <w:rPr>
          <w:rFonts w:hint="eastAsia" w:ascii="宋体" w:hAnsi="宋体" w:eastAsia="宋体" w:cs="宋体"/>
          <w:color w:val="auto"/>
          <w:szCs w:val="24"/>
          <w:highlight w:val="none"/>
        </w:rPr>
        <w:t>午</w:t>
      </w:r>
      <w:r>
        <w:rPr>
          <w:rFonts w:hint="eastAsia" w:ascii="宋体" w:hAnsi="宋体" w:cs="宋体"/>
          <w:color w:val="auto"/>
          <w:szCs w:val="24"/>
          <w:highlight w:val="none"/>
          <w:lang w:val="en-US" w:eastAsia="zh-CN"/>
        </w:rPr>
        <w:t>12：00</w:t>
      </w:r>
      <w:r>
        <w:rPr>
          <w:rFonts w:hint="eastAsia" w:ascii="宋体" w:hAnsi="宋体" w:eastAsia="宋体" w:cs="宋体"/>
          <w:color w:val="auto"/>
          <w:szCs w:val="24"/>
          <w:highlight w:val="none"/>
        </w:rPr>
        <w:t>前（北京时间）前以书面形式向采购代理机构提出澄清要求，</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"mailto:须将要求澄清内容发送电子邮件至sdxinglian@163.com"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须将要求澄清内容发送电子邮件至</w:t>
      </w:r>
      <w:r>
        <w:rPr>
          <w:rFonts w:hint="eastAsia" w:ascii="宋体" w:hAnsi="宋体" w:eastAsia="宋体" w:cs="宋体"/>
          <w:sz w:val="24"/>
          <w:szCs w:val="24"/>
          <w:highlight w:val="none"/>
          <w:lang w:val="en-US" w:eastAsia="zh-CN"/>
        </w:rPr>
        <w:t>sdldzbdl@163.com</w:t>
      </w:r>
      <w:r>
        <w:rPr>
          <w:rFonts w:hint="eastAsia" w:ascii="宋体" w:hAnsi="宋体" w:eastAsia="宋体" w:cs="宋体"/>
          <w:color w:val="auto"/>
          <w:szCs w:val="24"/>
          <w:highlight w:val="none"/>
        </w:rPr>
        <w:fldChar w:fldCharType="end"/>
      </w:r>
      <w:r>
        <w:rPr>
          <w:rFonts w:hint="eastAsia" w:ascii="宋体" w:hAnsi="宋体" w:eastAsia="宋体" w:cs="宋体"/>
          <w:color w:val="auto"/>
          <w:szCs w:val="24"/>
          <w:highlight w:val="none"/>
        </w:rPr>
        <w:t>并电话通知竞争性磋商资格公告所列的联系人。采购代理机构将视情况采用适当方式予以澄清或以书面形式答复。在其认为必要时，将不标明查询来源的书面答复于报价截止时间5日前发给所有购买竞争性磋商文件的</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在收到该澄清文件后应于当日内，以书面形式给予确认，逾期不确认视为认同。澄清或答复作为竞争性磋商文件的组成部分，具有约束作用。在规定时间以后提出的澄清要求将不予受理。</w:t>
      </w:r>
    </w:p>
    <w:p>
      <w:pPr>
        <w:pStyle w:val="76"/>
        <w:pageBreakBefore w:val="0"/>
        <w:kinsoku/>
        <w:wordWrap/>
        <w:topLinePunct w:val="0"/>
        <w:bidi w:val="0"/>
        <w:adjustRightInd w:val="0"/>
        <w:snapToGrid w:val="0"/>
        <w:spacing w:afterAutospacing="0" w:line="360" w:lineRule="auto"/>
        <w:ind w:firstLine="506" w:firstLineChars="200"/>
        <w:jc w:val="both"/>
        <w:textAlignment w:val="auto"/>
        <w:outlineLvl w:val="1"/>
        <w:rPr>
          <w:rFonts w:hint="eastAsia" w:ascii="宋体" w:hAnsi="宋体" w:eastAsia="宋体" w:cs="宋体"/>
          <w:b/>
          <w:color w:val="auto"/>
          <w:sz w:val="24"/>
          <w:szCs w:val="24"/>
          <w:highlight w:val="none"/>
        </w:rPr>
      </w:pPr>
      <w:bookmarkStart w:id="83" w:name="_Toc23670"/>
      <w:bookmarkStart w:id="84" w:name="_Toc183264287"/>
      <w:bookmarkStart w:id="85" w:name="_Toc565"/>
      <w:bookmarkStart w:id="86" w:name="_Toc9349"/>
      <w:bookmarkStart w:id="87" w:name="_Toc23580"/>
      <w:bookmarkStart w:id="88" w:name="_Toc16021"/>
      <w:bookmarkStart w:id="89" w:name="_Toc7697"/>
      <w:bookmarkStart w:id="90" w:name="_Toc18692"/>
      <w:bookmarkStart w:id="91" w:name="_Toc17216"/>
      <w:bookmarkStart w:id="92" w:name="_Toc15739"/>
      <w:bookmarkStart w:id="93" w:name="_Toc6981"/>
      <w:bookmarkStart w:id="94" w:name="_Toc9438"/>
      <w:bookmarkStart w:id="95" w:name="_Toc23156"/>
      <w:r>
        <w:rPr>
          <w:rFonts w:hint="eastAsia" w:ascii="宋体" w:hAnsi="宋体" w:eastAsia="宋体" w:cs="宋体"/>
          <w:b/>
          <w:color w:val="auto"/>
          <w:sz w:val="24"/>
          <w:szCs w:val="24"/>
          <w:highlight w:val="none"/>
        </w:rPr>
        <w:t>五、报价文件的编写</w:t>
      </w:r>
      <w:bookmarkEnd w:id="83"/>
      <w:bookmarkEnd w:id="84"/>
      <w:bookmarkEnd w:id="85"/>
      <w:bookmarkEnd w:id="86"/>
      <w:bookmarkEnd w:id="87"/>
      <w:bookmarkEnd w:id="88"/>
      <w:bookmarkEnd w:id="89"/>
      <w:bookmarkEnd w:id="90"/>
      <w:bookmarkEnd w:id="91"/>
      <w:bookmarkEnd w:id="92"/>
      <w:bookmarkEnd w:id="93"/>
      <w:bookmarkEnd w:id="94"/>
      <w:bookmarkEnd w:id="95"/>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仔细阅读竞争性磋商文件的所有内容，按竞争性磋商文件的要求提供报价文件，并保证所提供的全部资料的真实性、准确性及完整性，以使其报价对竞争性磋商文件做出实质性响应。否则，其报价有可能被拒绝或被视为无效。</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（一）报价文件的组成</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应按竞争性磋商文件的要求编写报价文件，提交证明其有资格进行报价和有能力履行合同的文件。</w:t>
      </w:r>
    </w:p>
    <w:p>
      <w:pPr>
        <w:pageBreakBefore w:val="0"/>
        <w:kinsoku/>
        <w:wordWrap/>
        <w:topLinePunct w:val="0"/>
        <w:bidi w:val="0"/>
        <w:adjustRightInd w:val="0"/>
        <w:snapToGrid w:val="0"/>
        <w:spacing w:afterAutospacing="0" w:line="360" w:lineRule="auto"/>
        <w:ind w:firstLine="482" w:firstLineChars="200"/>
        <w:textAlignment w:val="auto"/>
        <w:rPr>
          <w:rFonts w:hint="eastAsia" w:ascii="宋体" w:hAnsi="宋体" w:eastAsia="宋体" w:cs="宋体"/>
          <w:b/>
          <w:bCs/>
          <w:color w:val="auto"/>
          <w:sz w:val="24"/>
          <w:szCs w:val="24"/>
          <w:highlight w:val="none"/>
          <w:u w:val="single"/>
        </w:rPr>
      </w:pPr>
      <w:r>
        <w:rPr>
          <w:rFonts w:hint="eastAsia" w:ascii="宋体" w:hAnsi="宋体" w:eastAsia="宋体" w:cs="宋体"/>
          <w:b/>
          <w:bCs/>
          <w:color w:val="auto"/>
          <w:sz w:val="24"/>
          <w:szCs w:val="24"/>
          <w:highlight w:val="none"/>
          <w:u w:val="single"/>
        </w:rPr>
        <w:t>报价文件由报价函部分、资格证明部分、商务部分、技术部分四部分组成</w:t>
      </w:r>
      <w:r>
        <w:rPr>
          <w:rFonts w:hint="eastAsia" w:ascii="宋体" w:hAnsi="宋体" w:eastAsia="宋体" w:cs="宋体"/>
          <w:b/>
          <w:bCs/>
          <w:color w:val="auto"/>
          <w:sz w:val="24"/>
          <w:szCs w:val="24"/>
          <w:highlight w:val="none"/>
        </w:rPr>
        <w:t>。</w:t>
      </w:r>
    </w:p>
    <w:p>
      <w:pPr>
        <w:pageBreakBefore w:val="0"/>
        <w:kinsoku/>
        <w:wordWrap/>
        <w:topLinePunct w:val="0"/>
        <w:bidi w:val="0"/>
        <w:adjustRightInd w:val="0"/>
        <w:snapToGrid w:val="0"/>
        <w:spacing w:afterAutospacing="0"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1.报价函部分</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val="en-US" w:eastAsia="zh-CN"/>
        </w:rPr>
        <w:t xml:space="preserve">    </w:t>
      </w:r>
      <w:r>
        <w:rPr>
          <w:rFonts w:hint="eastAsia" w:ascii="宋体" w:hAnsi="宋体" w:eastAsia="宋体" w:cs="宋体"/>
          <w:color w:val="auto"/>
          <w:spacing w:val="6"/>
          <w:sz w:val="24"/>
          <w:szCs w:val="24"/>
          <w:highlight w:val="none"/>
        </w:rPr>
        <w:t>1.1法定代表人或授权代理人签署的</w:t>
      </w:r>
      <w:r>
        <w:rPr>
          <w:rFonts w:hint="eastAsia" w:ascii="宋体" w:hAnsi="宋体" w:cs="宋体"/>
          <w:color w:val="auto"/>
          <w:spacing w:val="6"/>
          <w:sz w:val="24"/>
          <w:szCs w:val="24"/>
          <w:highlight w:val="none"/>
          <w:lang w:eastAsia="zh-CN"/>
        </w:rPr>
        <w:t>报价</w:t>
      </w:r>
      <w:r>
        <w:rPr>
          <w:rFonts w:hint="eastAsia" w:ascii="宋体" w:hAnsi="宋体" w:eastAsia="宋体" w:cs="宋体"/>
          <w:color w:val="auto"/>
          <w:spacing w:val="6"/>
          <w:sz w:val="24"/>
          <w:szCs w:val="24"/>
          <w:highlight w:val="none"/>
        </w:rPr>
        <w:t>函；</w:t>
      </w:r>
    </w:p>
    <w:p>
      <w:pPr>
        <w:pStyle w:val="50"/>
        <w:pageBreakBefore w:val="0"/>
        <w:kinsoku/>
        <w:wordWrap/>
        <w:topLinePunct w:val="0"/>
        <w:bidi w:val="0"/>
        <w:adjustRightInd w:val="0"/>
        <w:snapToGrid w:val="0"/>
        <w:spacing w:afterAutospacing="0" w:line="360" w:lineRule="auto"/>
        <w:ind w:firstLine="528" w:firstLineChars="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1.2法定代表人身份证明书（法人签字并加盖公章，否则视为无效），法定代表人授权委托书（法人签字并加盖公章，否则视为无效）</w:t>
      </w:r>
    </w:p>
    <w:p>
      <w:pPr>
        <w:pStyle w:val="50"/>
        <w:pageBreakBefore w:val="0"/>
        <w:kinsoku/>
        <w:wordWrap/>
        <w:topLinePunct w:val="0"/>
        <w:bidi w:val="0"/>
        <w:adjustRightInd w:val="0"/>
        <w:snapToGrid w:val="0"/>
        <w:spacing w:afterAutospacing="0" w:line="360" w:lineRule="auto"/>
        <w:ind w:firstLine="528" w:firstLineChars="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1.3报价一览表</w:t>
      </w:r>
    </w:p>
    <w:p>
      <w:pPr>
        <w:pageBreakBefore w:val="0"/>
        <w:tabs>
          <w:tab w:val="left" w:pos="836"/>
        </w:tabs>
        <w:kinsoku/>
        <w:wordWrap/>
        <w:topLinePunct w:val="0"/>
        <w:bidi w:val="0"/>
        <w:adjustRightInd w:val="0"/>
        <w:snapToGrid w:val="0"/>
        <w:spacing w:afterAutospacing="0" w:line="360" w:lineRule="auto"/>
        <w:ind w:firstLine="482" w:firstLineChars="200"/>
        <w:textAlignment w:val="auto"/>
        <w:rPr>
          <w:rFonts w:hint="eastAsia" w:ascii="宋体" w:hAnsi="宋体" w:eastAsia="宋体" w:cs="宋体"/>
          <w:color w:val="auto"/>
          <w:spacing w:val="6"/>
          <w:sz w:val="24"/>
          <w:szCs w:val="24"/>
          <w:highlight w:val="none"/>
        </w:rPr>
      </w:pPr>
      <w:r>
        <w:rPr>
          <w:rFonts w:hint="eastAsia" w:ascii="宋体" w:hAnsi="宋体" w:eastAsia="宋体" w:cs="宋体"/>
          <w:b/>
          <w:color w:val="auto"/>
          <w:sz w:val="24"/>
          <w:szCs w:val="24"/>
          <w:highlight w:val="none"/>
        </w:rPr>
        <w:t>2.资格证明文件</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highlight w:val="none"/>
        </w:rPr>
      </w:pPr>
      <w:r>
        <w:rPr>
          <w:rFonts w:hint="eastAsia" w:ascii="宋体" w:hAnsi="宋体" w:eastAsia="宋体" w:cs="宋体"/>
          <w:color w:val="auto"/>
          <w:highlight w:val="none"/>
        </w:rPr>
        <w:t>(1)有关证明</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法律地位的原始文件副本</w:t>
      </w:r>
    </w:p>
    <w:p>
      <w:pPr>
        <w:pStyle w:val="90"/>
        <w:pageBreakBefore w:val="0"/>
        <w:kinsoku/>
        <w:wordWrap/>
        <w:topLinePunct w:val="0"/>
        <w:bidi w:val="0"/>
        <w:adjustRightInd w:val="0"/>
        <w:snapToGrid w:val="0"/>
        <w:spacing w:afterAutospacing="0" w:line="360" w:lineRule="auto"/>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1）营业执照副本、税务登记证副本、组织机构代码证副本（三证合一的投</w:t>
      </w:r>
      <w:r>
        <w:rPr>
          <w:rFonts w:hint="eastAsia" w:ascii="宋体" w:hAnsi="宋体" w:eastAsia="宋体" w:cs="宋体"/>
          <w:b/>
          <w:color w:val="auto"/>
          <w:highlight w:val="none"/>
          <w:lang w:eastAsia="zh-CN"/>
        </w:rPr>
        <w:t>供应商</w:t>
      </w:r>
      <w:r>
        <w:rPr>
          <w:rFonts w:hint="eastAsia" w:ascii="宋体" w:hAnsi="宋体" w:eastAsia="宋体" w:cs="宋体"/>
          <w:b/>
          <w:color w:val="auto"/>
          <w:highlight w:val="none"/>
        </w:rPr>
        <w:t>只需提供带有统一社会信用代码的营业执照副本）；</w:t>
      </w:r>
    </w:p>
    <w:p>
      <w:pPr>
        <w:pStyle w:val="90"/>
        <w:pageBreakBefore w:val="0"/>
        <w:kinsoku/>
        <w:wordWrap/>
        <w:topLinePunct w:val="0"/>
        <w:bidi w:val="0"/>
        <w:adjustRightInd w:val="0"/>
        <w:snapToGrid w:val="0"/>
        <w:spacing w:afterAutospacing="0" w:line="360" w:lineRule="auto"/>
        <w:textAlignment w:val="auto"/>
        <w:rPr>
          <w:rFonts w:hint="eastAsia" w:ascii="宋体" w:hAnsi="宋体" w:eastAsia="宋体" w:cs="宋体"/>
          <w:b/>
          <w:color w:val="auto"/>
          <w:highlight w:val="none"/>
        </w:rPr>
      </w:pPr>
      <w:r>
        <w:rPr>
          <w:rFonts w:hint="eastAsia" w:ascii="宋体" w:hAnsi="宋体" w:eastAsia="宋体" w:cs="宋体"/>
          <w:b/>
          <w:color w:val="auto"/>
          <w:highlight w:val="none"/>
          <w:lang w:val="en-US" w:eastAsia="zh-CN"/>
        </w:rPr>
        <w:t>2</w:t>
      </w:r>
      <w:r>
        <w:rPr>
          <w:rFonts w:hint="eastAsia" w:ascii="宋体" w:hAnsi="宋体" w:eastAsia="宋体" w:cs="宋体"/>
          <w:b/>
          <w:color w:val="auto"/>
          <w:highlight w:val="none"/>
        </w:rPr>
        <w:t>）法定代表人身份证明及身份证</w:t>
      </w:r>
      <w:r>
        <w:rPr>
          <w:rFonts w:hint="eastAsia" w:ascii="宋体" w:hAnsi="宋体" w:eastAsia="宋体" w:cs="宋体"/>
          <w:b/>
          <w:color w:val="auto"/>
          <w:highlight w:val="none"/>
          <w:lang w:eastAsia="zh-CN"/>
        </w:rPr>
        <w:t>复印件</w:t>
      </w:r>
      <w:r>
        <w:rPr>
          <w:rFonts w:hint="eastAsia" w:ascii="宋体" w:hAnsi="宋体" w:eastAsia="宋体" w:cs="宋体"/>
          <w:b/>
          <w:color w:val="auto"/>
          <w:highlight w:val="none"/>
        </w:rPr>
        <w:t>或法定代表人授权委托书及授权</w:t>
      </w:r>
      <w:r>
        <w:rPr>
          <w:rFonts w:hint="eastAsia" w:ascii="宋体" w:hAnsi="宋体" w:eastAsia="宋体" w:cs="宋体"/>
          <w:b/>
          <w:color w:val="auto"/>
          <w:highlight w:val="none"/>
          <w:lang w:eastAsia="zh-CN"/>
        </w:rPr>
        <w:t>代表</w:t>
      </w:r>
      <w:r>
        <w:rPr>
          <w:rFonts w:hint="eastAsia" w:ascii="宋体" w:hAnsi="宋体" w:eastAsia="宋体" w:cs="宋体"/>
          <w:b/>
          <w:color w:val="auto"/>
          <w:highlight w:val="none"/>
        </w:rPr>
        <w:t>身份证</w:t>
      </w:r>
      <w:r>
        <w:rPr>
          <w:rFonts w:hint="eastAsia" w:ascii="宋体" w:hAnsi="宋体" w:eastAsia="宋体" w:cs="宋体"/>
          <w:b/>
          <w:color w:val="auto"/>
          <w:highlight w:val="none"/>
          <w:lang w:eastAsia="zh-CN"/>
        </w:rPr>
        <w:t>复印件</w:t>
      </w:r>
      <w:r>
        <w:rPr>
          <w:rFonts w:hint="eastAsia" w:ascii="宋体" w:hAnsi="宋体" w:eastAsia="宋体" w:cs="宋体"/>
          <w:b/>
          <w:color w:val="auto"/>
          <w:highlight w:val="none"/>
        </w:rPr>
        <w:t>；</w:t>
      </w:r>
    </w:p>
    <w:p>
      <w:pPr>
        <w:pageBreakBefore w:val="0"/>
        <w:kinsoku/>
        <w:wordWrap/>
        <w:topLinePunct w:val="0"/>
        <w:bidi w:val="0"/>
        <w:adjustRightInd w:val="0"/>
        <w:snapToGrid w:val="0"/>
        <w:spacing w:afterAutospacing="0" w:line="360" w:lineRule="auto"/>
        <w:ind w:firstLine="402" w:firstLineChars="200"/>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highlight w:val="none"/>
          <w:lang w:val="en-US" w:eastAsia="zh-CN"/>
        </w:rPr>
        <w:t>3</w:t>
      </w:r>
      <w:r>
        <w:rPr>
          <w:rFonts w:hint="eastAsia" w:ascii="宋体" w:hAnsi="宋体" w:eastAsia="宋体" w:cs="宋体"/>
          <w:b/>
          <w:color w:val="auto"/>
          <w:highlight w:val="none"/>
        </w:rPr>
        <w:t>）</w:t>
      </w:r>
      <w:r>
        <w:rPr>
          <w:rFonts w:hint="eastAsia" w:ascii="宋体" w:hAnsi="宋体" w:eastAsia="宋体" w:cs="宋体"/>
          <w:b/>
          <w:color w:val="auto"/>
          <w:spacing w:val="6"/>
          <w:sz w:val="24"/>
          <w:szCs w:val="22"/>
          <w:highlight w:val="none"/>
          <w:lang w:val="en-US" w:eastAsia="zh-CN" w:bidi="ar-SA"/>
        </w:rPr>
        <w:t>提供经会计事务所审计出具的2018年度财务报表或财务审计报告（包括资产负债表、现金流量表、利润表等材料）或基本开户银行出具的资信证明；复印件加盖公章</w:t>
      </w:r>
      <w:r>
        <w:rPr>
          <w:rFonts w:hint="eastAsia" w:ascii="宋体" w:hAnsi="宋体" w:cs="宋体"/>
          <w:b/>
          <w:color w:val="auto"/>
          <w:spacing w:val="6"/>
          <w:sz w:val="24"/>
          <w:szCs w:val="22"/>
          <w:highlight w:val="none"/>
          <w:lang w:val="en-US" w:eastAsia="zh-CN" w:bidi="ar-SA"/>
        </w:rPr>
        <w:t>.</w:t>
      </w:r>
      <w:r>
        <w:rPr>
          <w:rFonts w:hint="eastAsia" w:ascii="宋体" w:hAnsi="宋体" w:eastAsia="宋体" w:cs="宋体"/>
          <w:b/>
          <w:color w:val="auto"/>
          <w:spacing w:val="6"/>
          <w:sz w:val="24"/>
          <w:szCs w:val="22"/>
          <w:highlight w:val="none"/>
          <w:lang w:val="en-US" w:eastAsia="zh-CN" w:bidi="ar-SA"/>
        </w:rPr>
        <w:t>（2018年以后注册的公司需写说明）；</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4）供应商须具备建筑工程施工总承包叁级及以上资质或建筑装修装饰工程专业承包贰级及以上资质；具有有效的安全生产许可证；</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5）项目经理具有建筑工程类贰级及以上建造师证书、有效的安全生产考核合格证书（B类）；</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6）供应商的2019年度任意一个季度依法纳税的完税凭证，依法免税的，应提供由供应商所在地主管国税、地税部门出具的《依法纳税或依法免税证明》；</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7）供应商2019年度任意连续三个月的社会保险缴纳证明；</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8）参加政府采购活动前三年内，在经营活动中无重大违法记录的声明；</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9）供应商信用查询结果截图；</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10）供应商认为需要提交的其他证明资料。</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以上1）-</w:t>
      </w:r>
      <w:r>
        <w:rPr>
          <w:rFonts w:hint="eastAsia" w:ascii="宋体" w:hAnsi="宋体" w:eastAsia="宋体" w:cs="宋体"/>
          <w:b/>
          <w:color w:val="auto"/>
          <w:highlight w:val="none"/>
          <w:lang w:val="en-US" w:eastAsia="zh-CN"/>
        </w:rPr>
        <w:t>9</w:t>
      </w:r>
      <w:r>
        <w:rPr>
          <w:rFonts w:hint="eastAsia" w:ascii="宋体" w:hAnsi="宋体" w:eastAsia="宋体" w:cs="宋体"/>
          <w:b/>
          <w:color w:val="auto"/>
          <w:highlight w:val="none"/>
        </w:rPr>
        <w:t>）开标现场需</w:t>
      </w:r>
      <w:r>
        <w:rPr>
          <w:rFonts w:hint="eastAsia" w:ascii="宋体" w:hAnsi="宋体" w:eastAsia="宋体" w:cs="宋体"/>
          <w:b/>
          <w:color w:val="auto"/>
          <w:highlight w:val="none"/>
          <w:lang w:eastAsia="zh-CN"/>
        </w:rPr>
        <w:t>单独</w:t>
      </w:r>
      <w:r>
        <w:rPr>
          <w:rFonts w:hint="eastAsia" w:ascii="宋体" w:hAnsi="宋体" w:eastAsia="宋体" w:cs="宋体"/>
          <w:b/>
          <w:color w:val="auto"/>
          <w:highlight w:val="none"/>
        </w:rPr>
        <w:t>提供复印件加盖公章一套</w:t>
      </w:r>
      <w:r>
        <w:rPr>
          <w:rFonts w:hint="eastAsia" w:ascii="宋体" w:hAnsi="宋体" w:eastAsia="宋体" w:cs="宋体"/>
          <w:b/>
          <w:color w:val="auto"/>
          <w:highlight w:val="none"/>
          <w:lang w:eastAsia="zh-CN"/>
        </w:rPr>
        <w:t>（胶装）</w:t>
      </w:r>
      <w:r>
        <w:rPr>
          <w:rFonts w:hint="eastAsia" w:ascii="宋体" w:hAnsi="宋体" w:eastAsia="宋体" w:cs="宋体"/>
          <w:b/>
          <w:color w:val="auto"/>
          <w:highlight w:val="none"/>
        </w:rPr>
        <w:t>。以上证件经审查缺少任何一项或经审查不合格作无效报价处理。</w:t>
      </w:r>
    </w:p>
    <w:p>
      <w:pPr>
        <w:pStyle w:val="50"/>
        <w:pageBreakBefore w:val="0"/>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 xml:space="preserve">   3.商务部分</w:t>
      </w:r>
    </w:p>
    <w:p>
      <w:pPr>
        <w:pageBreakBefore w:val="0"/>
        <w:kinsoku/>
        <w:wordWrap/>
        <w:topLinePunct w:val="0"/>
        <w:bidi w:val="0"/>
        <w:adjustRightInd w:val="0"/>
        <w:snapToGrid w:val="0"/>
        <w:spacing w:afterAutospacing="0" w:line="360" w:lineRule="auto"/>
        <w:ind w:firstLine="499" w:firstLineChars="20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1、总说明</w:t>
      </w:r>
    </w:p>
    <w:p>
      <w:pPr>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工程量清单与</w:t>
      </w:r>
      <w:r>
        <w:rPr>
          <w:rFonts w:hint="eastAsia" w:ascii="宋体" w:hAnsi="宋体" w:eastAsia="宋体" w:cs="宋体"/>
          <w:color w:val="auto"/>
          <w:sz w:val="24"/>
          <w:szCs w:val="24"/>
          <w:highlight w:val="none"/>
        </w:rPr>
        <w:t>计价表</w:t>
      </w:r>
    </w:p>
    <w:p>
      <w:pPr>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、近三年完成同类业绩一览表（后附业绩合同）</w:t>
      </w:r>
    </w:p>
    <w:p>
      <w:pPr>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eastAsia="zh-CN"/>
        </w:rPr>
        <w:t>、商务条款偏离表；</w:t>
      </w:r>
    </w:p>
    <w:p>
      <w:pPr>
        <w:pageBreakBefore w:val="0"/>
        <w:numPr>
          <w:ilvl w:val="0"/>
          <w:numId w:val="0"/>
        </w:numPr>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认为有必要提供的其他表格及资料</w:t>
      </w:r>
    </w:p>
    <w:p>
      <w:pPr>
        <w:pStyle w:val="90"/>
        <w:pageBreakBefore w:val="0"/>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 xml:space="preserve">  4.技术部分（包括但不限于）</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①施工组织设计；</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(1)施工方案及技术措施；</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(2)质量保证措施和创优计划；</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(3)施工总进度计划及保证措施（包括以横道图或标明关键线路的网络进度计划、保障进度计划需要的主要施工机械设备、劳动力需求计划及保证措施、材料设备进场计划及其他保证措施等）；</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(4)施工管理措施计划；</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(5)安全文明施工措施计划及安全保证措施；</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(6)季节施工措施计划；</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(7)施工环保措施计划；</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(8)减少噪音、降低环境污染、管线设施的保护加固措施等；</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(9)成品保护和工程保修工作的管理措施和承诺；</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(10)任何可能的紧急情况的处理措施、预案以及抵抗风险（包括工程施工过程中可能遇到的各种风险）的措施；</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（11）材料的质量保证措施；</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（12）施工机具配备及设备的质量保证措施；</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（13）质量通病的防治措施；</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对自身承建本工程的施工的有利条件和优势说明，有关质量、工期、文明施工、服务等方面对业主的承诺、合理化建议及优惠条件；（</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自行列报）</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的服务及承诺；</w:t>
      </w:r>
    </w:p>
    <w:p>
      <w:pPr>
        <w:pageBreakBefore w:val="0"/>
        <w:tabs>
          <w:tab w:val="left" w:pos="3920"/>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（16）</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认为有必要说明的其他内容。（</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自行列报）</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②项目管理班子配备：</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（1）项目管理班子配备情况表、组织机构图；</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（2）项目经理简历表、近三年（201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年1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月1日至今）负责的类似工程和规模相当的工程项目情况介绍，后附项目合同；</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（3）项目技术负责人简历表、近三年（201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年1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月1日至今）负责的类似工程和规模相当的工程项目情况介绍，后附项目合同；</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（4）拟投入本工程的主要人员及承建类似工程情况介绍；</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（5）项目管理班子配备情况及其它辅助说明资料、施工力量部署。</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（6）技术偏离表</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（二）报价文件的编写方式</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1.报价文件按以上顺序装订成册(胶装)，并在首页编制“报价文件目录”。</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2.报价文件正本和副本</w:t>
      </w:r>
      <w:r>
        <w:rPr>
          <w:rFonts w:hint="eastAsia" w:ascii="宋体" w:hAnsi="宋体" w:eastAsia="宋体" w:cs="宋体"/>
          <w:bCs/>
          <w:color w:val="auto"/>
          <w:szCs w:val="24"/>
          <w:highlight w:val="none"/>
        </w:rPr>
        <w:t>均需采用A4纸（如有图纸除外），逐页标注页码，不得采用活页夹。</w:t>
      </w:r>
      <w:r>
        <w:rPr>
          <w:rFonts w:hint="eastAsia" w:ascii="宋体" w:hAnsi="宋体" w:eastAsia="宋体" w:cs="宋体"/>
          <w:color w:val="auto"/>
          <w:szCs w:val="24"/>
          <w:highlight w:val="none"/>
        </w:rPr>
        <w:t>否则，采购人对由于</w:t>
      </w:r>
      <w:r>
        <w:rPr>
          <w:rFonts w:hint="eastAsia" w:ascii="宋体" w:hAnsi="宋体" w:eastAsia="宋体" w:cs="宋体"/>
          <w:color w:val="auto"/>
          <w:szCs w:val="24"/>
          <w:highlight w:val="none"/>
          <w:lang w:eastAsia="zh-CN"/>
        </w:rPr>
        <w:t>报价文件</w:t>
      </w:r>
      <w:r>
        <w:rPr>
          <w:rFonts w:hint="eastAsia" w:ascii="宋体" w:hAnsi="宋体" w:eastAsia="宋体" w:cs="宋体"/>
          <w:color w:val="auto"/>
          <w:szCs w:val="24"/>
          <w:highlight w:val="none"/>
        </w:rPr>
        <w:t>装订松散而造成的丢失或其它后果不承担任何责任。并提供电子文档(U盘</w:t>
      </w:r>
      <w:r>
        <w:rPr>
          <w:rFonts w:hint="eastAsia" w:ascii="宋体" w:hAnsi="宋体" w:eastAsia="宋体" w:cs="宋体"/>
          <w:b/>
          <w:bCs/>
          <w:color w:val="auto"/>
          <w:szCs w:val="24"/>
          <w:highlight w:val="none"/>
        </w:rPr>
        <w:t>)</w:t>
      </w:r>
      <w:r>
        <w:rPr>
          <w:rFonts w:hint="eastAsia" w:ascii="宋体" w:hAnsi="宋体" w:eastAsia="宋体" w:cs="宋体"/>
          <w:color w:val="auto"/>
          <w:szCs w:val="24"/>
          <w:highlight w:val="none"/>
        </w:rPr>
        <w:t>一份，以供备份。</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3.“报价一览表”用A4幅面，竖版。</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 xml:space="preserve">  4.</w:t>
      </w:r>
      <w:r>
        <w:rPr>
          <w:rFonts w:hint="eastAsia" w:ascii="宋体" w:hAnsi="宋体" w:eastAsia="宋体" w:cs="宋体"/>
          <w:bCs/>
          <w:color w:val="auto"/>
          <w:szCs w:val="24"/>
          <w:highlight w:val="none"/>
          <w:lang w:eastAsia="zh-CN"/>
        </w:rPr>
        <w:t>供应商</w:t>
      </w:r>
      <w:r>
        <w:rPr>
          <w:rFonts w:hint="eastAsia" w:ascii="宋体" w:hAnsi="宋体" w:eastAsia="宋体" w:cs="宋体"/>
          <w:bCs/>
          <w:color w:val="auto"/>
          <w:szCs w:val="24"/>
          <w:highlight w:val="none"/>
        </w:rPr>
        <w:t>在磋商文件中提供的一切证件的原件、复印件或影印件必须保证其真实性。如</w:t>
      </w:r>
      <w:r>
        <w:rPr>
          <w:rFonts w:hint="eastAsia" w:ascii="宋体" w:hAnsi="宋体" w:eastAsia="宋体" w:cs="宋体"/>
          <w:bCs/>
          <w:color w:val="auto"/>
          <w:szCs w:val="24"/>
          <w:highlight w:val="none"/>
          <w:lang w:eastAsia="zh-CN"/>
        </w:rPr>
        <w:t>供应商</w:t>
      </w:r>
      <w:r>
        <w:rPr>
          <w:rFonts w:hint="eastAsia" w:ascii="宋体" w:hAnsi="宋体" w:eastAsia="宋体" w:cs="宋体"/>
          <w:bCs/>
          <w:color w:val="auto"/>
          <w:szCs w:val="24"/>
          <w:highlight w:val="none"/>
        </w:rPr>
        <w:t>提交虚假资料，一经查出，</w:t>
      </w:r>
      <w:r>
        <w:rPr>
          <w:rFonts w:hint="eastAsia" w:ascii="宋体" w:hAnsi="宋体" w:eastAsia="宋体" w:cs="宋体"/>
          <w:bCs/>
          <w:color w:val="auto"/>
          <w:szCs w:val="24"/>
          <w:highlight w:val="none"/>
          <w:lang w:eastAsia="zh-CN"/>
        </w:rPr>
        <w:t>报价文件</w:t>
      </w:r>
      <w:r>
        <w:rPr>
          <w:rFonts w:hint="eastAsia" w:ascii="宋体" w:hAnsi="宋体" w:eastAsia="宋体" w:cs="宋体"/>
          <w:bCs/>
          <w:color w:val="auto"/>
          <w:szCs w:val="24"/>
          <w:highlight w:val="none"/>
        </w:rPr>
        <w:t>无效。</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pacing w:val="6"/>
          <w:sz w:val="24"/>
          <w:szCs w:val="24"/>
          <w:highlight w:val="none"/>
        </w:rPr>
        <w:t xml:space="preserve">      5.</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应认真审阅磋商文件中所有的</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w:t>
      </w:r>
      <w:r>
        <w:rPr>
          <w:rFonts w:hint="eastAsia" w:ascii="宋体" w:hAnsi="宋体" w:eastAsia="宋体" w:cs="宋体"/>
          <w:color w:val="auto"/>
          <w:sz w:val="24"/>
          <w:szCs w:val="24"/>
          <w:highlight w:val="none"/>
        </w:rPr>
        <w:t>知、合同条款、技术要求、规定格式。如果</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编制的</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，实质上不响应磋商文件的要求，其</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将被拒绝。</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（三）报价文件的签署</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必须按竞争性磋商文件的规定签署报价文件（正本、副本）、报价一览表</w:t>
      </w:r>
      <w:r>
        <w:rPr>
          <w:rFonts w:hint="eastAsia" w:ascii="宋体" w:hAnsi="宋体" w:cs="宋体"/>
          <w:color w:val="auto"/>
          <w:szCs w:val="24"/>
          <w:highlight w:val="none"/>
          <w:lang w:eastAsia="zh-CN"/>
        </w:rPr>
        <w:t>、资格审查文件</w:t>
      </w:r>
      <w:r>
        <w:rPr>
          <w:rFonts w:hint="eastAsia" w:ascii="宋体" w:hAnsi="宋体" w:eastAsia="宋体" w:cs="宋体"/>
          <w:color w:val="auto"/>
          <w:szCs w:val="24"/>
          <w:highlight w:val="none"/>
        </w:rPr>
        <w:t>，并在报价文件封面、报价一览表上加盖</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单位公章。</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（四）语言及计量单位</w:t>
      </w:r>
    </w:p>
    <w:p>
      <w:pPr>
        <w:pStyle w:val="50"/>
        <w:pageBreakBefore w:val="0"/>
        <w:kinsoku/>
        <w:wordWrap/>
        <w:topLinePunct w:val="0"/>
        <w:bidi w:val="0"/>
        <w:adjustRightInd w:val="0"/>
        <w:snapToGrid w:val="0"/>
        <w:spacing w:afterAutospacing="0" w:line="360" w:lineRule="auto"/>
        <w:ind w:firstLine="756" w:firstLineChars="3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和采购代理机构就本项目交换的文件和来往信函，使用中文。</w:t>
      </w:r>
    </w:p>
    <w:p>
      <w:pPr>
        <w:pStyle w:val="50"/>
        <w:pageBreakBefore w:val="0"/>
        <w:kinsoku/>
        <w:wordWrap/>
        <w:topLinePunct w:val="0"/>
        <w:bidi w:val="0"/>
        <w:adjustRightInd w:val="0"/>
        <w:snapToGrid w:val="0"/>
        <w:spacing w:afterAutospacing="0" w:line="360" w:lineRule="auto"/>
        <w:ind w:firstLine="756" w:firstLineChars="3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2.除竞争性磋商文件另有规定外，报价文件中所使用的计量单位应使用中华人民共和国法定计量单位。</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（五）报价文件及电子文档的密封和标记</w:t>
      </w:r>
    </w:p>
    <w:p>
      <w:pPr>
        <w:pStyle w:val="50"/>
        <w:pageBreakBefore w:val="0"/>
        <w:widowControl w:val="0"/>
        <w:kinsoku/>
        <w:wordWrap/>
        <w:topLinePunct w:val="0"/>
        <w:bidi w:val="0"/>
        <w:adjustRightInd w:val="0"/>
        <w:snapToGrid w:val="0"/>
        <w:spacing w:afterAutospacing="0" w:line="360" w:lineRule="auto"/>
        <w:ind w:firstLine="756" w:firstLineChars="3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应准备</w:t>
      </w:r>
      <w:r>
        <w:rPr>
          <w:rFonts w:hint="eastAsia" w:ascii="宋体" w:hAnsi="宋体" w:cs="宋体"/>
          <w:color w:val="auto"/>
          <w:szCs w:val="24"/>
          <w:highlight w:val="none"/>
          <w:u w:val="single"/>
          <w:lang w:eastAsia="zh-CN"/>
        </w:rPr>
        <w:t>四</w:t>
      </w:r>
      <w:r>
        <w:rPr>
          <w:rFonts w:hint="eastAsia" w:ascii="宋体" w:hAnsi="宋体" w:eastAsia="宋体" w:cs="宋体"/>
          <w:color w:val="auto"/>
          <w:szCs w:val="24"/>
          <w:highlight w:val="none"/>
        </w:rPr>
        <w:t>份报价文件，</w:t>
      </w:r>
      <w:r>
        <w:rPr>
          <w:rFonts w:hint="eastAsia" w:ascii="宋体" w:hAnsi="宋体" w:eastAsia="宋体" w:cs="宋体"/>
          <w:color w:val="auto"/>
          <w:szCs w:val="24"/>
          <w:highlight w:val="none"/>
          <w:u w:val="none"/>
        </w:rPr>
        <w:t>一份正本和</w:t>
      </w:r>
      <w:r>
        <w:rPr>
          <w:rFonts w:hint="eastAsia" w:ascii="宋体" w:hAnsi="宋体" w:cs="宋体"/>
          <w:color w:val="auto"/>
          <w:szCs w:val="24"/>
          <w:highlight w:val="none"/>
          <w:u w:val="none"/>
          <w:lang w:eastAsia="zh-CN"/>
        </w:rPr>
        <w:t>三</w:t>
      </w:r>
      <w:r>
        <w:rPr>
          <w:rFonts w:hint="eastAsia" w:ascii="宋体" w:hAnsi="宋体" w:eastAsia="宋体" w:cs="宋体"/>
          <w:color w:val="auto"/>
          <w:szCs w:val="24"/>
          <w:highlight w:val="none"/>
          <w:u w:val="none"/>
        </w:rPr>
        <w:t>份副本</w:t>
      </w:r>
      <w:r>
        <w:rPr>
          <w:rFonts w:hint="eastAsia" w:ascii="宋体" w:hAnsi="宋体" w:eastAsia="宋体" w:cs="宋体"/>
          <w:color w:val="auto"/>
          <w:szCs w:val="24"/>
          <w:highlight w:val="none"/>
        </w:rPr>
        <w:t>。在每一份报价文件上要明确注明“正本”或“副本”字样，一旦正本和副本有差异，以正本为准。</w:t>
      </w:r>
    </w:p>
    <w:p>
      <w:pPr>
        <w:pStyle w:val="50"/>
        <w:pageBreakBefore w:val="0"/>
        <w:kinsoku/>
        <w:wordWrap/>
        <w:topLinePunct w:val="0"/>
        <w:bidi w:val="0"/>
        <w:adjustRightInd w:val="0"/>
        <w:snapToGrid w:val="0"/>
        <w:spacing w:afterAutospacing="0" w:line="360" w:lineRule="auto"/>
        <w:ind w:firstLine="759" w:firstLineChars="300"/>
        <w:textAlignment w:val="auto"/>
        <w:rPr>
          <w:rFonts w:hint="eastAsia" w:ascii="宋体" w:hAnsi="宋体" w:eastAsia="宋体" w:cs="宋体"/>
          <w:color w:val="auto"/>
          <w:szCs w:val="24"/>
          <w:highlight w:val="none"/>
        </w:rPr>
      </w:pPr>
      <w:r>
        <w:rPr>
          <w:rFonts w:hint="eastAsia" w:ascii="宋体" w:hAnsi="宋体" w:eastAsia="宋体" w:cs="宋体"/>
          <w:b/>
          <w:bCs/>
          <w:color w:val="auto"/>
          <w:szCs w:val="24"/>
          <w:highlight w:val="none"/>
        </w:rPr>
        <w:t>2.</w:t>
      </w:r>
      <w:r>
        <w:rPr>
          <w:rFonts w:hint="eastAsia" w:ascii="宋体" w:hAnsi="宋体" w:eastAsia="宋体" w:cs="宋体"/>
          <w:b/>
          <w:bCs/>
          <w:color w:val="auto"/>
          <w:szCs w:val="24"/>
          <w:highlight w:val="none"/>
          <w:lang w:eastAsia="zh-CN"/>
        </w:rPr>
        <w:t>供应商</w:t>
      </w:r>
      <w:r>
        <w:rPr>
          <w:rFonts w:hint="eastAsia" w:ascii="宋体" w:hAnsi="宋体" w:eastAsia="宋体" w:cs="宋体"/>
          <w:b/>
          <w:bCs/>
          <w:color w:val="auto"/>
          <w:szCs w:val="24"/>
          <w:highlight w:val="none"/>
        </w:rPr>
        <w:t>应将报价文件正本、副本、报价一览表（三份）、电子文档（U盘）</w:t>
      </w:r>
      <w:r>
        <w:rPr>
          <w:rFonts w:hint="eastAsia" w:ascii="宋体" w:hAnsi="宋体" w:cs="宋体"/>
          <w:b/>
          <w:bCs/>
          <w:color w:val="auto"/>
          <w:szCs w:val="24"/>
          <w:highlight w:val="none"/>
          <w:lang w:eastAsia="zh-CN"/>
        </w:rPr>
        <w:t>、</w:t>
      </w:r>
      <w:r>
        <w:rPr>
          <w:rFonts w:hint="eastAsia" w:ascii="宋体" w:hAnsi="宋体" w:eastAsia="宋体" w:cs="宋体"/>
          <w:b/>
          <w:bCs/>
          <w:sz w:val="24"/>
          <w:szCs w:val="24"/>
          <w:highlight w:val="none"/>
        </w:rPr>
        <w:t>加盖单位公章</w:t>
      </w:r>
      <w:r>
        <w:rPr>
          <w:rFonts w:hint="eastAsia" w:ascii="宋体" w:hAnsi="宋体" w:cs="宋体"/>
          <w:b/>
          <w:bCs/>
          <w:sz w:val="24"/>
          <w:szCs w:val="24"/>
          <w:highlight w:val="none"/>
          <w:lang w:eastAsia="zh-CN"/>
        </w:rPr>
        <w:t>的资格审查文件</w:t>
      </w:r>
      <w:r>
        <w:rPr>
          <w:rFonts w:hint="eastAsia" w:ascii="宋体" w:hAnsi="宋体" w:eastAsia="宋体" w:cs="宋体"/>
          <w:b/>
          <w:bCs/>
          <w:sz w:val="24"/>
          <w:szCs w:val="24"/>
          <w:highlight w:val="none"/>
        </w:rPr>
        <w:t>一份</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lang w:eastAsia="zh-CN"/>
        </w:rPr>
        <w:t>单独</w:t>
      </w:r>
      <w:r>
        <w:rPr>
          <w:rFonts w:hint="eastAsia" w:ascii="宋体" w:hAnsi="宋体" w:eastAsia="宋体" w:cs="宋体"/>
          <w:b/>
          <w:bCs/>
          <w:color w:val="auto"/>
          <w:spacing w:val="6"/>
          <w:sz w:val="24"/>
          <w:szCs w:val="24"/>
          <w:highlight w:val="none"/>
          <w:lang w:eastAsia="zh-CN"/>
        </w:rPr>
        <w:t>胶装</w:t>
      </w:r>
      <w:r>
        <w:rPr>
          <w:rFonts w:hint="eastAsia" w:ascii="宋体" w:hAnsi="宋体" w:cs="宋体"/>
          <w:b/>
          <w:bCs/>
          <w:color w:val="auto"/>
          <w:spacing w:val="6"/>
          <w:sz w:val="24"/>
          <w:szCs w:val="24"/>
          <w:highlight w:val="none"/>
          <w:lang w:eastAsia="zh-CN"/>
        </w:rPr>
        <w:t>）</w:t>
      </w:r>
      <w:r>
        <w:rPr>
          <w:rFonts w:hint="eastAsia" w:ascii="宋体" w:hAnsi="宋体" w:eastAsia="宋体" w:cs="宋体"/>
          <w:b/>
          <w:bCs/>
          <w:color w:val="auto"/>
          <w:spacing w:val="6"/>
          <w:sz w:val="24"/>
          <w:szCs w:val="24"/>
          <w:highlight w:val="none"/>
          <w:lang w:eastAsia="zh-CN"/>
        </w:rPr>
        <w:t>，</w:t>
      </w:r>
      <w:r>
        <w:rPr>
          <w:rFonts w:hint="eastAsia" w:ascii="宋体" w:hAnsi="宋体" w:eastAsia="宋体" w:cs="宋体"/>
          <w:b/>
          <w:bCs/>
          <w:color w:val="auto"/>
          <w:szCs w:val="24"/>
          <w:highlight w:val="none"/>
        </w:rPr>
        <w:t>分别密封</w:t>
      </w:r>
      <w:r>
        <w:rPr>
          <w:rFonts w:hint="eastAsia" w:ascii="宋体" w:hAnsi="宋体" w:eastAsia="宋体" w:cs="宋体"/>
          <w:color w:val="auto"/>
          <w:szCs w:val="24"/>
          <w:highlight w:val="none"/>
        </w:rPr>
        <w:t>，</w:t>
      </w:r>
      <w:r>
        <w:rPr>
          <w:rFonts w:hint="eastAsia" w:ascii="宋体" w:hAnsi="宋体" w:eastAsia="宋体" w:cs="宋体"/>
          <w:b/>
          <w:bCs/>
          <w:color w:val="auto"/>
          <w:szCs w:val="24"/>
          <w:highlight w:val="none"/>
        </w:rPr>
        <w:t>在封口处加盖</w:t>
      </w:r>
      <w:r>
        <w:rPr>
          <w:rFonts w:hint="eastAsia" w:ascii="宋体" w:hAnsi="宋体" w:eastAsia="宋体" w:cs="宋体"/>
          <w:b/>
          <w:bCs/>
          <w:color w:val="auto"/>
          <w:szCs w:val="24"/>
          <w:highlight w:val="none"/>
          <w:lang w:eastAsia="zh-CN"/>
        </w:rPr>
        <w:t>供应商</w:t>
      </w:r>
      <w:r>
        <w:rPr>
          <w:rFonts w:hint="eastAsia" w:ascii="宋体" w:hAnsi="宋体" w:eastAsia="宋体" w:cs="宋体"/>
          <w:b/>
          <w:bCs/>
          <w:color w:val="auto"/>
          <w:szCs w:val="24"/>
          <w:highlight w:val="none"/>
        </w:rPr>
        <w:t>单位公章及法人章</w:t>
      </w:r>
      <w:r>
        <w:rPr>
          <w:rFonts w:hint="eastAsia" w:ascii="宋体" w:hAnsi="宋体" w:eastAsia="宋体" w:cs="宋体"/>
          <w:color w:val="auto"/>
          <w:szCs w:val="24"/>
          <w:highlight w:val="none"/>
        </w:rPr>
        <w:t>，并在封面明显处注明：</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（1）项目编号、项目名称；</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名称（加盖公章）、地址、电话、传真；</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（3）包封内容（正本、副本、报价一览表、电子文档）；</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（4）注明“于</w:t>
      </w:r>
      <w:r>
        <w:rPr>
          <w:rFonts w:hint="eastAsia" w:ascii="宋体" w:hAnsi="宋体" w:eastAsia="宋体" w:cs="宋体"/>
          <w:color w:val="auto"/>
          <w:szCs w:val="24"/>
          <w:highlight w:val="none"/>
          <w:u w:val="single"/>
        </w:rPr>
        <w:t xml:space="preserve">    （截止时间）    </w:t>
      </w:r>
      <w:r>
        <w:rPr>
          <w:rFonts w:hint="eastAsia" w:ascii="宋体" w:hAnsi="宋体" w:eastAsia="宋体" w:cs="宋体"/>
          <w:color w:val="auto"/>
          <w:szCs w:val="24"/>
          <w:highlight w:val="none"/>
        </w:rPr>
        <w:t>之前不准启封”字样。</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电子文档表面需贴标签：注明项目名称、</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、日期。</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（六）报价文件的递交</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1.递交报价文件的截止时间和地点</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地    点：</w:t>
      </w:r>
      <w:r>
        <w:t>济南市工业南路</w:t>
      </w:r>
      <w:r>
        <w:rPr>
          <w:spacing w:val="-60"/>
        </w:rPr>
        <w:t xml:space="preserve"> </w:t>
      </w:r>
      <w:r>
        <w:t>59</w:t>
      </w:r>
      <w:r>
        <w:rPr>
          <w:spacing w:val="-60"/>
        </w:rPr>
        <w:t xml:space="preserve"> </w:t>
      </w:r>
      <w:r>
        <w:t>号中铁财智中心</w:t>
      </w:r>
      <w:r>
        <w:rPr>
          <w:spacing w:val="-60"/>
        </w:rPr>
        <w:t xml:space="preserve"> </w:t>
      </w:r>
      <w:r>
        <w:t>6</w:t>
      </w:r>
      <w:r>
        <w:rPr>
          <w:spacing w:val="-60"/>
        </w:rPr>
        <w:t xml:space="preserve"> </w:t>
      </w:r>
      <w:r>
        <w:t>号楼</w:t>
      </w:r>
      <w:r>
        <w:rPr>
          <w:spacing w:val="-60"/>
        </w:rPr>
        <w:t xml:space="preserve"> </w:t>
      </w:r>
      <w:r>
        <w:t>15</w:t>
      </w:r>
      <w:r>
        <w:rPr>
          <w:spacing w:val="-60"/>
        </w:rPr>
        <w:t xml:space="preserve"> </w:t>
      </w:r>
      <w:r>
        <w:t>层</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截止时间：</w:t>
      </w:r>
      <w:r>
        <w:rPr>
          <w:rFonts w:hint="eastAsia" w:ascii="宋体" w:hAnsi="宋体" w:eastAsia="宋体" w:cs="宋体"/>
          <w:color w:val="auto"/>
          <w:sz w:val="24"/>
          <w:szCs w:val="24"/>
          <w:highlight w:val="none"/>
          <w:u w:val="none"/>
        </w:rPr>
        <w:t>201</w:t>
      </w:r>
      <w:r>
        <w:rPr>
          <w:rFonts w:hint="eastAsia" w:ascii="宋体" w:hAnsi="宋体" w:eastAsia="宋体" w:cs="宋体"/>
          <w:color w:val="auto"/>
          <w:sz w:val="24"/>
          <w:szCs w:val="24"/>
          <w:highlight w:val="none"/>
          <w:u w:val="none"/>
          <w:lang w:val="en-US" w:eastAsia="zh-CN"/>
        </w:rPr>
        <w:t>9</w:t>
      </w:r>
      <w:r>
        <w:rPr>
          <w:rFonts w:hint="eastAsia" w:ascii="宋体" w:hAnsi="宋体" w:eastAsia="宋体" w:cs="宋体"/>
          <w:color w:val="auto"/>
          <w:sz w:val="24"/>
          <w:szCs w:val="24"/>
          <w:highlight w:val="none"/>
          <w:u w:val="none"/>
        </w:rPr>
        <w:t>年</w:t>
      </w:r>
      <w:r>
        <w:rPr>
          <w:rFonts w:hint="eastAsia" w:ascii="宋体" w:hAnsi="宋体" w:cs="宋体"/>
          <w:color w:val="auto"/>
          <w:sz w:val="24"/>
          <w:szCs w:val="24"/>
          <w:highlight w:val="none"/>
          <w:u w:val="none"/>
          <w:lang w:val="en-US" w:eastAsia="zh-CN"/>
        </w:rPr>
        <w:t>12</w:t>
      </w:r>
      <w:r>
        <w:rPr>
          <w:rFonts w:hint="eastAsia" w:ascii="宋体" w:hAnsi="宋体" w:eastAsia="宋体" w:cs="宋体"/>
          <w:color w:val="auto"/>
          <w:sz w:val="24"/>
          <w:szCs w:val="24"/>
          <w:highlight w:val="none"/>
          <w:u w:val="none"/>
        </w:rPr>
        <w:t>月</w:t>
      </w:r>
      <w:r>
        <w:rPr>
          <w:rFonts w:hint="eastAsia" w:ascii="宋体" w:hAnsi="宋体" w:cs="宋体"/>
          <w:color w:val="auto"/>
          <w:sz w:val="24"/>
          <w:szCs w:val="24"/>
          <w:highlight w:val="none"/>
          <w:u w:val="none"/>
          <w:lang w:val="en-US" w:eastAsia="zh-CN"/>
        </w:rPr>
        <w:t>13</w:t>
      </w:r>
      <w:r>
        <w:rPr>
          <w:rFonts w:hint="eastAsia" w:ascii="宋体" w:hAnsi="宋体" w:eastAsia="宋体" w:cs="宋体"/>
          <w:color w:val="auto"/>
          <w:sz w:val="24"/>
          <w:szCs w:val="24"/>
          <w:highlight w:val="none"/>
          <w:u w:val="none"/>
        </w:rPr>
        <w:t>日</w:t>
      </w:r>
      <w:r>
        <w:rPr>
          <w:rFonts w:hint="eastAsia" w:ascii="宋体" w:hAnsi="宋体" w:cs="宋体"/>
          <w:color w:val="auto"/>
          <w:sz w:val="24"/>
          <w:szCs w:val="24"/>
          <w:highlight w:val="none"/>
          <w:u w:val="none"/>
          <w:lang w:val="en-US" w:eastAsia="zh-CN"/>
        </w:rPr>
        <w:t>13</w:t>
      </w:r>
      <w:r>
        <w:rPr>
          <w:rFonts w:hint="eastAsia" w:ascii="宋体" w:hAnsi="宋体" w:eastAsia="宋体" w:cs="宋体"/>
          <w:color w:val="auto"/>
          <w:sz w:val="24"/>
          <w:szCs w:val="24"/>
          <w:highlight w:val="none"/>
          <w:u w:val="none"/>
        </w:rPr>
        <w:t>时</w:t>
      </w:r>
      <w:r>
        <w:rPr>
          <w:rFonts w:hint="eastAsia" w:ascii="宋体" w:hAnsi="宋体" w:cs="宋体"/>
          <w:color w:val="auto"/>
          <w:sz w:val="24"/>
          <w:szCs w:val="24"/>
          <w:highlight w:val="none"/>
          <w:u w:val="none"/>
          <w:lang w:val="en-US" w:eastAsia="zh-CN"/>
        </w:rPr>
        <w:t>30</w:t>
      </w:r>
      <w:r>
        <w:rPr>
          <w:rFonts w:hint="eastAsia" w:ascii="宋体" w:hAnsi="宋体" w:eastAsia="宋体" w:cs="宋体"/>
          <w:color w:val="auto"/>
          <w:sz w:val="24"/>
          <w:szCs w:val="24"/>
          <w:highlight w:val="none"/>
          <w:u w:val="none"/>
        </w:rPr>
        <w:t>分</w:t>
      </w:r>
      <w:r>
        <w:rPr>
          <w:rFonts w:hint="eastAsia" w:ascii="宋体" w:hAnsi="宋体" w:eastAsia="宋体" w:cs="宋体"/>
          <w:color w:val="auto"/>
          <w:szCs w:val="24"/>
          <w:highlight w:val="none"/>
          <w:u w:val="none"/>
        </w:rPr>
        <w:t>（北京时间）</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2.</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代表必须在报价截止时间前将报价文件送达指定地点。如因竞争性磋商文件的修改推迟报价截止日期的，则按采购代理机构通知规定的时间递交。</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3.采购代理机构收到报价文件后，</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在签到处进行签到。</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4.电报、电话、传真、电子邮件等形式的报价文件概不接受。</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5.对</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提交的报价文件不予退还。</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（七）迟交的报价文件</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采购代理机构将拒绝接收在报价截止时间后送达的报价文件。</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（八）报价文件的修改、补充和撤回</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1.</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在竞争性磋商文件要求提交报价文件的截止时间前，可以补充、修改或者撤回已提交的报价文件，并以书面形式通知采购代理机构。补充、修改的内容作为报价文件的组成部分。任何补充或修改的内容必须由</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的法定代表人或其授权代表签字。经法定代表人或其授权代表正式签署的修改和补充文件组成报价文件的一部分，份数和密封要求同报价文件一致。</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2.报价文件的有效期为公开报价后</w:t>
      </w:r>
      <w:r>
        <w:rPr>
          <w:rFonts w:hint="eastAsia" w:ascii="宋体" w:hAnsi="宋体" w:eastAsia="宋体" w:cs="宋体"/>
          <w:color w:val="auto"/>
          <w:szCs w:val="24"/>
          <w:highlight w:val="none"/>
          <w:u w:val="single"/>
        </w:rPr>
        <w:t>90</w:t>
      </w:r>
      <w:r>
        <w:rPr>
          <w:rFonts w:hint="eastAsia" w:ascii="宋体" w:hAnsi="宋体" w:eastAsia="宋体" w:cs="宋体"/>
          <w:color w:val="auto"/>
          <w:szCs w:val="24"/>
          <w:highlight w:val="none"/>
        </w:rPr>
        <w:t>天（日历日），在有效期内不得撤回。</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color w:val="auto"/>
          <w:szCs w:val="24"/>
          <w:highlight w:val="none"/>
        </w:rPr>
      </w:pPr>
      <w:r>
        <w:rPr>
          <w:rFonts w:hint="eastAsia" w:ascii="宋体" w:hAnsi="宋体" w:eastAsia="宋体" w:cs="宋体"/>
          <w:b/>
          <w:bCs/>
          <w:color w:val="auto"/>
          <w:szCs w:val="24"/>
          <w:highlight w:val="none"/>
        </w:rPr>
        <w:t>（九）报价要求</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1</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本工程报价采用工程量清单报价。供应商应按</w:t>
      </w:r>
      <w:r>
        <w:rPr>
          <w:rFonts w:hint="eastAsia" w:ascii="宋体" w:hAnsi="宋体" w:eastAsia="宋体" w:cs="宋体"/>
          <w:color w:val="auto"/>
          <w:szCs w:val="24"/>
          <w:highlight w:val="none"/>
          <w:lang w:eastAsia="zh-CN"/>
        </w:rPr>
        <w:t>磋商文件</w:t>
      </w:r>
      <w:r>
        <w:rPr>
          <w:rFonts w:hint="eastAsia" w:ascii="宋体" w:hAnsi="宋体" w:eastAsia="宋体" w:cs="宋体"/>
          <w:color w:val="auto"/>
          <w:szCs w:val="24"/>
          <w:highlight w:val="none"/>
        </w:rPr>
        <w:t>中工程量清单的项目、顺序和数量进行报价，不得随意更改工程量清单的项目、顺序和数量，并在开标当日提供完整的报价。</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2</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本次</w:t>
      </w:r>
      <w:r>
        <w:rPr>
          <w:rFonts w:hint="eastAsia" w:ascii="宋体" w:hAnsi="宋体" w:cs="宋体"/>
          <w:color w:val="auto"/>
          <w:szCs w:val="24"/>
          <w:highlight w:val="none"/>
          <w:lang w:eastAsia="zh-CN"/>
        </w:rPr>
        <w:t>报价</w:t>
      </w:r>
      <w:r>
        <w:rPr>
          <w:rFonts w:hint="eastAsia" w:ascii="宋体" w:hAnsi="宋体" w:eastAsia="宋体" w:cs="宋体"/>
          <w:color w:val="auto"/>
          <w:szCs w:val="24"/>
          <w:highlight w:val="none"/>
        </w:rPr>
        <w:t>为非一次性报价，报价币种为人民币。</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再次报价对总报价进行调整时，单价按相应比例浮动，单价浮动后所采用产品的品牌、质量等级不得变更。否则采购人有权取消</w:t>
      </w:r>
      <w:r>
        <w:rPr>
          <w:rFonts w:hint="eastAsia" w:ascii="宋体" w:hAnsi="宋体" w:eastAsia="宋体" w:cs="宋体"/>
          <w:color w:val="auto"/>
          <w:szCs w:val="24"/>
          <w:highlight w:val="none"/>
          <w:lang w:eastAsia="zh-CN"/>
        </w:rPr>
        <w:t>成交供应商</w:t>
      </w:r>
      <w:r>
        <w:rPr>
          <w:rFonts w:hint="eastAsia" w:ascii="宋体" w:hAnsi="宋体" w:eastAsia="宋体" w:cs="宋体"/>
          <w:color w:val="auto"/>
          <w:szCs w:val="24"/>
          <w:highlight w:val="none"/>
        </w:rPr>
        <w:t>的成交资格，因此所造成的损失由</w:t>
      </w:r>
      <w:r>
        <w:rPr>
          <w:rFonts w:hint="eastAsia" w:ascii="宋体" w:hAnsi="宋体" w:eastAsia="宋体" w:cs="宋体"/>
          <w:color w:val="auto"/>
          <w:szCs w:val="24"/>
          <w:highlight w:val="none"/>
          <w:lang w:eastAsia="zh-CN"/>
        </w:rPr>
        <w:t>成交供应商</w:t>
      </w:r>
      <w:r>
        <w:rPr>
          <w:rFonts w:hint="eastAsia" w:ascii="宋体" w:hAnsi="宋体" w:eastAsia="宋体" w:cs="宋体"/>
          <w:color w:val="auto"/>
          <w:szCs w:val="24"/>
          <w:highlight w:val="none"/>
        </w:rPr>
        <w:t>承担。</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3</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报价为</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的</w:t>
      </w:r>
      <w:r>
        <w:rPr>
          <w:rFonts w:hint="eastAsia" w:ascii="宋体" w:hAnsi="宋体" w:eastAsia="宋体" w:cs="宋体"/>
          <w:color w:val="auto"/>
          <w:szCs w:val="24"/>
          <w:highlight w:val="none"/>
          <w:lang w:eastAsia="zh-CN"/>
        </w:rPr>
        <w:t>报价文件</w:t>
      </w:r>
      <w:r>
        <w:rPr>
          <w:rFonts w:hint="eastAsia" w:ascii="宋体" w:hAnsi="宋体" w:eastAsia="宋体" w:cs="宋体"/>
          <w:color w:val="auto"/>
          <w:szCs w:val="24"/>
          <w:highlight w:val="none"/>
        </w:rPr>
        <w:t>中提出的各项支付金额的总和。</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4</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按工程量清单中列出的工程项目填报单价和合价。任何有选择的报价将不予接受，每一项目只允许有一个报价,供应商未填单价或合价的工程项目，在实施后，采购人将不予以支付，并视作该项费用已包括在其它有价款的细目的单价或合价内。</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5</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技术规范要求的费用应包括在报价</w:t>
      </w:r>
      <w:r>
        <w:rPr>
          <w:rFonts w:hint="eastAsia" w:ascii="宋体" w:hAnsi="宋体" w:cs="宋体"/>
          <w:color w:val="auto"/>
          <w:szCs w:val="24"/>
          <w:highlight w:val="none"/>
          <w:lang w:eastAsia="zh-CN"/>
        </w:rPr>
        <w:t>文件</w:t>
      </w:r>
      <w:r>
        <w:rPr>
          <w:rFonts w:hint="eastAsia" w:ascii="宋体" w:hAnsi="宋体" w:eastAsia="宋体" w:cs="宋体"/>
          <w:color w:val="auto"/>
          <w:szCs w:val="24"/>
          <w:highlight w:val="none"/>
        </w:rPr>
        <w:t>中。</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b/>
          <w:bCs/>
          <w:color w:val="auto"/>
          <w:szCs w:val="24"/>
          <w:highlight w:val="none"/>
        </w:rPr>
      </w:pPr>
      <w:r>
        <w:rPr>
          <w:rFonts w:hint="eastAsia" w:ascii="宋体" w:hAnsi="宋体" w:eastAsia="宋体" w:cs="宋体"/>
          <w:color w:val="auto"/>
          <w:szCs w:val="24"/>
          <w:highlight w:val="none"/>
        </w:rPr>
        <w:t xml:space="preserve"> </w:t>
      </w:r>
      <w:r>
        <w:rPr>
          <w:rFonts w:hint="eastAsia" w:ascii="宋体" w:hAnsi="宋体" w:eastAsia="宋体" w:cs="宋体"/>
          <w:b/>
          <w:bCs/>
          <w:color w:val="auto"/>
          <w:szCs w:val="24"/>
          <w:highlight w:val="none"/>
        </w:rPr>
        <w:t xml:space="preserve"> 6</w:t>
      </w:r>
      <w:r>
        <w:rPr>
          <w:rFonts w:hint="eastAsia" w:ascii="宋体" w:hAnsi="宋体" w:eastAsia="宋体" w:cs="宋体"/>
          <w:b/>
          <w:bCs/>
          <w:color w:val="auto"/>
          <w:szCs w:val="24"/>
          <w:highlight w:val="none"/>
          <w:lang w:val="en-US" w:eastAsia="zh-CN"/>
        </w:rPr>
        <w:t>.</w:t>
      </w:r>
      <w:r>
        <w:rPr>
          <w:rFonts w:hint="eastAsia" w:ascii="宋体" w:hAnsi="宋体" w:eastAsia="宋体" w:cs="宋体"/>
          <w:b/>
          <w:bCs/>
          <w:color w:val="auto"/>
          <w:szCs w:val="24"/>
          <w:highlight w:val="none"/>
          <w:lang w:eastAsia="zh-CN"/>
        </w:rPr>
        <w:t>供应商</w:t>
      </w:r>
      <w:r>
        <w:rPr>
          <w:rFonts w:hint="eastAsia" w:ascii="宋体" w:hAnsi="宋体" w:eastAsia="宋体" w:cs="宋体"/>
          <w:b/>
          <w:bCs/>
          <w:color w:val="auto"/>
          <w:szCs w:val="24"/>
          <w:highlight w:val="none"/>
        </w:rPr>
        <w:t>所报的总报价为完成该工程项目所有工作内容的相应价格，工程量清单应按</w:t>
      </w:r>
      <w:r>
        <w:rPr>
          <w:rFonts w:hint="eastAsia" w:ascii="宋体" w:hAnsi="宋体" w:cs="宋体"/>
          <w:b/>
          <w:bCs/>
          <w:color w:val="auto"/>
          <w:szCs w:val="24"/>
          <w:highlight w:val="none"/>
          <w:lang w:eastAsia="zh-CN"/>
        </w:rPr>
        <w:t>清单</w:t>
      </w:r>
      <w:r>
        <w:rPr>
          <w:rFonts w:hint="eastAsia" w:ascii="宋体" w:hAnsi="宋体" w:eastAsia="宋体" w:cs="宋体"/>
          <w:b/>
          <w:bCs/>
          <w:color w:val="auto"/>
          <w:szCs w:val="24"/>
          <w:highlight w:val="none"/>
        </w:rPr>
        <w:t>报价。</w:t>
      </w:r>
      <w:r>
        <w:rPr>
          <w:rFonts w:hint="eastAsia" w:ascii="宋体" w:hAnsi="宋体" w:cs="宋体"/>
          <w:b/>
          <w:bCs/>
          <w:color w:val="auto"/>
          <w:szCs w:val="24"/>
          <w:highlight w:val="none"/>
          <w:lang w:eastAsia="zh-CN"/>
        </w:rPr>
        <w:t>清单报价</w:t>
      </w:r>
      <w:r>
        <w:rPr>
          <w:rFonts w:hint="eastAsia" w:ascii="宋体" w:hAnsi="宋体" w:eastAsia="宋体" w:cs="宋体"/>
          <w:b/>
          <w:bCs/>
          <w:color w:val="auto"/>
          <w:szCs w:val="24"/>
          <w:highlight w:val="none"/>
        </w:rPr>
        <w:t>应包括为完成工程量清单项目，每计量单位工程量所需的人工费、材料费、施工机械使用费、管理费、利润</w:t>
      </w:r>
      <w:r>
        <w:rPr>
          <w:rFonts w:hint="eastAsia" w:ascii="宋体" w:hAnsi="宋体" w:eastAsia="宋体" w:cs="宋体"/>
          <w:b/>
          <w:bCs/>
          <w:color w:val="auto"/>
          <w:szCs w:val="24"/>
          <w:highlight w:val="none"/>
          <w:lang w:eastAsia="zh-CN"/>
        </w:rPr>
        <w:t>、税金</w:t>
      </w:r>
      <w:r>
        <w:rPr>
          <w:rFonts w:hint="eastAsia" w:ascii="宋体" w:hAnsi="宋体" w:eastAsia="宋体" w:cs="宋体"/>
          <w:b/>
          <w:bCs/>
          <w:color w:val="auto"/>
          <w:szCs w:val="24"/>
          <w:highlight w:val="none"/>
        </w:rPr>
        <w:t>，并考虑风险费用。（</w:t>
      </w:r>
      <w:r>
        <w:rPr>
          <w:rFonts w:hint="eastAsia" w:ascii="宋体" w:hAnsi="宋体" w:cs="宋体"/>
          <w:b/>
          <w:bCs/>
          <w:color w:val="auto"/>
          <w:szCs w:val="24"/>
          <w:highlight w:val="none"/>
          <w:lang w:eastAsia="zh-CN"/>
        </w:rPr>
        <w:t>成交</w:t>
      </w:r>
      <w:r>
        <w:rPr>
          <w:rFonts w:hint="eastAsia" w:ascii="宋体" w:hAnsi="宋体" w:eastAsia="宋体" w:cs="宋体"/>
          <w:b/>
          <w:bCs/>
          <w:color w:val="auto"/>
          <w:szCs w:val="24"/>
          <w:highlight w:val="none"/>
        </w:rPr>
        <w:t>的</w:t>
      </w:r>
      <w:r>
        <w:rPr>
          <w:rFonts w:hint="eastAsia" w:ascii="宋体" w:hAnsi="宋体" w:cs="宋体"/>
          <w:b/>
          <w:bCs/>
          <w:color w:val="auto"/>
          <w:szCs w:val="24"/>
          <w:highlight w:val="none"/>
          <w:lang w:eastAsia="zh-CN"/>
        </w:rPr>
        <w:t>清单价格</w:t>
      </w:r>
      <w:r>
        <w:rPr>
          <w:rFonts w:hint="eastAsia" w:ascii="宋体" w:hAnsi="宋体" w:eastAsia="宋体" w:cs="宋体"/>
          <w:b/>
          <w:bCs/>
          <w:color w:val="auto"/>
          <w:szCs w:val="24"/>
          <w:highlight w:val="none"/>
        </w:rPr>
        <w:t>在合同期内不得调整，法律法规政策除外）。</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7</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应充分了解工地位置、情况、道路、储存空间、装卸限制及任何其它足以影响报价的情况，任何因忽视或误解工地情况而导致的索赔或工期延长申请将不获批准。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8</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除非采购人通过修改采购文件予以更正，否则，</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必须按工程量清单中的项目和数量以及发包人暂定的材料价格进行报价。</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9</w:t>
      </w:r>
      <w:r>
        <w:rPr>
          <w:rFonts w:hint="eastAsia" w:ascii="宋体" w:hAnsi="宋体" w:eastAsia="宋体" w:cs="宋体"/>
          <w:color w:val="auto"/>
          <w:szCs w:val="24"/>
          <w:highlight w:val="none"/>
          <w:lang w:val="en-US" w:eastAsia="zh-CN"/>
        </w:rPr>
        <w:t>.</w:t>
      </w:r>
      <w:r>
        <w:rPr>
          <w:rFonts w:hint="eastAsia" w:ascii="宋体" w:hAnsi="宋体" w:cs="宋体"/>
          <w:color w:val="auto"/>
          <w:szCs w:val="24"/>
          <w:highlight w:val="none"/>
          <w:lang w:eastAsia="zh-CN"/>
        </w:rPr>
        <w:t>采购</w:t>
      </w:r>
      <w:r>
        <w:rPr>
          <w:rFonts w:hint="eastAsia" w:ascii="宋体" w:hAnsi="宋体" w:eastAsia="宋体" w:cs="宋体"/>
          <w:color w:val="auto"/>
          <w:szCs w:val="24"/>
          <w:highlight w:val="none"/>
        </w:rPr>
        <w:t>范围内计价项目均应反映在工程量清单项目列表中。</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10</w:t>
      </w:r>
      <w:r>
        <w:rPr>
          <w:rFonts w:hint="eastAsia" w:ascii="宋体" w:hAnsi="宋体" w:eastAsia="宋体" w:cs="宋体"/>
          <w:color w:val="auto"/>
          <w:szCs w:val="24"/>
          <w:highlight w:val="none"/>
          <w:lang w:val="en-US" w:eastAsia="zh-CN"/>
        </w:rPr>
        <w:t>.</w:t>
      </w:r>
      <w:r>
        <w:rPr>
          <w:rFonts w:hint="eastAsia" w:ascii="宋体" w:hAnsi="宋体" w:cs="宋体"/>
          <w:color w:val="auto"/>
          <w:szCs w:val="24"/>
          <w:highlight w:val="none"/>
          <w:lang w:eastAsia="zh-CN"/>
        </w:rPr>
        <w:t>供应商</w:t>
      </w:r>
      <w:r>
        <w:rPr>
          <w:rFonts w:hint="eastAsia" w:ascii="宋体" w:hAnsi="宋体" w:eastAsia="宋体" w:cs="宋体"/>
          <w:color w:val="auto"/>
          <w:szCs w:val="24"/>
          <w:highlight w:val="none"/>
        </w:rPr>
        <w:t>自行核对工程量清单如有异议，请按前附表规定提出，否则视为认同。</w:t>
      </w:r>
      <w:bookmarkStart w:id="96" w:name="OLE_LINK4"/>
      <w:bookmarkStart w:id="97" w:name="OLE_LINK3"/>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1</w:t>
      </w:r>
      <w:bookmarkEnd w:id="96"/>
      <w:bookmarkEnd w:id="97"/>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本工程施工不允许分包。</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12</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所使用的主要材料均注明该材料的产地、规格、品牌、等级、单价。如果发现工程中所用材料以次充好或不是规定的规格、品牌和技术指标的材料，特别是在隐蔽工程中一经发现一切后果自负，并且包赔采购人一切损失。</w:t>
      </w:r>
    </w:p>
    <w:p>
      <w:pPr>
        <w:pStyle w:val="50"/>
        <w:pageBreakBefore w:val="0"/>
        <w:kinsoku/>
        <w:wordWrap/>
        <w:topLinePunct w:val="0"/>
        <w:bidi w:val="0"/>
        <w:adjustRightInd w:val="0"/>
        <w:snapToGrid w:val="0"/>
        <w:spacing w:afterAutospacing="0" w:line="360" w:lineRule="auto"/>
        <w:ind w:firstLine="756" w:firstLineChars="3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13</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所有施工使用的材料须达到国家环保及采购人要求。采购人对</w:t>
      </w:r>
      <w:r>
        <w:rPr>
          <w:rFonts w:hint="eastAsia" w:ascii="宋体" w:hAnsi="宋体" w:eastAsia="宋体" w:cs="宋体"/>
          <w:color w:val="auto"/>
          <w:szCs w:val="24"/>
          <w:highlight w:val="none"/>
          <w:lang w:eastAsia="zh-CN"/>
        </w:rPr>
        <w:t>成交供应商</w:t>
      </w:r>
      <w:r>
        <w:rPr>
          <w:rFonts w:hint="eastAsia" w:ascii="宋体" w:hAnsi="宋体" w:eastAsia="宋体" w:cs="宋体"/>
          <w:color w:val="auto"/>
          <w:szCs w:val="24"/>
          <w:highlight w:val="none"/>
        </w:rPr>
        <w:t>所使用的各种设备、材料的厂家、品牌、价格具有监督、审核、否决权。</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（十）报价错误的修正</w:t>
      </w:r>
    </w:p>
    <w:p>
      <w:pPr>
        <w:pStyle w:val="90"/>
        <w:pageBreakBefore w:val="0"/>
        <w:kinsoku/>
        <w:wordWrap/>
        <w:topLinePunct w:val="0"/>
        <w:bidi w:val="0"/>
        <w:adjustRightInd w:val="0"/>
        <w:snapToGrid w:val="0"/>
        <w:spacing w:afterAutospacing="0" w:line="360" w:lineRule="auto"/>
        <w:ind w:firstLine="756" w:firstLineChars="3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应对填报的工程量清单的计价准确性负责，并应承担由于错误填报所产生的后果，因此提醒</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应认真核对所填报的各细目子项单价，分部分项工程合价以及总报价，避免计算错误,开标后</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对报价清单作任何修改均无效。</w:t>
      </w:r>
    </w:p>
    <w:p>
      <w:pPr>
        <w:pStyle w:val="90"/>
        <w:pageBreakBefore w:val="0"/>
        <w:kinsoku/>
        <w:wordWrap/>
        <w:topLinePunct w:val="0"/>
        <w:bidi w:val="0"/>
        <w:adjustRightInd w:val="0"/>
        <w:snapToGrid w:val="0"/>
        <w:spacing w:afterAutospacing="0" w:line="360" w:lineRule="auto"/>
        <w:ind w:firstLine="759" w:firstLineChars="300"/>
        <w:textAlignment w:val="auto"/>
        <w:rPr>
          <w:rFonts w:hint="eastAsia" w:ascii="宋体" w:hAnsi="宋体" w:eastAsia="宋体" w:cs="宋体"/>
          <w:color w:val="auto"/>
          <w:szCs w:val="24"/>
          <w:highlight w:val="none"/>
        </w:rPr>
      </w:pPr>
      <w:r>
        <w:rPr>
          <w:rFonts w:hint="eastAsia" w:ascii="宋体" w:hAnsi="宋体" w:eastAsia="宋体" w:cs="宋体"/>
          <w:b/>
          <w:bCs/>
          <w:color w:val="auto"/>
          <w:szCs w:val="24"/>
          <w:highlight w:val="none"/>
        </w:rPr>
        <w:t>2</w:t>
      </w:r>
      <w:r>
        <w:rPr>
          <w:rFonts w:hint="eastAsia" w:ascii="宋体" w:hAnsi="宋体" w:eastAsia="宋体" w:cs="宋体"/>
          <w:b/>
          <w:bCs/>
          <w:color w:val="auto"/>
          <w:szCs w:val="24"/>
          <w:highlight w:val="none"/>
          <w:lang w:val="en-US" w:eastAsia="zh-CN"/>
        </w:rPr>
        <w:t>.</w:t>
      </w:r>
      <w:r>
        <w:rPr>
          <w:rFonts w:hint="eastAsia" w:ascii="宋体" w:hAnsi="宋体" w:eastAsia="宋体" w:cs="宋体"/>
          <w:b/>
          <w:bCs/>
          <w:color w:val="auto"/>
          <w:szCs w:val="24"/>
          <w:highlight w:val="none"/>
          <w:lang w:eastAsia="zh-CN"/>
        </w:rPr>
        <w:t>供应商</w:t>
      </w:r>
      <w:r>
        <w:rPr>
          <w:rFonts w:hint="eastAsia" w:ascii="宋体" w:hAnsi="宋体" w:eastAsia="宋体" w:cs="宋体"/>
          <w:b/>
          <w:bCs/>
          <w:color w:val="auto"/>
          <w:szCs w:val="24"/>
          <w:highlight w:val="none"/>
        </w:rPr>
        <w:t>应按照采购文件的工程量清单原格式逐项填报，不允许擅自修改采购文件工程量清单内容或格式,例如修改细目子项名称、变更子项序号、子项代码或增减工程量的数量,如果发生上述情况经磋商小组评审后按无效报价处理。</w:t>
      </w:r>
    </w:p>
    <w:p>
      <w:pPr>
        <w:pStyle w:val="90"/>
        <w:pageBreakBefore w:val="0"/>
        <w:kinsoku/>
        <w:wordWrap/>
        <w:topLinePunct w:val="0"/>
        <w:bidi w:val="0"/>
        <w:adjustRightInd w:val="0"/>
        <w:snapToGrid w:val="0"/>
        <w:spacing w:afterAutospacing="0" w:line="360" w:lineRule="auto"/>
        <w:ind w:firstLine="759" w:firstLineChars="300"/>
        <w:textAlignment w:val="auto"/>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3</w:t>
      </w:r>
      <w:r>
        <w:rPr>
          <w:rFonts w:hint="eastAsia" w:ascii="宋体" w:hAnsi="宋体" w:eastAsia="宋体" w:cs="宋体"/>
          <w:b/>
          <w:bCs/>
          <w:color w:val="auto"/>
          <w:szCs w:val="24"/>
          <w:highlight w:val="none"/>
          <w:lang w:val="en-US" w:eastAsia="zh-CN"/>
        </w:rPr>
        <w:t>.</w:t>
      </w:r>
      <w:r>
        <w:rPr>
          <w:rFonts w:hint="eastAsia" w:ascii="宋体" w:hAnsi="宋体" w:eastAsia="宋体" w:cs="宋体"/>
          <w:b/>
          <w:bCs/>
          <w:color w:val="auto"/>
          <w:szCs w:val="24"/>
          <w:highlight w:val="none"/>
          <w:lang w:eastAsia="zh-CN"/>
        </w:rPr>
        <w:t>供应商</w:t>
      </w:r>
      <w:r>
        <w:rPr>
          <w:rFonts w:hint="eastAsia" w:ascii="宋体" w:hAnsi="宋体" w:eastAsia="宋体" w:cs="宋体"/>
          <w:b/>
          <w:bCs/>
          <w:color w:val="auto"/>
          <w:szCs w:val="24"/>
          <w:highlight w:val="none"/>
        </w:rPr>
        <w:t>在开标以前对于原报价修改，必须提供新的详细的完整的计价清单，修改函须符合前述采购文件要求，否则修改无效。</w:t>
      </w:r>
    </w:p>
    <w:p>
      <w:pPr>
        <w:pStyle w:val="90"/>
        <w:pageBreakBefore w:val="0"/>
        <w:kinsoku/>
        <w:wordWrap/>
        <w:topLinePunct w:val="0"/>
        <w:bidi w:val="0"/>
        <w:adjustRightInd w:val="0"/>
        <w:snapToGrid w:val="0"/>
        <w:spacing w:afterAutospacing="0" w:line="360" w:lineRule="auto"/>
        <w:ind w:firstLine="756" w:firstLineChars="3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4</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如果采购文件要求供应商的计价清单采用书面文字和电子版两种形式，则</w:t>
      </w:r>
      <w:r>
        <w:rPr>
          <w:rFonts w:hint="eastAsia" w:ascii="宋体" w:hAnsi="宋体" w:eastAsia="宋体" w:cs="宋体"/>
          <w:color w:val="auto"/>
          <w:szCs w:val="24"/>
          <w:highlight w:val="none"/>
          <w:lang w:eastAsia="zh-CN"/>
        </w:rPr>
        <w:t>报价截止</w:t>
      </w:r>
      <w:r>
        <w:rPr>
          <w:rFonts w:hint="eastAsia" w:ascii="宋体" w:hAnsi="宋体" w:eastAsia="宋体" w:cs="宋体"/>
          <w:color w:val="auto"/>
          <w:szCs w:val="24"/>
          <w:highlight w:val="none"/>
        </w:rPr>
        <w:t>前</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应自行核对以保证两种报价方式表述的内容一致。电子版的计价清单建议采用不可擦写的</w:t>
      </w:r>
      <w:r>
        <w:rPr>
          <w:rFonts w:hint="eastAsia" w:ascii="宋体" w:hAnsi="宋体" w:eastAsia="宋体" w:cs="宋体"/>
          <w:color w:val="auto"/>
          <w:szCs w:val="24"/>
          <w:highlight w:val="none"/>
          <w:lang w:val="en-US" w:eastAsia="zh-CN"/>
        </w:rPr>
        <w:t>U</w:t>
      </w:r>
      <w:r>
        <w:rPr>
          <w:rFonts w:hint="eastAsia" w:ascii="宋体" w:hAnsi="宋体" w:eastAsia="宋体" w:cs="宋体"/>
          <w:color w:val="auto"/>
          <w:szCs w:val="24"/>
          <w:highlight w:val="none"/>
        </w:rPr>
        <w:t>盘。开标后如发现两种方式报价不一致时磋商小组将以书面文字方式表达的为准，每发现一处磋商小组相应扣分。</w:t>
      </w:r>
    </w:p>
    <w:p>
      <w:pPr>
        <w:pStyle w:val="90"/>
        <w:pageBreakBefore w:val="0"/>
        <w:kinsoku/>
        <w:wordWrap/>
        <w:topLinePunct w:val="0"/>
        <w:bidi w:val="0"/>
        <w:adjustRightInd w:val="0"/>
        <w:snapToGrid w:val="0"/>
        <w:spacing w:afterAutospacing="0" w:line="360" w:lineRule="auto"/>
        <w:ind w:firstLine="756" w:firstLineChars="3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5</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磋商小组应首先对于</w:t>
      </w:r>
      <w:r>
        <w:rPr>
          <w:rFonts w:hint="eastAsia" w:ascii="宋体" w:hAnsi="宋体" w:eastAsia="宋体" w:cs="宋体"/>
          <w:color w:val="auto"/>
          <w:szCs w:val="24"/>
          <w:highlight w:val="none"/>
          <w:lang w:eastAsia="zh-CN"/>
        </w:rPr>
        <w:t>报价文件</w:t>
      </w:r>
      <w:r>
        <w:rPr>
          <w:rFonts w:hint="eastAsia" w:ascii="宋体" w:hAnsi="宋体" w:eastAsia="宋体" w:cs="宋体"/>
          <w:color w:val="auto"/>
          <w:szCs w:val="24"/>
          <w:highlight w:val="none"/>
        </w:rPr>
        <w:t>中工程量计价清单进行算术性校核，如发现错误，采用以下处理办法：</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5.1 磋商小组评审供应商“工程报价”以</w:t>
      </w:r>
      <w:r>
        <w:rPr>
          <w:rFonts w:hint="eastAsia" w:ascii="宋体" w:hAnsi="宋体" w:eastAsia="宋体" w:cs="宋体"/>
          <w:b/>
          <w:bCs/>
          <w:color w:val="auto"/>
          <w:szCs w:val="24"/>
          <w:highlight w:val="none"/>
          <w:lang w:eastAsia="zh-CN"/>
        </w:rPr>
        <w:t>供应商报价一览表</w:t>
      </w:r>
      <w:r>
        <w:rPr>
          <w:rFonts w:hint="eastAsia" w:ascii="宋体" w:hAnsi="宋体" w:eastAsia="宋体" w:cs="宋体"/>
          <w:b/>
          <w:bCs/>
          <w:color w:val="auto"/>
          <w:szCs w:val="24"/>
          <w:highlight w:val="none"/>
        </w:rPr>
        <w:t>所报总价为准，若“</w:t>
      </w:r>
      <w:r>
        <w:rPr>
          <w:rFonts w:hint="eastAsia" w:ascii="宋体" w:hAnsi="宋体" w:eastAsia="宋体" w:cs="宋体"/>
          <w:b/>
          <w:bCs/>
          <w:color w:val="auto"/>
          <w:szCs w:val="24"/>
          <w:highlight w:val="none"/>
          <w:lang w:eastAsia="zh-CN"/>
        </w:rPr>
        <w:t>报价一览表</w:t>
      </w:r>
      <w:r>
        <w:rPr>
          <w:rFonts w:hint="eastAsia" w:ascii="宋体" w:hAnsi="宋体" w:eastAsia="宋体" w:cs="宋体"/>
          <w:b/>
          <w:bCs/>
          <w:color w:val="auto"/>
          <w:szCs w:val="24"/>
          <w:highlight w:val="none"/>
        </w:rPr>
        <w:t>所报总价”与“</w:t>
      </w:r>
      <w:r>
        <w:rPr>
          <w:rFonts w:hint="eastAsia" w:ascii="宋体" w:hAnsi="宋体" w:eastAsia="宋体" w:cs="宋体"/>
          <w:b/>
          <w:bCs/>
          <w:color w:val="auto"/>
          <w:szCs w:val="24"/>
          <w:highlight w:val="none"/>
          <w:lang w:eastAsia="zh-CN"/>
        </w:rPr>
        <w:t>供应商</w:t>
      </w:r>
      <w:r>
        <w:rPr>
          <w:rFonts w:hint="eastAsia" w:ascii="宋体" w:hAnsi="宋体" w:eastAsia="宋体" w:cs="宋体"/>
          <w:b/>
          <w:bCs/>
          <w:color w:val="auto"/>
          <w:szCs w:val="24"/>
          <w:highlight w:val="none"/>
        </w:rPr>
        <w:t>组成报价汇总表”不符，以</w:t>
      </w:r>
      <w:r>
        <w:rPr>
          <w:rFonts w:hint="eastAsia" w:ascii="宋体" w:hAnsi="宋体" w:eastAsia="宋体" w:cs="宋体"/>
          <w:b/>
          <w:bCs/>
          <w:color w:val="auto"/>
          <w:szCs w:val="24"/>
          <w:highlight w:val="none"/>
          <w:lang w:eastAsia="zh-CN"/>
        </w:rPr>
        <w:t>报价一览表</w:t>
      </w:r>
      <w:r>
        <w:rPr>
          <w:rFonts w:hint="eastAsia" w:ascii="宋体" w:hAnsi="宋体" w:eastAsia="宋体" w:cs="宋体"/>
          <w:b/>
          <w:bCs/>
          <w:color w:val="auto"/>
          <w:szCs w:val="24"/>
          <w:highlight w:val="none"/>
        </w:rPr>
        <w:t>为准，按</w:t>
      </w:r>
      <w:r>
        <w:rPr>
          <w:rFonts w:hint="eastAsia" w:ascii="宋体" w:hAnsi="宋体" w:eastAsia="宋体" w:cs="宋体"/>
          <w:b/>
          <w:bCs/>
          <w:color w:val="auto"/>
          <w:szCs w:val="24"/>
          <w:highlight w:val="none"/>
          <w:lang w:eastAsia="zh-CN"/>
        </w:rPr>
        <w:t>报价一览表</w:t>
      </w:r>
      <w:r>
        <w:rPr>
          <w:rFonts w:hint="eastAsia" w:ascii="宋体" w:hAnsi="宋体" w:eastAsia="宋体" w:cs="宋体"/>
          <w:b/>
          <w:bCs/>
          <w:color w:val="auto"/>
          <w:szCs w:val="24"/>
          <w:highlight w:val="none"/>
        </w:rPr>
        <w:t>所报总价与</w:t>
      </w:r>
      <w:r>
        <w:rPr>
          <w:rFonts w:hint="eastAsia" w:ascii="宋体" w:hAnsi="宋体" w:eastAsia="宋体" w:cs="宋体"/>
          <w:b/>
          <w:bCs/>
          <w:color w:val="auto"/>
          <w:szCs w:val="24"/>
          <w:highlight w:val="none"/>
          <w:lang w:eastAsia="zh-CN"/>
        </w:rPr>
        <w:t>供应商</w:t>
      </w:r>
      <w:r>
        <w:rPr>
          <w:rFonts w:hint="eastAsia" w:ascii="宋体" w:hAnsi="宋体" w:eastAsia="宋体" w:cs="宋体"/>
          <w:b/>
          <w:bCs/>
          <w:color w:val="auto"/>
          <w:szCs w:val="24"/>
          <w:highlight w:val="none"/>
        </w:rPr>
        <w:t>组成报价汇总表的分表之差的比例调整各“分项单价”以及其下的各项细目单价。（磋商小组认为恶意造成“</w:t>
      </w:r>
      <w:r>
        <w:rPr>
          <w:rFonts w:hint="eastAsia" w:ascii="宋体" w:hAnsi="宋体" w:eastAsia="宋体" w:cs="宋体"/>
          <w:b/>
          <w:bCs/>
          <w:color w:val="auto"/>
          <w:szCs w:val="24"/>
          <w:highlight w:val="none"/>
          <w:lang w:eastAsia="zh-CN"/>
        </w:rPr>
        <w:t>供应商</w:t>
      </w:r>
      <w:r>
        <w:rPr>
          <w:rFonts w:hint="eastAsia" w:ascii="宋体" w:hAnsi="宋体" w:eastAsia="宋体" w:cs="宋体"/>
          <w:b/>
          <w:bCs/>
          <w:color w:val="auto"/>
          <w:szCs w:val="24"/>
          <w:highlight w:val="none"/>
        </w:rPr>
        <w:t>组成报价汇总表”与“</w:t>
      </w:r>
      <w:r>
        <w:rPr>
          <w:rFonts w:hint="eastAsia" w:ascii="宋体" w:hAnsi="宋体" w:eastAsia="宋体" w:cs="宋体"/>
          <w:b/>
          <w:bCs/>
          <w:color w:val="auto"/>
          <w:szCs w:val="24"/>
          <w:highlight w:val="none"/>
          <w:lang w:eastAsia="zh-CN"/>
        </w:rPr>
        <w:t>报价一览表</w:t>
      </w:r>
      <w:r>
        <w:rPr>
          <w:rFonts w:hint="eastAsia" w:ascii="宋体" w:hAnsi="宋体" w:eastAsia="宋体" w:cs="宋体"/>
          <w:b/>
          <w:bCs/>
          <w:color w:val="auto"/>
          <w:szCs w:val="24"/>
          <w:highlight w:val="none"/>
        </w:rPr>
        <w:t>所报总价”不一致的，报价按0分处理）。</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5.2 在签定合同前和执行合同中，当发现</w:t>
      </w:r>
      <w:r>
        <w:rPr>
          <w:rFonts w:hint="eastAsia" w:ascii="宋体" w:hAnsi="宋体" w:eastAsia="宋体" w:cs="宋体"/>
          <w:color w:val="auto"/>
          <w:szCs w:val="24"/>
          <w:highlight w:val="none"/>
          <w:lang w:eastAsia="zh-CN"/>
        </w:rPr>
        <w:t>成交供应商</w:t>
      </w:r>
      <w:r>
        <w:rPr>
          <w:rFonts w:hint="eastAsia" w:ascii="宋体" w:hAnsi="宋体" w:eastAsia="宋体" w:cs="宋体"/>
          <w:color w:val="auto"/>
          <w:szCs w:val="24"/>
          <w:highlight w:val="none"/>
        </w:rPr>
        <w:t>“报价</w:t>
      </w:r>
      <w:r>
        <w:rPr>
          <w:rFonts w:hint="eastAsia" w:ascii="宋体" w:hAnsi="宋体" w:eastAsia="宋体" w:cs="宋体"/>
          <w:color w:val="auto"/>
          <w:szCs w:val="24"/>
          <w:highlight w:val="none"/>
          <w:lang w:eastAsia="zh-CN"/>
        </w:rPr>
        <w:t>文件</w:t>
      </w:r>
      <w:r>
        <w:rPr>
          <w:rFonts w:hint="eastAsia" w:ascii="宋体" w:hAnsi="宋体" w:eastAsia="宋体" w:cs="宋体"/>
          <w:color w:val="auto"/>
          <w:szCs w:val="24"/>
          <w:highlight w:val="none"/>
        </w:rPr>
        <w:t>”中</w:t>
      </w:r>
      <w:r>
        <w:rPr>
          <w:rFonts w:hint="eastAsia" w:ascii="宋体" w:hAnsi="宋体" w:eastAsia="宋体" w:cs="宋体"/>
          <w:color w:val="auto"/>
          <w:szCs w:val="24"/>
          <w:highlight w:val="none"/>
          <w:lang w:eastAsia="zh-CN"/>
        </w:rPr>
        <w:t>报价一览表</w:t>
      </w:r>
      <w:r>
        <w:rPr>
          <w:rFonts w:hint="eastAsia" w:ascii="宋体" w:hAnsi="宋体" w:eastAsia="宋体" w:cs="宋体"/>
          <w:color w:val="auto"/>
          <w:szCs w:val="24"/>
          <w:highlight w:val="none"/>
        </w:rPr>
        <w:t>总价与组成报价汇总表的分表不相符的，以</w:t>
      </w:r>
      <w:r>
        <w:rPr>
          <w:rFonts w:hint="eastAsia" w:ascii="宋体" w:hAnsi="宋体" w:eastAsia="宋体" w:cs="宋体"/>
          <w:color w:val="auto"/>
          <w:szCs w:val="24"/>
          <w:highlight w:val="none"/>
          <w:lang w:eastAsia="zh-CN"/>
        </w:rPr>
        <w:t>报价一览表</w:t>
      </w:r>
      <w:r>
        <w:rPr>
          <w:rFonts w:hint="eastAsia" w:ascii="宋体" w:hAnsi="宋体" w:eastAsia="宋体" w:cs="宋体"/>
          <w:color w:val="auto"/>
          <w:szCs w:val="24"/>
          <w:highlight w:val="none"/>
        </w:rPr>
        <w:t>为准，按“</w:t>
      </w:r>
      <w:r>
        <w:rPr>
          <w:rFonts w:hint="eastAsia" w:ascii="宋体" w:hAnsi="宋体" w:eastAsia="宋体" w:cs="宋体"/>
          <w:color w:val="auto"/>
          <w:szCs w:val="24"/>
          <w:highlight w:val="none"/>
          <w:lang w:eastAsia="zh-CN"/>
        </w:rPr>
        <w:t>报价一览表</w:t>
      </w:r>
      <w:r>
        <w:rPr>
          <w:rFonts w:hint="eastAsia" w:ascii="宋体" w:hAnsi="宋体" w:eastAsia="宋体" w:cs="宋体"/>
          <w:color w:val="auto"/>
          <w:szCs w:val="24"/>
          <w:highlight w:val="none"/>
        </w:rPr>
        <w:t>所报总价”与“</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组成报价汇总表的分表”之差的比例相应调整每一项工程细目的</w:t>
      </w:r>
      <w:r>
        <w:rPr>
          <w:rFonts w:hint="eastAsia" w:ascii="宋体" w:hAnsi="宋体" w:eastAsia="宋体" w:cs="宋体"/>
          <w:color w:val="auto"/>
          <w:szCs w:val="24"/>
          <w:highlight w:val="none"/>
          <w:lang w:eastAsia="zh-CN"/>
        </w:rPr>
        <w:t>全费用</w:t>
      </w:r>
      <w:r>
        <w:rPr>
          <w:rFonts w:hint="eastAsia" w:ascii="宋体" w:hAnsi="宋体" w:eastAsia="宋体" w:cs="宋体"/>
          <w:color w:val="auto"/>
          <w:szCs w:val="24"/>
          <w:highlight w:val="none"/>
        </w:rPr>
        <w:t>综合单价。</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5.3 如果</w:t>
      </w:r>
      <w:r>
        <w:rPr>
          <w:rFonts w:hint="eastAsia" w:ascii="宋体" w:hAnsi="宋体" w:eastAsia="宋体" w:cs="宋体"/>
          <w:color w:val="auto"/>
          <w:szCs w:val="24"/>
          <w:highlight w:val="none"/>
          <w:lang w:eastAsia="zh-CN"/>
        </w:rPr>
        <w:t>报价一览表</w:t>
      </w:r>
      <w:r>
        <w:rPr>
          <w:rFonts w:hint="eastAsia" w:ascii="宋体" w:hAnsi="宋体" w:eastAsia="宋体" w:cs="宋体"/>
          <w:color w:val="auto"/>
          <w:szCs w:val="24"/>
          <w:highlight w:val="none"/>
        </w:rPr>
        <w:t>用数字表示的数额与用文字表示的数额不一致时，以文字数额为准。当单价与数量的乘积与合价不一致时，以单价为准，除非磋商小组认为单价有明显的小数点错误，此时应以标出的合价为准，并修改单价。如果单项工程中合价之和与合计价不一致，则应以合价为准修改合计价；如果各单项合计价之和与总价不一致，则应以单项合计价为准修改总价。</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5.4 如果某细目子项未填单价或合价，则视为供应商已把该子项费用分摊到其他细目中。</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6</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按上述修改错误的方法，调整</w:t>
      </w:r>
      <w:r>
        <w:rPr>
          <w:rFonts w:hint="eastAsia" w:ascii="宋体" w:hAnsi="宋体" w:eastAsia="宋体" w:cs="宋体"/>
          <w:color w:val="auto"/>
          <w:szCs w:val="24"/>
          <w:highlight w:val="none"/>
          <w:lang w:eastAsia="zh-CN"/>
        </w:rPr>
        <w:t>报价文件</w:t>
      </w:r>
      <w:r>
        <w:rPr>
          <w:rFonts w:hint="eastAsia" w:ascii="宋体" w:hAnsi="宋体" w:eastAsia="宋体" w:cs="宋体"/>
          <w:color w:val="auto"/>
          <w:szCs w:val="24"/>
          <w:highlight w:val="none"/>
        </w:rPr>
        <w:t>中的报价。经</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确认同意后，调整后的报价对</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起约束作用。如果</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不接受修正后的报价则其</w:t>
      </w:r>
      <w:r>
        <w:rPr>
          <w:rFonts w:hint="eastAsia" w:ascii="宋体" w:hAnsi="宋体" w:eastAsia="宋体" w:cs="宋体"/>
          <w:color w:val="auto"/>
          <w:szCs w:val="24"/>
          <w:highlight w:val="none"/>
          <w:lang w:eastAsia="zh-CN"/>
        </w:rPr>
        <w:t>报价文件</w:t>
      </w:r>
      <w:r>
        <w:rPr>
          <w:rFonts w:hint="eastAsia" w:ascii="宋体" w:hAnsi="宋体" w:eastAsia="宋体" w:cs="宋体"/>
          <w:color w:val="auto"/>
          <w:szCs w:val="24"/>
          <w:highlight w:val="none"/>
        </w:rPr>
        <w:t>将有可能被拒绝。</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磋商小组对于出现上述</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填报错误的计价清单，在评审时将予以适当扣分。一般扣分可以根据以下原则确定：</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6.1</w:t>
      </w:r>
      <w:r>
        <w:rPr>
          <w:rFonts w:hint="eastAsia" w:ascii="宋体" w:hAnsi="宋体" w:eastAsia="宋体" w:cs="宋体"/>
          <w:color w:val="auto"/>
          <w:szCs w:val="24"/>
          <w:highlight w:val="none"/>
        </w:rPr>
        <w:t>报价清单中计价错误的数量及性质</w:t>
      </w:r>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6.2</w:t>
      </w:r>
      <w:r>
        <w:rPr>
          <w:rFonts w:hint="eastAsia" w:ascii="宋体" w:hAnsi="宋体" w:eastAsia="宋体" w:cs="宋体"/>
          <w:color w:val="auto"/>
          <w:szCs w:val="24"/>
          <w:highlight w:val="none"/>
        </w:rPr>
        <w:t>报价错误对合同总价格影响的程度</w:t>
      </w:r>
    </w:p>
    <w:p>
      <w:pPr>
        <w:pStyle w:val="76"/>
        <w:pageBreakBefore w:val="0"/>
        <w:kinsoku/>
        <w:wordWrap/>
        <w:topLinePunct w:val="0"/>
        <w:bidi w:val="0"/>
        <w:adjustRightInd w:val="0"/>
        <w:snapToGrid w:val="0"/>
        <w:spacing w:afterAutospacing="0" w:line="360" w:lineRule="auto"/>
        <w:ind w:firstLine="506" w:firstLineChars="200"/>
        <w:jc w:val="both"/>
        <w:textAlignment w:val="auto"/>
        <w:outlineLvl w:val="1"/>
        <w:rPr>
          <w:rFonts w:hint="eastAsia" w:ascii="宋体" w:hAnsi="宋体" w:eastAsia="宋体" w:cs="宋体"/>
          <w:b/>
          <w:color w:val="auto"/>
          <w:sz w:val="24"/>
          <w:szCs w:val="24"/>
          <w:highlight w:val="none"/>
          <w:lang w:eastAsia="zh-CN"/>
        </w:rPr>
      </w:pPr>
      <w:bookmarkStart w:id="98" w:name="_Toc19085"/>
      <w:bookmarkStart w:id="99" w:name="_Toc13892"/>
      <w:bookmarkStart w:id="100" w:name="_Toc20243"/>
      <w:bookmarkStart w:id="101" w:name="_Toc8668"/>
      <w:bookmarkStart w:id="102" w:name="_Toc23361"/>
      <w:bookmarkStart w:id="103" w:name="_Toc15083"/>
      <w:bookmarkStart w:id="104" w:name="_Toc30745"/>
      <w:bookmarkStart w:id="105" w:name="_Toc31104"/>
      <w:bookmarkStart w:id="106" w:name="_Toc4661"/>
      <w:bookmarkStart w:id="107" w:name="_Toc183264288"/>
      <w:bookmarkStart w:id="108" w:name="_Toc12093"/>
      <w:bookmarkStart w:id="109" w:name="_Toc2262"/>
      <w:bookmarkStart w:id="110" w:name="_Toc19558"/>
      <w:r>
        <w:rPr>
          <w:rFonts w:hint="eastAsia" w:ascii="宋体" w:hAnsi="宋体" w:eastAsia="宋体" w:cs="宋体"/>
          <w:b/>
          <w:color w:val="auto"/>
          <w:sz w:val="24"/>
          <w:szCs w:val="24"/>
          <w:highlight w:val="none"/>
        </w:rPr>
        <w:t>六、合格的</w:t>
      </w:r>
      <w:bookmarkEnd w:id="98"/>
      <w:bookmarkEnd w:id="99"/>
      <w:bookmarkEnd w:id="100"/>
      <w:bookmarkEnd w:id="101"/>
      <w:bookmarkEnd w:id="102"/>
      <w:bookmarkEnd w:id="103"/>
      <w:bookmarkEnd w:id="104"/>
      <w:bookmarkEnd w:id="105"/>
      <w:bookmarkEnd w:id="106"/>
      <w:bookmarkEnd w:id="107"/>
      <w:bookmarkEnd w:id="108"/>
      <w:bookmarkEnd w:id="109"/>
      <w:bookmarkEnd w:id="110"/>
      <w:r>
        <w:rPr>
          <w:rFonts w:hint="eastAsia" w:ascii="宋体" w:hAnsi="宋体" w:eastAsia="宋体" w:cs="宋体"/>
          <w:b/>
          <w:color w:val="auto"/>
          <w:sz w:val="24"/>
          <w:szCs w:val="24"/>
          <w:highlight w:val="none"/>
          <w:lang w:eastAsia="zh-CN"/>
        </w:rPr>
        <w:t>供应商</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rPr>
      </w:pPr>
      <w:bookmarkStart w:id="111" w:name="_Toc16987"/>
      <w:bookmarkStart w:id="112" w:name="_Toc22337"/>
      <w:bookmarkStart w:id="113" w:name="_Toc10689"/>
      <w:bookmarkStart w:id="114" w:name="_Toc2026"/>
      <w:bookmarkStart w:id="115" w:name="_Toc24779"/>
      <w:bookmarkStart w:id="116" w:name="_Toc24825"/>
      <w:bookmarkStart w:id="117" w:name="_Toc22132"/>
      <w:bookmarkStart w:id="118" w:name="_Toc15681"/>
      <w:bookmarkStart w:id="119" w:name="_Toc21433"/>
      <w:bookmarkStart w:id="120" w:name="_Toc183264289"/>
      <w:bookmarkStart w:id="121" w:name="_Toc9504"/>
      <w:bookmarkStart w:id="122" w:name="_Toc20204"/>
      <w:bookmarkStart w:id="123" w:name="_Toc1978"/>
      <w:r>
        <w:rPr>
          <w:rFonts w:hint="eastAsia" w:ascii="宋体" w:hAnsi="宋体" w:eastAsia="宋体" w:cs="宋体"/>
          <w:color w:val="auto"/>
          <w:sz w:val="24"/>
          <w:szCs w:val="24"/>
          <w:highlight w:val="none"/>
        </w:rPr>
        <w:t xml:space="preserve">     详细要求见前附表第</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资格要求</w:t>
      </w:r>
    </w:p>
    <w:p>
      <w:pPr>
        <w:pStyle w:val="76"/>
        <w:pageBreakBefore w:val="0"/>
        <w:kinsoku/>
        <w:wordWrap/>
        <w:topLinePunct w:val="0"/>
        <w:bidi w:val="0"/>
        <w:adjustRightInd w:val="0"/>
        <w:snapToGrid w:val="0"/>
        <w:spacing w:afterAutospacing="0" w:line="360" w:lineRule="auto"/>
        <w:ind w:firstLine="506" w:firstLineChars="200"/>
        <w:jc w:val="both"/>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七、</w:t>
      </w:r>
      <w:r>
        <w:rPr>
          <w:rFonts w:hint="eastAsia" w:ascii="宋体" w:hAnsi="宋体" w:eastAsia="宋体" w:cs="宋体"/>
          <w:b/>
          <w:color w:val="auto"/>
          <w:sz w:val="24"/>
          <w:szCs w:val="24"/>
          <w:highlight w:val="none"/>
          <w:lang w:eastAsia="zh-CN"/>
        </w:rPr>
        <w:t>报价</w:t>
      </w:r>
      <w:r>
        <w:rPr>
          <w:rFonts w:hint="eastAsia" w:ascii="宋体" w:hAnsi="宋体" w:eastAsia="宋体" w:cs="宋体"/>
          <w:b/>
          <w:color w:val="auto"/>
          <w:sz w:val="24"/>
          <w:szCs w:val="24"/>
          <w:highlight w:val="none"/>
        </w:rPr>
        <w:t>有效期</w:t>
      </w:r>
      <w:bookmarkEnd w:id="111"/>
      <w:bookmarkEnd w:id="112"/>
      <w:bookmarkEnd w:id="113"/>
      <w:bookmarkEnd w:id="114"/>
      <w:bookmarkEnd w:id="115"/>
      <w:bookmarkEnd w:id="116"/>
      <w:bookmarkEnd w:id="117"/>
      <w:bookmarkEnd w:id="118"/>
      <w:bookmarkEnd w:id="119"/>
      <w:bookmarkEnd w:id="120"/>
      <w:bookmarkEnd w:id="121"/>
      <w:bookmarkEnd w:id="122"/>
      <w:bookmarkEnd w:id="123"/>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自递交</w:t>
      </w:r>
      <w:r>
        <w:rPr>
          <w:rFonts w:hint="eastAsia" w:ascii="宋体" w:hAnsi="宋体" w:eastAsia="宋体" w:cs="宋体"/>
          <w:color w:val="auto"/>
          <w:szCs w:val="24"/>
          <w:highlight w:val="none"/>
          <w:lang w:eastAsia="zh-CN"/>
        </w:rPr>
        <w:t>报价文件</w:t>
      </w:r>
      <w:r>
        <w:rPr>
          <w:rFonts w:hint="eastAsia" w:ascii="宋体" w:hAnsi="宋体" w:eastAsia="宋体" w:cs="宋体"/>
          <w:color w:val="auto"/>
          <w:szCs w:val="24"/>
          <w:highlight w:val="none"/>
        </w:rPr>
        <w:t>截止之日起90日历天</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特殊情况下，在磋商有效期满之前，采购代理机构可以以书面形式要求</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同意延长磋商有效期。</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可以书面形式拒绝或接受上述要求。拒绝延长磋商有效期的</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有权收回</w:t>
      </w:r>
      <w:r>
        <w:rPr>
          <w:rFonts w:hint="eastAsia" w:ascii="宋体" w:hAnsi="宋体" w:cs="宋体"/>
          <w:color w:val="auto"/>
          <w:szCs w:val="24"/>
          <w:highlight w:val="none"/>
          <w:lang w:eastAsia="zh-CN"/>
        </w:rPr>
        <w:t>磋商</w:t>
      </w:r>
      <w:r>
        <w:rPr>
          <w:rFonts w:hint="eastAsia" w:ascii="宋体" w:hAnsi="宋体" w:eastAsia="宋体" w:cs="宋体"/>
          <w:color w:val="auto"/>
          <w:szCs w:val="24"/>
          <w:highlight w:val="none"/>
        </w:rPr>
        <w:t>保证金；同意延长磋商有效期的</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应当相应延长其</w:t>
      </w:r>
      <w:r>
        <w:rPr>
          <w:rFonts w:hint="eastAsia" w:ascii="宋体" w:hAnsi="宋体" w:cs="宋体"/>
          <w:color w:val="auto"/>
          <w:szCs w:val="24"/>
          <w:highlight w:val="none"/>
          <w:lang w:eastAsia="zh-CN"/>
        </w:rPr>
        <w:t>磋商</w:t>
      </w:r>
      <w:r>
        <w:rPr>
          <w:rFonts w:hint="eastAsia" w:ascii="宋体" w:hAnsi="宋体" w:eastAsia="宋体" w:cs="宋体"/>
          <w:color w:val="auto"/>
          <w:szCs w:val="24"/>
          <w:highlight w:val="none"/>
        </w:rPr>
        <w:t>保证金的有效期，但不得修改报价文件的实质性内容。</w:t>
      </w:r>
    </w:p>
    <w:p>
      <w:pPr>
        <w:pageBreakBefore w:val="0"/>
        <w:kinsoku/>
        <w:wordWrap/>
        <w:topLinePunct w:val="0"/>
        <w:bidi w:val="0"/>
        <w:adjustRightInd w:val="0"/>
        <w:snapToGrid w:val="0"/>
        <w:spacing w:afterAutospacing="0" w:line="360" w:lineRule="auto"/>
        <w:ind w:firstLine="472" w:firstLineChars="196"/>
        <w:textAlignment w:val="auto"/>
        <w:outlineLvl w:val="1"/>
        <w:rPr>
          <w:rFonts w:hint="eastAsia" w:ascii="宋体" w:hAnsi="宋体" w:eastAsia="宋体" w:cs="宋体"/>
          <w:b/>
          <w:color w:val="auto"/>
          <w:sz w:val="24"/>
          <w:szCs w:val="24"/>
          <w:highlight w:val="none"/>
        </w:rPr>
      </w:pPr>
      <w:bookmarkStart w:id="124" w:name="_Toc6148"/>
      <w:bookmarkStart w:id="125" w:name="_Toc12634"/>
      <w:bookmarkStart w:id="126" w:name="_Toc20297"/>
      <w:bookmarkStart w:id="127" w:name="_Toc27250"/>
      <w:bookmarkStart w:id="128" w:name="_Toc11065"/>
      <w:bookmarkStart w:id="129" w:name="_Toc18476"/>
      <w:bookmarkStart w:id="130" w:name="_Toc20223"/>
      <w:bookmarkStart w:id="131" w:name="_Toc18834"/>
      <w:bookmarkStart w:id="132" w:name="_Toc12711"/>
      <w:bookmarkStart w:id="133" w:name="_Toc27708"/>
      <w:bookmarkStart w:id="134" w:name="_Toc183264290"/>
      <w:r>
        <w:rPr>
          <w:rFonts w:hint="eastAsia" w:ascii="宋体" w:hAnsi="宋体" w:eastAsia="宋体" w:cs="宋体"/>
          <w:b/>
          <w:color w:val="auto"/>
          <w:sz w:val="24"/>
          <w:szCs w:val="24"/>
          <w:highlight w:val="none"/>
        </w:rPr>
        <w:t>八、磋商费用</w:t>
      </w:r>
      <w:bookmarkEnd w:id="124"/>
      <w:bookmarkEnd w:id="125"/>
      <w:bookmarkEnd w:id="126"/>
      <w:bookmarkEnd w:id="127"/>
      <w:bookmarkEnd w:id="128"/>
      <w:bookmarkEnd w:id="129"/>
      <w:bookmarkEnd w:id="130"/>
      <w:bookmarkEnd w:id="131"/>
      <w:bookmarkEnd w:id="132"/>
      <w:bookmarkEnd w:id="133"/>
    </w:p>
    <w:bookmarkEnd w:id="134"/>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1.无论磋商结果如何，</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自行承担自己所有与参加磋商活动有关的全部费用。</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2.成交服务费</w:t>
      </w: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签订合同前，由</w:t>
      </w:r>
      <w:r>
        <w:rPr>
          <w:rFonts w:hint="eastAsia" w:ascii="宋体" w:hAnsi="宋体" w:eastAsia="宋体" w:cs="宋体"/>
          <w:color w:val="auto"/>
          <w:szCs w:val="24"/>
          <w:highlight w:val="none"/>
          <w:lang w:eastAsia="zh-CN"/>
        </w:rPr>
        <w:t>成交供应商</w:t>
      </w:r>
      <w:r>
        <w:rPr>
          <w:rFonts w:hint="eastAsia" w:ascii="宋体" w:hAnsi="宋体" w:eastAsia="宋体" w:cs="宋体"/>
          <w:color w:val="auto"/>
          <w:szCs w:val="24"/>
          <w:highlight w:val="none"/>
        </w:rPr>
        <w:t>向代理机构交纳成交服务费。</w:t>
      </w:r>
    </w:p>
    <w:p>
      <w:pPr>
        <w:pStyle w:val="50"/>
        <w:pageBreakBefore w:val="0"/>
        <w:kinsoku/>
        <w:wordWrap/>
        <w:topLinePunct w:val="0"/>
        <w:bidi w:val="0"/>
        <w:adjustRightInd w:val="0"/>
        <w:snapToGrid w:val="0"/>
        <w:spacing w:afterAutospacing="0" w:line="360" w:lineRule="auto"/>
        <w:ind w:firstLine="504"/>
        <w:jc w:val="both"/>
        <w:textAlignment w:val="auto"/>
        <w:rPr>
          <w:rFonts w:hint="eastAsia" w:ascii="宋体" w:hAnsi="宋体" w:eastAsia="宋体" w:cs="宋体"/>
          <w:b/>
          <w:bCs/>
          <w:color w:val="auto"/>
          <w:szCs w:val="24"/>
          <w:highlight w:val="none"/>
        </w:rPr>
      </w:pPr>
      <w:bookmarkStart w:id="135" w:name="_Toc23457"/>
      <w:r>
        <w:rPr>
          <w:rFonts w:hint="eastAsia" w:ascii="宋体" w:hAnsi="宋体" w:eastAsia="宋体" w:cs="宋体"/>
          <w:color w:val="auto"/>
          <w:szCs w:val="24"/>
          <w:highlight w:val="none"/>
        </w:rPr>
        <w:t>3.律师见证费：</w:t>
      </w:r>
      <w:r>
        <w:rPr>
          <w:rFonts w:hint="eastAsia" w:ascii="宋体" w:hAnsi="宋体" w:eastAsia="宋体" w:cs="宋体"/>
          <w:color w:val="auto"/>
          <w:szCs w:val="24"/>
          <w:highlight w:val="none"/>
          <w:lang w:eastAsia="zh-CN"/>
        </w:rPr>
        <w:t>成交供应商</w:t>
      </w:r>
      <w:r>
        <w:rPr>
          <w:rFonts w:hint="eastAsia" w:ascii="宋体" w:hAnsi="宋体" w:eastAsia="宋体" w:cs="宋体"/>
          <w:color w:val="auto"/>
          <w:szCs w:val="24"/>
          <w:highlight w:val="none"/>
        </w:rPr>
        <w:t>在签订合同前按中标金额的1‰向律师事务所交纳律师见证费，不足500元的按500元收取。</w:t>
      </w:r>
    </w:p>
    <w:bookmarkEnd w:id="135"/>
    <w:p>
      <w:pPr>
        <w:pStyle w:val="76"/>
        <w:pageBreakBefore w:val="0"/>
        <w:kinsoku/>
        <w:wordWrap/>
        <w:topLinePunct w:val="0"/>
        <w:bidi w:val="0"/>
        <w:adjustRightInd w:val="0"/>
        <w:snapToGrid w:val="0"/>
        <w:spacing w:afterAutospacing="0" w:line="360" w:lineRule="auto"/>
        <w:ind w:firstLine="506" w:firstLineChars="200"/>
        <w:jc w:val="both"/>
        <w:textAlignment w:val="auto"/>
        <w:outlineLvl w:val="1"/>
        <w:rPr>
          <w:rFonts w:hint="eastAsia" w:ascii="宋体" w:hAnsi="宋体" w:eastAsia="宋体" w:cs="宋体"/>
          <w:b/>
          <w:color w:val="auto"/>
          <w:sz w:val="24"/>
          <w:szCs w:val="24"/>
          <w:highlight w:val="none"/>
        </w:rPr>
      </w:pPr>
      <w:bookmarkStart w:id="136" w:name="_Toc183264292"/>
      <w:bookmarkStart w:id="137" w:name="_Toc1306"/>
      <w:bookmarkStart w:id="138" w:name="_Toc17369"/>
      <w:bookmarkStart w:id="139" w:name="_Toc15632"/>
      <w:bookmarkStart w:id="140" w:name="_Toc22771"/>
      <w:bookmarkStart w:id="141" w:name="_Toc4983"/>
      <w:bookmarkStart w:id="142" w:name="_Toc15876"/>
      <w:bookmarkStart w:id="143" w:name="_Toc8951"/>
      <w:bookmarkStart w:id="144" w:name="_Toc26475"/>
      <w:bookmarkStart w:id="145" w:name="_Toc4325"/>
      <w:bookmarkStart w:id="146" w:name="_Toc6197"/>
      <w:bookmarkStart w:id="147" w:name="_Toc28089"/>
      <w:bookmarkStart w:id="148" w:name="_Toc8414"/>
      <w:r>
        <w:rPr>
          <w:rFonts w:hint="eastAsia" w:ascii="宋体" w:hAnsi="宋体" w:eastAsia="宋体" w:cs="宋体"/>
          <w:b/>
          <w:color w:val="auto"/>
          <w:sz w:val="24"/>
          <w:szCs w:val="24"/>
          <w:highlight w:val="none"/>
          <w:lang w:eastAsia="zh-CN"/>
        </w:rPr>
        <w:t>九</w:t>
      </w:r>
      <w:r>
        <w:rPr>
          <w:rFonts w:hint="eastAsia" w:ascii="宋体" w:hAnsi="宋体" w:eastAsia="宋体" w:cs="宋体"/>
          <w:b/>
          <w:color w:val="auto"/>
          <w:sz w:val="24"/>
          <w:szCs w:val="24"/>
          <w:highlight w:val="none"/>
        </w:rPr>
        <w:t>、无效</w:t>
      </w:r>
      <w:bookmarkEnd w:id="136"/>
      <w:r>
        <w:rPr>
          <w:rFonts w:hint="eastAsia" w:ascii="宋体" w:hAnsi="宋体" w:eastAsia="宋体" w:cs="宋体"/>
          <w:b/>
          <w:color w:val="auto"/>
          <w:sz w:val="24"/>
          <w:szCs w:val="24"/>
          <w:highlight w:val="none"/>
        </w:rPr>
        <w:t>报价</w:t>
      </w:r>
      <w:bookmarkEnd w:id="137"/>
      <w:bookmarkEnd w:id="138"/>
      <w:bookmarkEnd w:id="139"/>
      <w:bookmarkEnd w:id="140"/>
      <w:bookmarkEnd w:id="141"/>
      <w:bookmarkEnd w:id="142"/>
      <w:bookmarkEnd w:id="143"/>
      <w:bookmarkEnd w:id="144"/>
      <w:bookmarkEnd w:id="145"/>
      <w:bookmarkEnd w:id="146"/>
      <w:bookmarkEnd w:id="147"/>
      <w:bookmarkEnd w:id="148"/>
    </w:p>
    <w:p>
      <w:pPr>
        <w:pStyle w:val="9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（一）</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有下列情况之一，其报价将被视为无效：</w:t>
      </w:r>
    </w:p>
    <w:p>
      <w:pPr>
        <w:pStyle w:val="50"/>
        <w:pageBreakBefore w:val="0"/>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w:t>
      </w:r>
      <w:r>
        <w:rPr>
          <w:rFonts w:hint="eastAsia" w:ascii="宋体" w:hAnsi="宋体" w:cs="宋体"/>
          <w:color w:val="auto"/>
          <w:szCs w:val="24"/>
          <w:highlight w:val="none"/>
          <w:lang w:val="en-US" w:eastAsia="zh-CN"/>
        </w:rPr>
        <w:t xml:space="preserve">  </w:t>
      </w:r>
      <w:r>
        <w:rPr>
          <w:rFonts w:hint="eastAsia" w:ascii="宋体" w:hAnsi="宋体" w:eastAsia="宋体" w:cs="宋体"/>
          <w:color w:val="auto"/>
          <w:szCs w:val="24"/>
          <w:highlight w:val="none"/>
        </w:rPr>
        <w:t xml:space="preserve"> </w:t>
      </w:r>
      <w:r>
        <w:rPr>
          <w:rFonts w:hint="eastAsia" w:ascii="宋体" w:hAnsi="宋体" w:cs="宋体"/>
          <w:color w:val="auto"/>
          <w:szCs w:val="24"/>
          <w:highlight w:val="none"/>
          <w:lang w:val="en-US" w:eastAsia="zh-CN"/>
        </w:rPr>
        <w:t>1</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报价文件</w:t>
      </w:r>
      <w:r>
        <w:rPr>
          <w:rFonts w:hint="eastAsia" w:ascii="宋体" w:hAnsi="宋体" w:eastAsia="宋体" w:cs="宋体"/>
          <w:color w:val="auto"/>
          <w:szCs w:val="24"/>
          <w:highlight w:val="none"/>
        </w:rPr>
        <w:t>未按采购文件的规定签署或密封的。</w:t>
      </w:r>
    </w:p>
    <w:p>
      <w:pPr>
        <w:pStyle w:val="50"/>
        <w:pageBreakBefore w:val="0"/>
        <w:kinsoku/>
        <w:wordWrap/>
        <w:topLinePunct w:val="0"/>
        <w:bidi w:val="0"/>
        <w:adjustRightInd w:val="0"/>
        <w:snapToGrid w:val="0"/>
        <w:spacing w:afterAutospacing="0" w:line="360" w:lineRule="auto"/>
        <w:ind w:firstLine="0" w:firstLineChars="0"/>
        <w:jc w:val="both"/>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w:t>
      </w:r>
      <w:r>
        <w:rPr>
          <w:rFonts w:hint="eastAsia" w:ascii="宋体" w:hAnsi="宋体" w:cs="宋体"/>
          <w:color w:val="auto"/>
          <w:szCs w:val="24"/>
          <w:highlight w:val="none"/>
          <w:lang w:val="en-US" w:eastAsia="zh-CN"/>
        </w:rPr>
        <w:t>2</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报价一览表</w:t>
      </w:r>
      <w:r>
        <w:rPr>
          <w:rFonts w:hint="eastAsia" w:ascii="宋体" w:hAnsi="宋体" w:eastAsia="宋体" w:cs="宋体"/>
          <w:color w:val="auto"/>
          <w:szCs w:val="24"/>
          <w:highlight w:val="none"/>
        </w:rPr>
        <w:t>未加盖本单位公章、法定代表人或授权代表未签字的。</w:t>
      </w:r>
    </w:p>
    <w:p>
      <w:pPr>
        <w:pStyle w:val="50"/>
        <w:pageBreakBefore w:val="0"/>
        <w:kinsoku/>
        <w:wordWrap/>
        <w:topLinePunct w:val="0"/>
        <w:bidi w:val="0"/>
        <w:adjustRightInd w:val="0"/>
        <w:snapToGrid w:val="0"/>
        <w:spacing w:afterAutospacing="0" w:line="360" w:lineRule="auto"/>
        <w:ind w:firstLine="0" w:firstLineChars="0"/>
        <w:jc w:val="both"/>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w:t>
      </w:r>
      <w:r>
        <w:rPr>
          <w:rFonts w:hint="eastAsia" w:ascii="宋体" w:hAnsi="宋体" w:cs="宋体"/>
          <w:color w:val="auto"/>
          <w:szCs w:val="24"/>
          <w:highlight w:val="none"/>
          <w:lang w:val="en-US" w:eastAsia="zh-CN"/>
        </w:rPr>
        <w:t>3</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对采购文件的要求未做出实质性响应的。</w:t>
      </w:r>
    </w:p>
    <w:p>
      <w:pPr>
        <w:pStyle w:val="50"/>
        <w:pageBreakBefore w:val="0"/>
        <w:kinsoku/>
        <w:wordWrap/>
        <w:topLinePunct w:val="0"/>
        <w:bidi w:val="0"/>
        <w:adjustRightInd w:val="0"/>
        <w:snapToGrid w:val="0"/>
        <w:spacing w:afterAutospacing="0" w:line="360" w:lineRule="auto"/>
        <w:ind w:firstLine="0" w:firstLineChars="0"/>
        <w:jc w:val="both"/>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w:t>
      </w:r>
      <w:r>
        <w:rPr>
          <w:rFonts w:hint="eastAsia" w:ascii="宋体" w:hAnsi="宋体" w:cs="宋体"/>
          <w:color w:val="auto"/>
          <w:szCs w:val="24"/>
          <w:highlight w:val="none"/>
          <w:lang w:val="en-US" w:eastAsia="zh-CN"/>
        </w:rPr>
        <w:t>4</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不参加</w:t>
      </w:r>
      <w:r>
        <w:rPr>
          <w:rFonts w:hint="eastAsia" w:ascii="宋体" w:hAnsi="宋体" w:cs="宋体"/>
          <w:color w:val="auto"/>
          <w:szCs w:val="24"/>
          <w:highlight w:val="none"/>
          <w:lang w:eastAsia="zh-CN"/>
        </w:rPr>
        <w:t>磋商会议</w:t>
      </w:r>
      <w:r>
        <w:rPr>
          <w:rFonts w:hint="eastAsia" w:ascii="宋体" w:hAnsi="宋体" w:eastAsia="宋体" w:cs="宋体"/>
          <w:color w:val="auto"/>
          <w:szCs w:val="24"/>
          <w:highlight w:val="none"/>
        </w:rPr>
        <w:t>及与</w:t>
      </w:r>
      <w:r>
        <w:rPr>
          <w:rFonts w:hint="eastAsia" w:ascii="宋体" w:hAnsi="宋体" w:cs="宋体"/>
          <w:color w:val="auto"/>
          <w:szCs w:val="24"/>
          <w:highlight w:val="none"/>
          <w:lang w:eastAsia="zh-CN"/>
        </w:rPr>
        <w:t>磋商</w:t>
      </w:r>
      <w:r>
        <w:rPr>
          <w:rFonts w:hint="eastAsia" w:ascii="宋体" w:hAnsi="宋体" w:eastAsia="宋体" w:cs="宋体"/>
          <w:color w:val="auto"/>
          <w:szCs w:val="24"/>
          <w:highlight w:val="none"/>
        </w:rPr>
        <w:t>相关事宜的。</w:t>
      </w:r>
    </w:p>
    <w:p>
      <w:pPr>
        <w:pStyle w:val="50"/>
        <w:pageBreakBefore w:val="0"/>
        <w:kinsoku/>
        <w:wordWrap/>
        <w:topLinePunct w:val="0"/>
        <w:bidi w:val="0"/>
        <w:adjustRightInd w:val="0"/>
        <w:snapToGrid w:val="0"/>
        <w:spacing w:afterAutospacing="0" w:line="360" w:lineRule="auto"/>
        <w:ind w:firstLine="0" w:firstLineChars="0"/>
        <w:jc w:val="both"/>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6、</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资格不符合采购文件要求，未按采购文件要求提供资格、资质证明文件的。</w:t>
      </w:r>
    </w:p>
    <w:p>
      <w:pPr>
        <w:pStyle w:val="50"/>
        <w:pageBreakBefore w:val="0"/>
        <w:kinsoku/>
        <w:wordWrap/>
        <w:topLinePunct w:val="0"/>
        <w:bidi w:val="0"/>
        <w:adjustRightInd w:val="0"/>
        <w:snapToGrid w:val="0"/>
        <w:spacing w:afterAutospacing="0" w:line="360" w:lineRule="auto"/>
        <w:ind w:firstLine="0" w:firstLineChars="0"/>
        <w:jc w:val="both"/>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7、超过本项目的控制价的。</w:t>
      </w:r>
    </w:p>
    <w:p>
      <w:pPr>
        <w:pStyle w:val="50"/>
        <w:pageBreakBefore w:val="0"/>
        <w:kinsoku/>
        <w:wordWrap/>
        <w:topLinePunct w:val="0"/>
        <w:bidi w:val="0"/>
        <w:adjustRightInd w:val="0"/>
        <w:snapToGrid w:val="0"/>
        <w:spacing w:afterAutospacing="0" w:line="360" w:lineRule="auto"/>
        <w:ind w:firstLine="0" w:firstLineChars="0"/>
        <w:jc w:val="both"/>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8、</w:t>
      </w:r>
      <w:r>
        <w:rPr>
          <w:rFonts w:hint="eastAsia" w:ascii="宋体" w:hAnsi="宋体" w:eastAsia="宋体" w:cs="宋体"/>
          <w:color w:val="auto"/>
          <w:szCs w:val="24"/>
          <w:highlight w:val="none"/>
          <w:lang w:eastAsia="zh-CN"/>
        </w:rPr>
        <w:t>报价文件</w:t>
      </w:r>
      <w:r>
        <w:rPr>
          <w:rFonts w:hint="eastAsia" w:ascii="宋体" w:hAnsi="宋体" w:eastAsia="宋体" w:cs="宋体"/>
          <w:color w:val="auto"/>
          <w:szCs w:val="24"/>
          <w:highlight w:val="none"/>
        </w:rPr>
        <w:t>载明的工期超过采购文件规定的时间且不能被采购人接受。</w:t>
      </w:r>
    </w:p>
    <w:p>
      <w:pPr>
        <w:pStyle w:val="50"/>
        <w:pageBreakBefore w:val="0"/>
        <w:kinsoku/>
        <w:wordWrap/>
        <w:topLinePunct w:val="0"/>
        <w:bidi w:val="0"/>
        <w:adjustRightInd w:val="0"/>
        <w:snapToGrid w:val="0"/>
        <w:spacing w:afterAutospacing="0" w:line="360" w:lineRule="auto"/>
        <w:ind w:firstLine="0" w:firstLineChars="0"/>
        <w:jc w:val="both"/>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9、</w:t>
      </w:r>
      <w:r>
        <w:rPr>
          <w:rFonts w:hint="eastAsia" w:ascii="宋体" w:hAnsi="宋体" w:eastAsia="宋体" w:cs="宋体"/>
          <w:color w:val="auto"/>
          <w:szCs w:val="24"/>
          <w:highlight w:val="none"/>
          <w:lang w:eastAsia="zh-CN"/>
        </w:rPr>
        <w:t>报价文件</w:t>
      </w:r>
      <w:r>
        <w:rPr>
          <w:rFonts w:hint="eastAsia" w:ascii="宋体" w:hAnsi="宋体" w:eastAsia="宋体" w:cs="宋体"/>
          <w:color w:val="auto"/>
          <w:szCs w:val="24"/>
          <w:highlight w:val="none"/>
        </w:rPr>
        <w:t>载明的付款方式不满足采购文件规定且不能被采购人接受。</w:t>
      </w:r>
    </w:p>
    <w:p>
      <w:pPr>
        <w:pStyle w:val="50"/>
        <w:pageBreakBefore w:val="0"/>
        <w:kinsoku/>
        <w:wordWrap/>
        <w:topLinePunct w:val="0"/>
        <w:bidi w:val="0"/>
        <w:adjustRightInd w:val="0"/>
        <w:snapToGrid w:val="0"/>
        <w:spacing w:afterAutospacing="0" w:line="360" w:lineRule="auto"/>
        <w:ind w:firstLine="0" w:firstLineChars="0"/>
        <w:jc w:val="both"/>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10、不符合采购文件中规定的其他实质性要求。</w:t>
      </w:r>
    </w:p>
    <w:p>
      <w:pPr>
        <w:pStyle w:val="50"/>
        <w:pageBreakBefore w:val="0"/>
        <w:kinsoku/>
        <w:wordWrap/>
        <w:topLinePunct w:val="0"/>
        <w:bidi w:val="0"/>
        <w:adjustRightInd w:val="0"/>
        <w:snapToGrid w:val="0"/>
        <w:spacing w:afterAutospacing="0" w:line="360" w:lineRule="auto"/>
        <w:ind w:firstLine="0" w:firstLineChars="0"/>
        <w:jc w:val="both"/>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11、法律、法规规定的其他情况。</w:t>
      </w:r>
    </w:p>
    <w:p>
      <w:pPr>
        <w:pStyle w:val="90"/>
        <w:pageBreakBefore w:val="0"/>
        <w:widowControl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（二）</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有下列情况之一，其报价不仅被视为无效，而且采购人将严格按照相关法律、法规及规章制度的规定行使权利并没收其</w:t>
      </w:r>
      <w:r>
        <w:rPr>
          <w:rFonts w:hint="eastAsia" w:ascii="宋体" w:hAnsi="宋体" w:eastAsia="宋体" w:cs="宋体"/>
          <w:color w:val="auto"/>
          <w:szCs w:val="24"/>
          <w:highlight w:val="none"/>
          <w:lang w:eastAsia="zh-CN"/>
        </w:rPr>
        <w:t>磋商</w:t>
      </w:r>
      <w:r>
        <w:rPr>
          <w:rFonts w:hint="eastAsia" w:ascii="宋体" w:hAnsi="宋体" w:eastAsia="宋体" w:cs="宋体"/>
          <w:color w:val="auto"/>
          <w:szCs w:val="24"/>
          <w:highlight w:val="none"/>
        </w:rPr>
        <w:t>保证金。</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给采购人和采购代理机构造成损失的，应予以赔偿。</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在报价有效期内撤回报价。</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提供的有关资格、资质证明文件不真实或提供虚假材料。</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3</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以他人名义报价或者以其他方式弄虚作假，骗取成交。</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4</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向采购人、采购代理机构、评审小组成员提供不正当利益。</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5</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在整个报价、磋商、评审过程中，</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有企图影响成交结果公正性的任何活动或以任何方式诋毁其他</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或串通报价的。</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6</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成交</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不按规定签订合同的。</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7</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rPr>
        <w:t>法律、法规规定的其他情况。</w:t>
      </w:r>
    </w:p>
    <w:p>
      <w:pPr>
        <w:pStyle w:val="76"/>
        <w:pageBreakBefore w:val="0"/>
        <w:kinsoku/>
        <w:wordWrap/>
        <w:topLinePunct w:val="0"/>
        <w:bidi w:val="0"/>
        <w:adjustRightInd w:val="0"/>
        <w:snapToGrid w:val="0"/>
        <w:spacing w:afterAutospacing="0" w:line="360" w:lineRule="auto"/>
        <w:ind w:firstLine="506" w:firstLineChars="200"/>
        <w:jc w:val="both"/>
        <w:textAlignment w:val="auto"/>
        <w:outlineLvl w:val="1"/>
        <w:rPr>
          <w:rFonts w:hint="eastAsia" w:ascii="宋体" w:hAnsi="宋体" w:eastAsia="宋体" w:cs="宋体"/>
          <w:b/>
          <w:color w:val="auto"/>
          <w:sz w:val="24"/>
          <w:szCs w:val="24"/>
          <w:highlight w:val="none"/>
        </w:rPr>
      </w:pPr>
      <w:bookmarkStart w:id="149" w:name="_Toc6144"/>
      <w:bookmarkStart w:id="150" w:name="_Toc31042"/>
      <w:bookmarkStart w:id="151" w:name="_Toc183264293"/>
      <w:bookmarkStart w:id="152" w:name="_Toc30729"/>
      <w:bookmarkStart w:id="153" w:name="_Toc5047"/>
      <w:bookmarkStart w:id="154" w:name="_Toc23024"/>
      <w:bookmarkStart w:id="155" w:name="_Toc29036"/>
      <w:bookmarkStart w:id="156" w:name="_Toc10471"/>
      <w:bookmarkStart w:id="157" w:name="_Toc2442"/>
      <w:bookmarkStart w:id="158" w:name="_Toc17395"/>
      <w:bookmarkStart w:id="159" w:name="_Toc32375"/>
      <w:bookmarkStart w:id="160" w:name="_Toc24064"/>
      <w:bookmarkStart w:id="161" w:name="_Toc22049"/>
      <w:r>
        <w:rPr>
          <w:rFonts w:hint="eastAsia" w:ascii="宋体" w:hAnsi="宋体" w:eastAsia="宋体" w:cs="宋体"/>
          <w:b/>
          <w:color w:val="auto"/>
          <w:sz w:val="24"/>
          <w:szCs w:val="24"/>
          <w:highlight w:val="none"/>
        </w:rPr>
        <w:t>十、解释权</w:t>
      </w:r>
      <w:bookmarkEnd w:id="149"/>
      <w:bookmarkEnd w:id="150"/>
      <w:bookmarkEnd w:id="151"/>
      <w:bookmarkEnd w:id="152"/>
      <w:bookmarkEnd w:id="153"/>
      <w:bookmarkEnd w:id="154"/>
      <w:bookmarkEnd w:id="155"/>
      <w:bookmarkEnd w:id="156"/>
      <w:bookmarkEnd w:id="157"/>
      <w:bookmarkEnd w:id="158"/>
      <w:bookmarkEnd w:id="159"/>
      <w:bookmarkEnd w:id="160"/>
      <w:bookmarkEnd w:id="161"/>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1.本次采购的最终解释权为采购代理机构，当对一个问题有多种解释时以采购代理机构的书面解释为准。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2.竞争性磋商文件未做明示，而又有相关法律、法规规定的，采购代理机构对此所做解释以相关的法律、法规的规定为依据。</w:t>
      </w:r>
      <w:bookmarkStart w:id="162" w:name="_Toc21217"/>
    </w:p>
    <w:p>
      <w:pPr>
        <w:pStyle w:val="50"/>
        <w:pageBreakBefore w:val="0"/>
        <w:kinsoku/>
        <w:wordWrap/>
        <w:topLinePunct w:val="0"/>
        <w:bidi w:val="0"/>
        <w:adjustRightInd w:val="0"/>
        <w:snapToGrid w:val="0"/>
        <w:spacing w:afterAutospacing="0" w:line="360" w:lineRule="auto"/>
        <w:ind w:firstLine="506"/>
        <w:textAlignment w:val="auto"/>
        <w:outlineLvl w:val="1"/>
        <w:rPr>
          <w:rFonts w:hint="eastAsia" w:ascii="宋体" w:hAnsi="宋体" w:eastAsia="宋体" w:cs="宋体"/>
          <w:b/>
          <w:bCs/>
          <w:color w:val="auto"/>
          <w:szCs w:val="24"/>
          <w:highlight w:val="none"/>
        </w:rPr>
      </w:pPr>
      <w:bookmarkStart w:id="163" w:name="_Toc1044"/>
      <w:bookmarkStart w:id="164" w:name="_Toc24033"/>
      <w:bookmarkStart w:id="165" w:name="_Toc11256"/>
      <w:bookmarkStart w:id="166" w:name="_Toc26022"/>
      <w:bookmarkStart w:id="167" w:name="_Toc28566"/>
      <w:bookmarkStart w:id="168" w:name="_Toc13972"/>
      <w:bookmarkStart w:id="169" w:name="_Toc32739"/>
      <w:bookmarkStart w:id="170" w:name="_Toc13322"/>
      <w:bookmarkStart w:id="171" w:name="_Toc520"/>
      <w:bookmarkStart w:id="172" w:name="_Toc31752"/>
      <w:r>
        <w:rPr>
          <w:rFonts w:hint="eastAsia" w:ascii="宋体" w:hAnsi="宋体" w:eastAsia="宋体" w:cs="宋体"/>
          <w:b/>
          <w:bCs/>
          <w:color w:val="auto"/>
          <w:szCs w:val="24"/>
          <w:highlight w:val="none"/>
        </w:rPr>
        <w:t>十</w:t>
      </w:r>
      <w:r>
        <w:rPr>
          <w:rFonts w:hint="eastAsia" w:ascii="宋体" w:hAnsi="宋体" w:cs="宋体"/>
          <w:b/>
          <w:bCs/>
          <w:color w:val="auto"/>
          <w:szCs w:val="24"/>
          <w:highlight w:val="none"/>
          <w:lang w:eastAsia="zh-CN"/>
        </w:rPr>
        <w:t>一</w:t>
      </w:r>
      <w:r>
        <w:rPr>
          <w:rFonts w:hint="eastAsia" w:ascii="宋体" w:hAnsi="宋体" w:eastAsia="宋体" w:cs="宋体"/>
          <w:b/>
          <w:bCs/>
          <w:color w:val="auto"/>
          <w:szCs w:val="24"/>
          <w:highlight w:val="none"/>
        </w:rPr>
        <w:t>、质疑</w:t>
      </w:r>
      <w:bookmarkEnd w:id="162"/>
      <w:bookmarkEnd w:id="163"/>
      <w:bookmarkEnd w:id="164"/>
      <w:bookmarkEnd w:id="165"/>
      <w:bookmarkEnd w:id="166"/>
      <w:bookmarkEnd w:id="167"/>
      <w:bookmarkEnd w:id="168"/>
      <w:bookmarkEnd w:id="169"/>
      <w:bookmarkEnd w:id="170"/>
      <w:bookmarkEnd w:id="171"/>
      <w:bookmarkEnd w:id="172"/>
      <w:r>
        <w:rPr>
          <w:rFonts w:hint="eastAsia" w:ascii="宋体" w:hAnsi="宋体" w:eastAsia="宋体" w:cs="宋体"/>
          <w:b/>
          <w:bCs/>
          <w:color w:val="auto"/>
          <w:szCs w:val="24"/>
          <w:highlight w:val="none"/>
        </w:rPr>
        <w:t xml:space="preserve"> </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对采购活动事项有疑问的，可以向采购人或采购代理机构提出询问，采购人或采购代理机构将依法作出答复，但答复的内容不涉及商业秘密。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认为评审过程和成交结果使自己的合法权益受到损害的，可以在知道或者应当知道其权益受到损害之日起7个工作日内，以书面形式向采购人或采购代理机构提出质疑，超过期限不予受理。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3.质疑文件应包括以下主要内容，并按照“谁主张、谁举证”的原则，附上相关证明材料。否则，采购人或采购代理机构不予受理：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（1）质疑项目名称、项目编号、公告发布时间、公开报价时间；</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（2）具体的质疑事项及法律依据（具体条款）；</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（3）质疑相关证明文件或证明材料；</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（4）质疑</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名称、地址、联系方式（包括手机、传真号码）；</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（5）法定代表人签署本人姓名或印盖本人姓名章并加盖单位公章，或法定代表人特别授权加盖单位公章，并由参加采购项目的授权代表签署本人姓名或印盖本人姓名章等。</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4.</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不得虚假质疑和恶意质疑，并对质疑内容的真实性承担责任。</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或者其他利害关系人通过捏造事实、伪造证明材料等方式提出异议或投诉，阻碍采购活动正常进行的，属于严重不良行为，采购人或采购代理机构将提请财政部门列入不良行为记录名单，并依法予以处罚。</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highlight w:val="none"/>
        </w:rPr>
      </w:pPr>
      <w:r>
        <w:rPr>
          <w:rFonts w:hint="eastAsia" w:ascii="宋体" w:hAnsi="宋体" w:eastAsia="宋体" w:cs="宋体"/>
          <w:color w:val="auto"/>
          <w:szCs w:val="24"/>
          <w:highlight w:val="none"/>
        </w:rPr>
        <w:t>5.采购人或采购代理机构在收到</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的书面质疑后将及时组织调查核实，在7个工作日内作出答复，并以书面或在网站公告形式通知质疑</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和其他有关</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，答复的内容不涉及商业秘密。</w:t>
      </w:r>
      <w:bookmarkStart w:id="173" w:name="_Toc338"/>
      <w:bookmarkStart w:id="174" w:name="_Toc31466"/>
      <w:bookmarkStart w:id="175" w:name="_Toc6403"/>
      <w:bookmarkStart w:id="176" w:name="_Toc17414"/>
      <w:bookmarkStart w:id="177" w:name="_Toc20788"/>
      <w:bookmarkStart w:id="178" w:name="_Toc14576"/>
      <w:r>
        <w:rPr>
          <w:rFonts w:hint="eastAsia" w:ascii="宋体" w:hAnsi="宋体" w:eastAsia="宋体" w:cs="宋体"/>
          <w:color w:val="auto"/>
          <w:highlight w:val="none"/>
        </w:rPr>
        <w:br w:type="page"/>
      </w:r>
    </w:p>
    <w:p>
      <w:pPr>
        <w:pStyle w:val="4"/>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rPr>
        <w:t>第三部分  项目基本情况</w:t>
      </w:r>
      <w:bookmarkEnd w:id="173"/>
      <w:bookmarkEnd w:id="174"/>
      <w:bookmarkEnd w:id="175"/>
      <w:bookmarkEnd w:id="176"/>
      <w:bookmarkEnd w:id="177"/>
      <w:bookmarkEnd w:id="178"/>
    </w:p>
    <w:p>
      <w:pPr>
        <w:pStyle w:val="76"/>
        <w:pageBreakBefore w:val="0"/>
        <w:kinsoku/>
        <w:wordWrap/>
        <w:topLinePunct w:val="0"/>
        <w:bidi w:val="0"/>
        <w:adjustRightInd w:val="0"/>
        <w:snapToGrid w:val="0"/>
        <w:spacing w:afterAutospacing="0" w:line="360" w:lineRule="auto"/>
        <w:jc w:val="left"/>
        <w:textAlignment w:val="auto"/>
        <w:rPr>
          <w:rFonts w:hint="eastAsia" w:ascii="宋体" w:hAnsi="宋体" w:eastAsia="宋体" w:cs="宋体"/>
          <w:b/>
          <w:color w:val="auto"/>
          <w:sz w:val="24"/>
          <w:szCs w:val="24"/>
          <w:highlight w:val="none"/>
        </w:rPr>
      </w:pPr>
      <w:bookmarkStart w:id="179" w:name="_Toc426379915"/>
      <w:r>
        <w:rPr>
          <w:rFonts w:hint="eastAsia" w:ascii="宋体" w:hAnsi="宋体" w:eastAsia="宋体" w:cs="宋体"/>
          <w:b/>
          <w:color w:val="auto"/>
          <w:sz w:val="24"/>
          <w:szCs w:val="24"/>
          <w:highlight w:val="none"/>
        </w:rPr>
        <w:t>一、工程概况</w:t>
      </w:r>
      <w:bookmarkEnd w:id="179"/>
    </w:p>
    <w:p>
      <w:pPr>
        <w:pageBreakBefore w:val="0"/>
        <w:widowControl/>
        <w:kinsoku/>
        <w:wordWrap/>
        <w:overflowPunct/>
        <w:topLinePunct w:val="0"/>
        <w:autoSpaceDE/>
        <w:autoSpaceDN/>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1、项目名称：</w:t>
      </w:r>
      <w:r>
        <w:rPr>
          <w:rFonts w:hint="eastAsia" w:ascii="宋体" w:hAnsi="宋体" w:cs="宋体"/>
          <w:color w:val="auto"/>
          <w:sz w:val="24"/>
          <w:szCs w:val="24"/>
          <w:highlight w:val="none"/>
          <w:lang w:eastAsia="zh-CN"/>
        </w:rPr>
        <w:t>济南高新技术产业开发区临港街道办事处（章锦街道办事处）东岸嘉园社区党群服务中心打造提升项目</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2、项目编号：</w:t>
      </w:r>
      <w:r>
        <w:rPr>
          <w:rFonts w:hint="eastAsia" w:ascii="宋体" w:hAnsi="宋体"/>
          <w:color w:val="000000"/>
          <w:sz w:val="24"/>
          <w:szCs w:val="24"/>
          <w:highlight w:val="none"/>
          <w:lang w:eastAsia="zh-CN"/>
        </w:rPr>
        <w:t>SDLD2019CS048</w:t>
      </w:r>
    </w:p>
    <w:p>
      <w:pPr>
        <w:pageBreakBefore w:val="0"/>
        <w:widowControl/>
        <w:kinsoku/>
        <w:wordWrap/>
        <w:overflowPunct/>
        <w:topLinePunct w:val="0"/>
        <w:autoSpaceDE/>
        <w:autoSpaceDN/>
        <w:bidi w:val="0"/>
        <w:adjustRightInd w:val="0"/>
        <w:snapToGrid w:val="0"/>
        <w:spacing w:afterAutospacing="0" w:line="360" w:lineRule="auto"/>
        <w:ind w:firstLine="480" w:firstLineChars="200"/>
        <w:textAlignment w:val="auto"/>
        <w:rPr>
          <w:rFonts w:hint="eastAsia" w:ascii="宋体" w:hAnsi="宋体" w:eastAsia="宋体" w:cs="宋体"/>
          <w:strike/>
          <w:color w:val="auto"/>
          <w:sz w:val="24"/>
          <w:szCs w:val="24"/>
          <w:highlight w:val="none"/>
        </w:rPr>
      </w:pPr>
      <w:r>
        <w:rPr>
          <w:rFonts w:hint="eastAsia" w:ascii="宋体" w:hAnsi="宋体" w:eastAsia="宋体" w:cs="宋体"/>
          <w:color w:val="auto"/>
          <w:sz w:val="24"/>
          <w:szCs w:val="24"/>
          <w:highlight w:val="none"/>
        </w:rPr>
        <w:t>3、工程概况</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pacing w:val="6"/>
          <w:sz w:val="24"/>
          <w:szCs w:val="24"/>
          <w:highlight w:val="none"/>
        </w:rPr>
        <w:t>本项目为</w:t>
      </w:r>
      <w:r>
        <w:rPr>
          <w:rFonts w:hint="eastAsia" w:ascii="宋体" w:hAnsi="宋体" w:cs="宋体"/>
          <w:color w:val="auto"/>
          <w:sz w:val="24"/>
          <w:szCs w:val="24"/>
          <w:highlight w:val="none"/>
          <w:lang w:eastAsia="zh-CN"/>
        </w:rPr>
        <w:t>济南高新技术产业开发区临港街道办事处（章锦街道办事处）东岸嘉园社区党群服务中心打造提升项目</w:t>
      </w:r>
      <w:r>
        <w:rPr>
          <w:rFonts w:hint="eastAsia" w:ascii="宋体" w:hAnsi="宋体" w:eastAsia="宋体" w:cs="宋体"/>
          <w:color w:val="auto"/>
          <w:sz w:val="24"/>
          <w:szCs w:val="24"/>
          <w:highlight w:val="none"/>
        </w:rPr>
        <w:t>，具体详见工程量清单。本项目控制价金额为</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万元，共1个包，工程内容包括清单范围内全部工程。</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须对本项目完全响应。</w:t>
      </w:r>
    </w:p>
    <w:p>
      <w:pPr>
        <w:pStyle w:val="76"/>
        <w:pageBreakBefore w:val="0"/>
        <w:kinsoku/>
        <w:wordWrap/>
        <w:topLinePunct w:val="0"/>
        <w:bidi w:val="0"/>
        <w:adjustRightInd w:val="0"/>
        <w:snapToGrid w:val="0"/>
        <w:spacing w:afterAutospacing="0" w:line="360" w:lineRule="auto"/>
        <w:jc w:val="left"/>
        <w:textAlignment w:val="auto"/>
        <w:rPr>
          <w:rFonts w:hint="eastAsia" w:ascii="宋体" w:hAnsi="宋体" w:eastAsia="宋体" w:cs="宋体"/>
          <w:b/>
          <w:color w:val="auto"/>
          <w:sz w:val="24"/>
          <w:szCs w:val="24"/>
          <w:highlight w:val="none"/>
        </w:rPr>
      </w:pPr>
      <w:bookmarkStart w:id="180" w:name="_Toc426379916"/>
      <w:r>
        <w:rPr>
          <w:rFonts w:hint="eastAsia" w:ascii="宋体" w:hAnsi="宋体" w:eastAsia="宋体" w:cs="宋体"/>
          <w:b/>
          <w:bCs/>
          <w:color w:val="auto"/>
          <w:sz w:val="24"/>
          <w:szCs w:val="24"/>
          <w:highlight w:val="none"/>
        </w:rPr>
        <w:t>二、</w:t>
      </w:r>
      <w:r>
        <w:rPr>
          <w:rFonts w:hint="eastAsia" w:ascii="宋体" w:hAnsi="宋体" w:eastAsia="宋体" w:cs="宋体"/>
          <w:b/>
          <w:color w:val="auto"/>
          <w:sz w:val="24"/>
          <w:szCs w:val="24"/>
          <w:highlight w:val="none"/>
          <w:lang w:eastAsia="zh-CN"/>
        </w:rPr>
        <w:t>采购</w:t>
      </w:r>
      <w:r>
        <w:rPr>
          <w:rFonts w:hint="eastAsia" w:ascii="宋体" w:hAnsi="宋体" w:eastAsia="宋体" w:cs="宋体"/>
          <w:b/>
          <w:color w:val="auto"/>
          <w:sz w:val="24"/>
          <w:szCs w:val="24"/>
          <w:highlight w:val="none"/>
        </w:rPr>
        <w:t>范围</w:t>
      </w:r>
      <w:bookmarkEnd w:id="180"/>
    </w:p>
    <w:p>
      <w:pPr>
        <w:pStyle w:val="76"/>
        <w:pageBreakBefore w:val="0"/>
        <w:kinsoku/>
        <w:wordWrap/>
        <w:topLinePunct w:val="0"/>
        <w:bidi w:val="0"/>
        <w:adjustRightInd w:val="0"/>
        <w:snapToGrid w:val="0"/>
        <w:spacing w:afterAutospacing="0" w:line="360" w:lineRule="auto"/>
        <w:ind w:firstLine="504" w:firstLineChars="200"/>
        <w:jc w:val="left"/>
        <w:textAlignment w:val="auto"/>
        <w:rPr>
          <w:rFonts w:hint="eastAsia" w:ascii="宋体" w:hAnsi="宋体" w:eastAsia="宋体" w:cs="宋体"/>
          <w:color w:val="auto"/>
          <w:spacing w:val="6"/>
          <w:sz w:val="24"/>
          <w:szCs w:val="24"/>
          <w:highlight w:val="none"/>
          <w:lang w:val="en-US" w:eastAsia="zh-CN" w:bidi="ar-SA"/>
        </w:rPr>
      </w:pPr>
      <w:r>
        <w:rPr>
          <w:rFonts w:hint="eastAsia" w:ascii="宋体" w:hAnsi="宋体" w:eastAsia="宋体" w:cs="宋体"/>
          <w:color w:val="auto"/>
          <w:spacing w:val="6"/>
          <w:sz w:val="24"/>
          <w:szCs w:val="24"/>
          <w:highlight w:val="none"/>
          <w:lang w:val="en-US" w:eastAsia="zh-CN" w:bidi="ar-SA"/>
        </w:rPr>
        <w:t>工程内容包括清单范围内全部工程。</w:t>
      </w:r>
    </w:p>
    <w:p>
      <w:pPr>
        <w:pStyle w:val="76"/>
        <w:pageBreakBefore w:val="0"/>
        <w:kinsoku/>
        <w:wordWrap/>
        <w:topLinePunct w:val="0"/>
        <w:bidi w:val="0"/>
        <w:adjustRightInd w:val="0"/>
        <w:snapToGrid w:val="0"/>
        <w:spacing w:afterAutospacing="0" w:line="360" w:lineRule="auto"/>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三、重点说明</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成交供应商</w:t>
      </w:r>
      <w:r>
        <w:rPr>
          <w:rFonts w:hint="eastAsia" w:ascii="宋体" w:hAnsi="宋体" w:eastAsia="宋体" w:cs="宋体"/>
          <w:bCs/>
          <w:color w:val="auto"/>
          <w:sz w:val="24"/>
          <w:szCs w:val="24"/>
          <w:highlight w:val="none"/>
        </w:rPr>
        <w:t>对施工中的一切安全问题包括自身施工人员及施工现场周围的安全负全责。</w:t>
      </w:r>
    </w:p>
    <w:p>
      <w:pPr>
        <w:pStyle w:val="50"/>
        <w:pageBreakBefore w:val="0"/>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四、工程量清单</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详见附</w:t>
      </w:r>
      <w:r>
        <w:rPr>
          <w:rFonts w:hint="eastAsia" w:ascii="宋体" w:hAnsi="宋体" w:cs="宋体"/>
          <w:bCs/>
          <w:color w:val="auto"/>
          <w:sz w:val="24"/>
          <w:szCs w:val="24"/>
          <w:highlight w:val="none"/>
          <w:lang w:eastAsia="zh-CN"/>
        </w:rPr>
        <w:t>件</w:t>
      </w:r>
    </w:p>
    <w:p>
      <w:pPr>
        <w:pStyle w:val="50"/>
        <w:pageBreakBefore w:val="0"/>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五、技术要求</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1、用于本工程的材料、设备、施工等必须达到现行中华人民共和国及省、市、行业的一切有关法规、规范的要求，所使用的材料必须达到国家环境</w:t>
      </w:r>
      <w:r>
        <w:rPr>
          <w:rFonts w:hint="eastAsia" w:ascii="宋体" w:hAnsi="宋体" w:cs="宋体"/>
          <w:bCs/>
          <w:color w:val="auto"/>
          <w:sz w:val="24"/>
          <w:szCs w:val="24"/>
          <w:highlight w:val="none"/>
          <w:lang w:eastAsia="zh-CN"/>
        </w:rPr>
        <w:t>检测</w:t>
      </w:r>
      <w:r>
        <w:rPr>
          <w:rFonts w:hint="eastAsia" w:ascii="宋体" w:hAnsi="宋体" w:eastAsia="宋体" w:cs="宋体"/>
          <w:bCs/>
          <w:color w:val="auto"/>
          <w:sz w:val="24"/>
          <w:szCs w:val="24"/>
          <w:highlight w:val="none"/>
        </w:rPr>
        <w:t>标准，必须为环保、安全材料，材料进场必须提供国家相关</w:t>
      </w:r>
      <w:r>
        <w:rPr>
          <w:rFonts w:hint="eastAsia" w:ascii="宋体" w:hAnsi="宋体" w:cs="宋体"/>
          <w:bCs/>
          <w:color w:val="auto"/>
          <w:sz w:val="24"/>
          <w:szCs w:val="24"/>
          <w:highlight w:val="none"/>
          <w:lang w:eastAsia="zh-CN"/>
        </w:rPr>
        <w:t>检测</w:t>
      </w:r>
      <w:r>
        <w:rPr>
          <w:rFonts w:hint="eastAsia" w:ascii="宋体" w:hAnsi="宋体" w:eastAsia="宋体" w:cs="宋体"/>
          <w:bCs/>
          <w:color w:val="auto"/>
          <w:sz w:val="24"/>
          <w:szCs w:val="24"/>
          <w:highlight w:val="none"/>
        </w:rPr>
        <w:t>证明，</w:t>
      </w:r>
      <w:r>
        <w:rPr>
          <w:rFonts w:hint="eastAsia" w:ascii="宋体" w:hAnsi="宋体" w:eastAsia="宋体" w:cs="宋体"/>
          <w:bCs/>
          <w:color w:val="auto"/>
          <w:sz w:val="24"/>
          <w:szCs w:val="24"/>
          <w:highlight w:val="none"/>
          <w:lang w:eastAsia="zh-CN"/>
        </w:rPr>
        <w:t>采购人</w:t>
      </w:r>
      <w:r>
        <w:rPr>
          <w:rFonts w:hint="eastAsia" w:ascii="宋体" w:hAnsi="宋体" w:eastAsia="宋体" w:cs="宋体"/>
          <w:bCs/>
          <w:color w:val="auto"/>
          <w:sz w:val="24"/>
          <w:szCs w:val="24"/>
          <w:highlight w:val="none"/>
        </w:rPr>
        <w:t>将安排专项负责人负责验收。施工完成后</w:t>
      </w:r>
      <w:r>
        <w:rPr>
          <w:rFonts w:hint="eastAsia" w:ascii="宋体" w:hAnsi="宋体" w:eastAsia="宋体" w:cs="宋体"/>
          <w:bCs/>
          <w:color w:val="auto"/>
          <w:sz w:val="24"/>
          <w:szCs w:val="24"/>
          <w:highlight w:val="none"/>
          <w:lang w:eastAsia="zh-CN"/>
        </w:rPr>
        <w:t>采购人</w:t>
      </w:r>
      <w:r>
        <w:rPr>
          <w:rFonts w:hint="eastAsia" w:ascii="宋体" w:hAnsi="宋体" w:eastAsia="宋体" w:cs="宋体"/>
          <w:bCs/>
          <w:color w:val="auto"/>
          <w:sz w:val="24"/>
          <w:szCs w:val="24"/>
          <w:highlight w:val="none"/>
        </w:rPr>
        <w:t>将组织检测和验收。如检测不合格工程不予验收。</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2、执行国家、省、市现行的建设工程施工及工程质量验收规范、施工技术标准、程序及工程建设的强制性标准。</w:t>
      </w:r>
    </w:p>
    <w:p>
      <w:pPr>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br w:type="page"/>
      </w:r>
    </w:p>
    <w:p>
      <w:pPr>
        <w:pStyle w:val="4"/>
        <w:pageBreakBefore w:val="0"/>
        <w:kinsoku/>
        <w:wordWrap/>
        <w:topLinePunct w:val="0"/>
        <w:bidi w:val="0"/>
        <w:adjustRightInd w:val="0"/>
        <w:snapToGrid w:val="0"/>
        <w:spacing w:before="0" w:after="0" w:afterAutospacing="0" w:line="360" w:lineRule="auto"/>
        <w:jc w:val="center"/>
        <w:textAlignment w:val="auto"/>
        <w:rPr>
          <w:rFonts w:hint="default" w:ascii="宋体" w:hAnsi="宋体" w:eastAsia="宋体" w:cs="宋体"/>
          <w:color w:val="auto"/>
          <w:highlight w:val="none"/>
          <w:lang w:val="en-US" w:eastAsia="zh-CN"/>
        </w:rPr>
      </w:pPr>
      <w:bookmarkStart w:id="181" w:name="_Toc11833"/>
      <w:bookmarkStart w:id="182" w:name="_Toc26089"/>
      <w:bookmarkStart w:id="183" w:name="_Toc28697"/>
      <w:bookmarkStart w:id="184" w:name="_Toc10988"/>
      <w:bookmarkStart w:id="185" w:name="_Toc373"/>
      <w:bookmarkStart w:id="186" w:name="_Toc31891"/>
      <w:bookmarkStart w:id="187" w:name="_Toc31719"/>
      <w:bookmarkStart w:id="188" w:name="_Toc5388"/>
      <w:bookmarkStart w:id="189" w:name="_Toc6787"/>
      <w:bookmarkStart w:id="190" w:name="_Toc10122"/>
      <w:r>
        <w:rPr>
          <w:rFonts w:hint="eastAsia" w:ascii="宋体" w:hAnsi="宋体" w:eastAsia="宋体" w:cs="宋体"/>
          <w:color w:val="auto"/>
          <w:highlight w:val="none"/>
        </w:rPr>
        <w:t xml:space="preserve">第四部分  </w:t>
      </w:r>
      <w:bookmarkEnd w:id="181"/>
      <w:bookmarkEnd w:id="182"/>
      <w:bookmarkEnd w:id="183"/>
      <w:bookmarkEnd w:id="184"/>
      <w:bookmarkEnd w:id="185"/>
      <w:bookmarkEnd w:id="186"/>
      <w:bookmarkEnd w:id="187"/>
      <w:bookmarkEnd w:id="188"/>
      <w:r>
        <w:rPr>
          <w:rFonts w:hint="eastAsia" w:ascii="宋体" w:hAnsi="宋体" w:cs="宋体"/>
          <w:color w:val="auto"/>
          <w:highlight w:val="none"/>
          <w:lang w:eastAsia="zh-CN"/>
        </w:rPr>
        <w:t>磋商</w:t>
      </w:r>
      <w:r>
        <w:rPr>
          <w:rFonts w:hint="eastAsia" w:ascii="宋体" w:hAnsi="宋体" w:eastAsia="宋体" w:cs="宋体"/>
          <w:color w:val="auto"/>
          <w:highlight w:val="none"/>
        </w:rPr>
        <w:t>、</w:t>
      </w:r>
      <w:r>
        <w:rPr>
          <w:rFonts w:hint="eastAsia" w:ascii="宋体" w:hAnsi="宋体" w:cs="宋体"/>
          <w:color w:val="auto"/>
          <w:highlight w:val="none"/>
          <w:lang w:eastAsia="zh-CN"/>
        </w:rPr>
        <w:t>评审</w:t>
      </w:r>
      <w:r>
        <w:rPr>
          <w:rFonts w:hint="eastAsia" w:ascii="宋体" w:hAnsi="宋体" w:eastAsia="宋体" w:cs="宋体"/>
          <w:color w:val="auto"/>
          <w:highlight w:val="none"/>
        </w:rPr>
        <w:t>、</w:t>
      </w:r>
      <w:bookmarkEnd w:id="189"/>
      <w:r>
        <w:rPr>
          <w:rFonts w:hint="eastAsia" w:ascii="宋体" w:hAnsi="宋体" w:cs="宋体"/>
          <w:color w:val="auto"/>
          <w:highlight w:val="none"/>
          <w:lang w:eastAsia="zh-CN"/>
        </w:rPr>
        <w:t>成交</w:t>
      </w:r>
      <w:r>
        <w:rPr>
          <w:rFonts w:hint="eastAsia" w:ascii="宋体" w:hAnsi="宋体" w:cs="宋体"/>
          <w:color w:val="auto"/>
          <w:highlight w:val="none"/>
          <w:lang w:val="en-US" w:eastAsia="zh-CN"/>
        </w:rPr>
        <w:t xml:space="preserve"> </w:t>
      </w:r>
    </w:p>
    <w:p>
      <w:pPr>
        <w:pStyle w:val="76"/>
        <w:pageBreakBefore w:val="0"/>
        <w:kinsoku/>
        <w:wordWrap/>
        <w:topLinePunct w:val="0"/>
        <w:bidi w:val="0"/>
        <w:adjustRightInd w:val="0"/>
        <w:snapToGrid w:val="0"/>
        <w:spacing w:afterAutospacing="0" w:line="360" w:lineRule="auto"/>
        <w:textAlignment w:val="auto"/>
        <w:outlineLvl w:val="1"/>
        <w:rPr>
          <w:rFonts w:hint="eastAsia" w:ascii="宋体" w:hAnsi="宋体" w:eastAsia="宋体" w:cs="宋体"/>
          <w:color w:val="auto"/>
          <w:sz w:val="24"/>
          <w:szCs w:val="24"/>
          <w:highlight w:val="none"/>
        </w:rPr>
      </w:pPr>
      <w:bookmarkStart w:id="191" w:name="_Toc426379919"/>
      <w:bookmarkStart w:id="192" w:name="_Toc426379371"/>
      <w:r>
        <w:rPr>
          <w:rFonts w:hint="eastAsia" w:ascii="宋体" w:hAnsi="宋体" w:eastAsia="宋体" w:cs="宋体"/>
          <w:b/>
          <w:color w:val="auto"/>
          <w:sz w:val="24"/>
          <w:szCs w:val="24"/>
          <w:highlight w:val="none"/>
        </w:rPr>
        <w:t>一、</w:t>
      </w:r>
      <w:r>
        <w:rPr>
          <w:rFonts w:hint="eastAsia" w:ascii="宋体" w:hAnsi="宋体" w:eastAsia="宋体" w:cs="宋体"/>
          <w:b/>
          <w:color w:val="auto"/>
          <w:sz w:val="24"/>
          <w:szCs w:val="24"/>
          <w:highlight w:val="none"/>
          <w:lang w:eastAsia="zh-CN"/>
        </w:rPr>
        <w:t>报价文件</w:t>
      </w:r>
      <w:r>
        <w:rPr>
          <w:rFonts w:hint="eastAsia" w:ascii="宋体" w:hAnsi="宋体" w:eastAsia="宋体" w:cs="宋体"/>
          <w:b/>
          <w:color w:val="auto"/>
          <w:sz w:val="24"/>
          <w:szCs w:val="24"/>
          <w:highlight w:val="none"/>
        </w:rPr>
        <w:t>的递交及</w:t>
      </w:r>
      <w:r>
        <w:rPr>
          <w:rFonts w:hint="eastAsia" w:ascii="宋体" w:hAnsi="宋体" w:eastAsia="宋体" w:cs="宋体"/>
          <w:b/>
          <w:color w:val="auto"/>
          <w:sz w:val="24"/>
          <w:szCs w:val="24"/>
          <w:highlight w:val="none"/>
          <w:lang w:eastAsia="zh-CN"/>
        </w:rPr>
        <w:t>磋商</w:t>
      </w:r>
      <w:r>
        <w:rPr>
          <w:rFonts w:hint="eastAsia" w:ascii="宋体" w:hAnsi="宋体" w:eastAsia="宋体" w:cs="宋体"/>
          <w:b/>
          <w:color w:val="auto"/>
          <w:sz w:val="24"/>
          <w:szCs w:val="24"/>
          <w:highlight w:val="none"/>
        </w:rPr>
        <w:t>仪式</w:t>
      </w:r>
      <w:bookmarkEnd w:id="191"/>
      <w:bookmarkEnd w:id="192"/>
    </w:p>
    <w:p>
      <w:pPr>
        <w:pStyle w:val="50"/>
        <w:pageBreakBefore w:val="0"/>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递交时间、地点：</w:t>
      </w:r>
    </w:p>
    <w:p>
      <w:pPr>
        <w:pStyle w:val="50"/>
        <w:pageBreakBefore w:val="0"/>
        <w:numPr>
          <w:ilvl w:val="0"/>
          <w:numId w:val="0"/>
        </w:numPr>
        <w:kinsoku/>
        <w:wordWrap/>
        <w:topLinePunct w:val="0"/>
        <w:bidi w:val="0"/>
        <w:adjustRightInd w:val="0"/>
        <w:snapToGrid w:val="0"/>
        <w:spacing w:afterAutospacing="0" w:line="360" w:lineRule="auto"/>
        <w:ind w:firstLine="252" w:firstLineChars="1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详见前附表。</w:t>
      </w:r>
    </w:p>
    <w:p>
      <w:pPr>
        <w:pStyle w:val="50"/>
        <w:pageBreakBefore w:val="0"/>
        <w:numPr>
          <w:ilvl w:val="0"/>
          <w:numId w:val="2"/>
        </w:numPr>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磋商</w:t>
      </w:r>
      <w:r>
        <w:rPr>
          <w:rFonts w:hint="eastAsia" w:ascii="宋体" w:hAnsi="宋体" w:eastAsia="宋体" w:cs="宋体"/>
          <w:color w:val="auto"/>
          <w:sz w:val="24"/>
          <w:szCs w:val="24"/>
          <w:highlight w:val="none"/>
        </w:rPr>
        <w:t>时间、地点</w:t>
      </w:r>
    </w:p>
    <w:p>
      <w:pPr>
        <w:pStyle w:val="50"/>
        <w:pageBreakBefore w:val="0"/>
        <w:numPr>
          <w:ilvl w:val="0"/>
          <w:numId w:val="0"/>
        </w:numPr>
        <w:kinsoku/>
        <w:wordWrap/>
        <w:topLinePunct w:val="0"/>
        <w:bidi w:val="0"/>
        <w:adjustRightInd w:val="0"/>
        <w:snapToGrid w:val="0"/>
        <w:spacing w:afterAutospacing="0" w:line="360" w:lineRule="auto"/>
        <w:ind w:firstLine="252" w:firstLineChars="1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详见前附表。</w:t>
      </w:r>
    </w:p>
    <w:p>
      <w:pPr>
        <w:pStyle w:val="50"/>
        <w:pageBreakBefore w:val="0"/>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3、采购代理机构组织</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的递交，递交</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代表应签字确认。</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4、见证律师对各</w:t>
      </w:r>
      <w:r>
        <w:rPr>
          <w:rFonts w:hint="eastAsia" w:ascii="宋体" w:hAnsi="宋体" w:eastAsia="宋体" w:cs="宋体"/>
          <w:color w:val="auto"/>
          <w:spacing w:val="6"/>
          <w:sz w:val="24"/>
          <w:szCs w:val="24"/>
          <w:highlight w:val="none"/>
          <w:lang w:eastAsia="zh-CN"/>
        </w:rPr>
        <w:t>供应商</w:t>
      </w:r>
      <w:r>
        <w:rPr>
          <w:rFonts w:hint="eastAsia" w:ascii="宋体" w:hAnsi="宋体" w:eastAsia="宋体" w:cs="宋体"/>
          <w:color w:val="auto"/>
          <w:spacing w:val="6"/>
          <w:sz w:val="24"/>
          <w:szCs w:val="24"/>
          <w:highlight w:val="none"/>
        </w:rPr>
        <w:t>提交的</w:t>
      </w:r>
      <w:r>
        <w:rPr>
          <w:rFonts w:hint="eastAsia" w:ascii="宋体" w:hAnsi="宋体" w:eastAsia="宋体" w:cs="宋体"/>
          <w:color w:val="auto"/>
          <w:spacing w:val="6"/>
          <w:sz w:val="24"/>
          <w:szCs w:val="24"/>
          <w:highlight w:val="none"/>
          <w:lang w:eastAsia="zh-CN"/>
        </w:rPr>
        <w:t>报价文件</w:t>
      </w:r>
      <w:r>
        <w:rPr>
          <w:rFonts w:hint="eastAsia" w:ascii="宋体" w:hAnsi="宋体" w:eastAsia="宋体" w:cs="宋体"/>
          <w:color w:val="auto"/>
          <w:spacing w:val="6"/>
          <w:sz w:val="24"/>
          <w:szCs w:val="24"/>
          <w:highlight w:val="none"/>
        </w:rPr>
        <w:t>密封情况按签到顺序进行检查，并当场宣布检查结果。</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5、唱</w:t>
      </w:r>
      <w:r>
        <w:rPr>
          <w:rFonts w:hint="eastAsia" w:ascii="宋体" w:hAnsi="宋体" w:cs="宋体"/>
          <w:color w:val="auto"/>
          <w:spacing w:val="6"/>
          <w:sz w:val="24"/>
          <w:szCs w:val="24"/>
          <w:highlight w:val="none"/>
          <w:lang w:eastAsia="zh-CN"/>
        </w:rPr>
        <w:t>价</w:t>
      </w:r>
      <w:r>
        <w:rPr>
          <w:rFonts w:hint="eastAsia" w:ascii="宋体" w:hAnsi="宋体" w:eastAsia="宋体" w:cs="宋体"/>
          <w:color w:val="auto"/>
          <w:spacing w:val="6"/>
          <w:sz w:val="24"/>
          <w:szCs w:val="24"/>
          <w:highlight w:val="none"/>
        </w:rPr>
        <w:t>：工作人员当众按</w:t>
      </w:r>
      <w:r>
        <w:rPr>
          <w:rFonts w:hint="eastAsia" w:ascii="宋体" w:hAnsi="宋体" w:eastAsia="宋体" w:cs="宋体"/>
          <w:color w:val="auto"/>
          <w:spacing w:val="6"/>
          <w:sz w:val="24"/>
          <w:szCs w:val="24"/>
          <w:highlight w:val="none"/>
          <w:lang w:eastAsia="zh-CN"/>
        </w:rPr>
        <w:t>供应商</w:t>
      </w:r>
      <w:r>
        <w:rPr>
          <w:rFonts w:hint="eastAsia" w:ascii="宋体" w:hAnsi="宋体" w:eastAsia="宋体" w:cs="宋体"/>
          <w:color w:val="auto"/>
          <w:spacing w:val="6"/>
          <w:sz w:val="24"/>
          <w:szCs w:val="24"/>
          <w:highlight w:val="none"/>
        </w:rPr>
        <w:t>的签到顺序开启</w:t>
      </w:r>
      <w:r>
        <w:rPr>
          <w:rFonts w:hint="eastAsia" w:ascii="宋体" w:hAnsi="宋体" w:eastAsia="宋体" w:cs="宋体"/>
          <w:color w:val="auto"/>
          <w:spacing w:val="6"/>
          <w:sz w:val="24"/>
          <w:szCs w:val="24"/>
          <w:highlight w:val="none"/>
          <w:lang w:eastAsia="zh-CN"/>
        </w:rPr>
        <w:t>报价一览表</w:t>
      </w:r>
      <w:r>
        <w:rPr>
          <w:rFonts w:hint="eastAsia" w:ascii="宋体" w:hAnsi="宋体" w:eastAsia="宋体" w:cs="宋体"/>
          <w:color w:val="auto"/>
          <w:spacing w:val="6"/>
          <w:sz w:val="24"/>
          <w:szCs w:val="24"/>
          <w:highlight w:val="none"/>
        </w:rPr>
        <w:t>，唱</w:t>
      </w:r>
      <w:r>
        <w:rPr>
          <w:rFonts w:hint="eastAsia" w:ascii="宋体" w:hAnsi="宋体" w:cs="宋体"/>
          <w:color w:val="auto"/>
          <w:spacing w:val="6"/>
          <w:sz w:val="24"/>
          <w:szCs w:val="24"/>
          <w:highlight w:val="none"/>
          <w:lang w:eastAsia="zh-CN"/>
        </w:rPr>
        <w:t>价</w:t>
      </w:r>
      <w:r>
        <w:rPr>
          <w:rFonts w:hint="eastAsia" w:ascii="宋体" w:hAnsi="宋体" w:eastAsia="宋体" w:cs="宋体"/>
          <w:color w:val="auto"/>
          <w:spacing w:val="6"/>
          <w:sz w:val="24"/>
          <w:szCs w:val="24"/>
          <w:highlight w:val="none"/>
        </w:rPr>
        <w:t>员宣读</w:t>
      </w:r>
      <w:r>
        <w:rPr>
          <w:rFonts w:hint="eastAsia" w:ascii="宋体" w:hAnsi="宋体" w:eastAsia="宋体" w:cs="宋体"/>
          <w:color w:val="auto"/>
          <w:spacing w:val="6"/>
          <w:sz w:val="24"/>
          <w:szCs w:val="24"/>
          <w:highlight w:val="none"/>
          <w:lang w:eastAsia="zh-CN"/>
        </w:rPr>
        <w:t>供应商</w:t>
      </w:r>
      <w:r>
        <w:rPr>
          <w:rFonts w:hint="eastAsia" w:ascii="宋体" w:hAnsi="宋体" w:eastAsia="宋体" w:cs="宋体"/>
          <w:color w:val="auto"/>
          <w:spacing w:val="6"/>
          <w:sz w:val="24"/>
          <w:szCs w:val="24"/>
          <w:highlight w:val="none"/>
        </w:rPr>
        <w:t>名称、报价等主要内容，法定代表人或其授权代表现场签字确认。</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6、</w:t>
      </w:r>
      <w:r>
        <w:rPr>
          <w:rFonts w:hint="eastAsia" w:ascii="宋体" w:hAnsi="宋体" w:cs="宋体"/>
          <w:color w:val="auto"/>
          <w:spacing w:val="6"/>
          <w:sz w:val="24"/>
          <w:szCs w:val="24"/>
          <w:highlight w:val="none"/>
          <w:lang w:eastAsia="zh-CN"/>
        </w:rPr>
        <w:t>磋商</w:t>
      </w:r>
      <w:r>
        <w:rPr>
          <w:rFonts w:hint="eastAsia" w:ascii="宋体" w:hAnsi="宋体" w:eastAsia="宋体" w:cs="宋体"/>
          <w:color w:val="auto"/>
          <w:spacing w:val="6"/>
          <w:sz w:val="24"/>
          <w:szCs w:val="24"/>
          <w:highlight w:val="none"/>
        </w:rPr>
        <w:t>会议结束后，见证律师对供应商的</w:t>
      </w:r>
      <w:r>
        <w:rPr>
          <w:rFonts w:hint="eastAsia" w:ascii="宋体" w:hAnsi="宋体" w:eastAsia="宋体" w:cs="宋体"/>
          <w:color w:val="auto"/>
          <w:spacing w:val="6"/>
          <w:sz w:val="24"/>
          <w:szCs w:val="24"/>
          <w:highlight w:val="none"/>
          <w:lang w:eastAsia="zh-CN"/>
        </w:rPr>
        <w:t>供应商</w:t>
      </w:r>
      <w:r>
        <w:rPr>
          <w:rFonts w:hint="eastAsia" w:ascii="宋体" w:hAnsi="宋体" w:eastAsia="宋体" w:cs="宋体"/>
          <w:color w:val="auto"/>
          <w:spacing w:val="6"/>
          <w:sz w:val="24"/>
          <w:szCs w:val="24"/>
          <w:highlight w:val="none"/>
        </w:rPr>
        <w:t>相关资格证书进行审验。</w:t>
      </w:r>
    </w:p>
    <w:p>
      <w:pPr>
        <w:pageBreakBefore w:val="0"/>
        <w:kinsoku/>
        <w:wordWrap/>
        <w:topLinePunct w:val="0"/>
        <w:bidi w:val="0"/>
        <w:adjustRightInd w:val="0"/>
        <w:snapToGrid w:val="0"/>
        <w:spacing w:afterAutospacing="0" w:line="360" w:lineRule="auto"/>
        <w:ind w:firstLine="506" w:firstLineChars="200"/>
        <w:textAlignment w:val="auto"/>
        <w:rPr>
          <w:rFonts w:hint="eastAsia"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lang w:eastAsia="zh-CN"/>
        </w:rPr>
        <w:t>供应商</w:t>
      </w:r>
      <w:r>
        <w:rPr>
          <w:rFonts w:hint="eastAsia" w:ascii="宋体" w:hAnsi="宋体" w:cs="宋体"/>
          <w:b/>
          <w:bCs/>
          <w:color w:val="auto"/>
          <w:spacing w:val="6"/>
          <w:sz w:val="24"/>
          <w:szCs w:val="24"/>
          <w:highlight w:val="none"/>
          <w:lang w:eastAsia="zh-CN"/>
        </w:rPr>
        <w:t>须将</w:t>
      </w:r>
      <w:r>
        <w:rPr>
          <w:rFonts w:hint="eastAsia" w:ascii="宋体" w:hAnsi="宋体" w:eastAsia="宋体" w:cs="宋体"/>
          <w:b/>
          <w:bCs/>
          <w:color w:val="auto"/>
          <w:spacing w:val="6"/>
          <w:sz w:val="24"/>
          <w:szCs w:val="24"/>
          <w:highlight w:val="none"/>
        </w:rPr>
        <w:t>以下资质材料</w:t>
      </w:r>
      <w:r>
        <w:rPr>
          <w:rFonts w:hint="eastAsia" w:ascii="宋体" w:hAnsi="宋体" w:cs="宋体"/>
          <w:b/>
          <w:bCs/>
          <w:color w:val="auto"/>
          <w:spacing w:val="6"/>
          <w:sz w:val="24"/>
          <w:szCs w:val="24"/>
          <w:highlight w:val="none"/>
          <w:lang w:eastAsia="zh-CN"/>
        </w:rPr>
        <w:t>加盖公章的复印件单独胶装及密封，磋商会议现场和报价文件一并提交，以便通过资格审查</w:t>
      </w:r>
      <w:r>
        <w:rPr>
          <w:rFonts w:hint="eastAsia" w:ascii="宋体" w:hAnsi="宋体" w:eastAsia="宋体" w:cs="宋体"/>
          <w:b/>
          <w:bCs/>
          <w:color w:val="auto"/>
          <w:spacing w:val="6"/>
          <w:sz w:val="24"/>
          <w:szCs w:val="24"/>
          <w:highlight w:val="none"/>
        </w:rPr>
        <w:t>。</w:t>
      </w:r>
    </w:p>
    <w:p>
      <w:pPr>
        <w:pStyle w:val="90"/>
        <w:pageBreakBefore w:val="0"/>
        <w:kinsoku/>
        <w:wordWrap/>
        <w:topLinePunct w:val="0"/>
        <w:bidi w:val="0"/>
        <w:adjustRightInd w:val="0"/>
        <w:snapToGrid w:val="0"/>
        <w:spacing w:afterAutospacing="0" w:line="360" w:lineRule="auto"/>
        <w:textAlignment w:val="auto"/>
        <w:rPr>
          <w:rFonts w:hint="eastAsia" w:ascii="宋体" w:hAnsi="宋体" w:eastAsia="宋体" w:cs="宋体"/>
          <w:b/>
          <w:color w:val="auto"/>
          <w:highlight w:val="none"/>
        </w:rPr>
      </w:pPr>
      <w:bookmarkStart w:id="193" w:name="_Toc426379920"/>
      <w:bookmarkStart w:id="194" w:name="_Toc426379372"/>
      <w:bookmarkStart w:id="195" w:name="_Toc183264304"/>
      <w:r>
        <w:rPr>
          <w:rFonts w:hint="eastAsia" w:ascii="宋体" w:hAnsi="宋体" w:eastAsia="宋体" w:cs="宋体"/>
          <w:b/>
          <w:color w:val="auto"/>
          <w:highlight w:val="none"/>
        </w:rPr>
        <w:t>1）营业执照副本、税务登记证副本、组织机构代码证副本（三证合一的投</w:t>
      </w:r>
      <w:r>
        <w:rPr>
          <w:rFonts w:hint="eastAsia" w:ascii="宋体" w:hAnsi="宋体" w:eastAsia="宋体" w:cs="宋体"/>
          <w:b/>
          <w:color w:val="auto"/>
          <w:highlight w:val="none"/>
          <w:lang w:eastAsia="zh-CN"/>
        </w:rPr>
        <w:t>供应商</w:t>
      </w:r>
      <w:r>
        <w:rPr>
          <w:rFonts w:hint="eastAsia" w:ascii="宋体" w:hAnsi="宋体" w:eastAsia="宋体" w:cs="宋体"/>
          <w:b/>
          <w:color w:val="auto"/>
          <w:highlight w:val="none"/>
        </w:rPr>
        <w:t>只需提供带有统一社会信用代码的营业执照副本）；</w:t>
      </w:r>
    </w:p>
    <w:p>
      <w:pPr>
        <w:pStyle w:val="90"/>
        <w:pageBreakBefore w:val="0"/>
        <w:kinsoku/>
        <w:wordWrap/>
        <w:topLinePunct w:val="0"/>
        <w:bidi w:val="0"/>
        <w:adjustRightInd w:val="0"/>
        <w:snapToGrid w:val="0"/>
        <w:spacing w:afterAutospacing="0" w:line="360" w:lineRule="auto"/>
        <w:textAlignment w:val="auto"/>
        <w:rPr>
          <w:rFonts w:hint="eastAsia" w:ascii="宋体" w:hAnsi="宋体" w:eastAsia="宋体" w:cs="宋体"/>
          <w:b/>
          <w:color w:val="auto"/>
          <w:highlight w:val="none"/>
        </w:rPr>
      </w:pPr>
      <w:r>
        <w:rPr>
          <w:rFonts w:hint="eastAsia" w:ascii="宋体" w:hAnsi="宋体" w:eastAsia="宋体" w:cs="宋体"/>
          <w:b/>
          <w:color w:val="auto"/>
          <w:highlight w:val="none"/>
          <w:lang w:val="en-US" w:eastAsia="zh-CN"/>
        </w:rPr>
        <w:t>2</w:t>
      </w:r>
      <w:r>
        <w:rPr>
          <w:rFonts w:hint="eastAsia" w:ascii="宋体" w:hAnsi="宋体" w:eastAsia="宋体" w:cs="宋体"/>
          <w:b/>
          <w:color w:val="auto"/>
          <w:highlight w:val="none"/>
        </w:rPr>
        <w:t>）法定代表人身份证明及身份证</w:t>
      </w:r>
      <w:r>
        <w:rPr>
          <w:rFonts w:hint="eastAsia" w:ascii="宋体" w:hAnsi="宋体" w:eastAsia="宋体" w:cs="宋体"/>
          <w:b/>
          <w:color w:val="auto"/>
          <w:highlight w:val="none"/>
          <w:lang w:eastAsia="zh-CN"/>
        </w:rPr>
        <w:t>复印件</w:t>
      </w:r>
      <w:r>
        <w:rPr>
          <w:rFonts w:hint="eastAsia" w:ascii="宋体" w:hAnsi="宋体" w:eastAsia="宋体" w:cs="宋体"/>
          <w:b/>
          <w:color w:val="auto"/>
          <w:highlight w:val="none"/>
        </w:rPr>
        <w:t>或法定代表人授权委托书及授权</w:t>
      </w:r>
      <w:r>
        <w:rPr>
          <w:rFonts w:hint="eastAsia" w:ascii="宋体" w:hAnsi="宋体" w:eastAsia="宋体" w:cs="宋体"/>
          <w:b/>
          <w:color w:val="auto"/>
          <w:highlight w:val="none"/>
          <w:lang w:eastAsia="zh-CN"/>
        </w:rPr>
        <w:t>代表</w:t>
      </w:r>
      <w:r>
        <w:rPr>
          <w:rFonts w:hint="eastAsia" w:ascii="宋体" w:hAnsi="宋体" w:eastAsia="宋体" w:cs="宋体"/>
          <w:b/>
          <w:color w:val="auto"/>
          <w:highlight w:val="none"/>
        </w:rPr>
        <w:t>身份证</w:t>
      </w:r>
      <w:r>
        <w:rPr>
          <w:rFonts w:hint="eastAsia" w:ascii="宋体" w:hAnsi="宋体" w:eastAsia="宋体" w:cs="宋体"/>
          <w:b/>
          <w:color w:val="auto"/>
          <w:highlight w:val="none"/>
          <w:lang w:eastAsia="zh-CN"/>
        </w:rPr>
        <w:t>复印件</w:t>
      </w:r>
      <w:r>
        <w:rPr>
          <w:rFonts w:hint="eastAsia" w:ascii="宋体" w:hAnsi="宋体" w:eastAsia="宋体" w:cs="宋体"/>
          <w:b/>
          <w:color w:val="auto"/>
          <w:highlight w:val="none"/>
        </w:rPr>
        <w:t>；</w:t>
      </w:r>
    </w:p>
    <w:p>
      <w:pPr>
        <w:pageBreakBefore w:val="0"/>
        <w:kinsoku/>
        <w:wordWrap/>
        <w:topLinePunct w:val="0"/>
        <w:bidi w:val="0"/>
        <w:adjustRightInd w:val="0"/>
        <w:snapToGrid w:val="0"/>
        <w:spacing w:afterAutospacing="0" w:line="360" w:lineRule="auto"/>
        <w:ind w:firstLine="402" w:firstLineChars="200"/>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highlight w:val="none"/>
          <w:lang w:val="en-US" w:eastAsia="zh-CN"/>
        </w:rPr>
        <w:t>3</w:t>
      </w:r>
      <w:r>
        <w:rPr>
          <w:rFonts w:hint="eastAsia" w:ascii="宋体" w:hAnsi="宋体" w:eastAsia="宋体" w:cs="宋体"/>
          <w:b/>
          <w:color w:val="auto"/>
          <w:highlight w:val="none"/>
        </w:rPr>
        <w:t>）</w:t>
      </w:r>
      <w:r>
        <w:rPr>
          <w:rFonts w:hint="eastAsia" w:ascii="宋体" w:hAnsi="宋体" w:eastAsia="宋体" w:cs="宋体"/>
          <w:b/>
          <w:color w:val="auto"/>
          <w:spacing w:val="6"/>
          <w:sz w:val="24"/>
          <w:szCs w:val="22"/>
          <w:highlight w:val="none"/>
          <w:lang w:val="en-US" w:eastAsia="zh-CN" w:bidi="ar-SA"/>
        </w:rPr>
        <w:t>提供经会计事务所审计出具的2018年度财务报表或财务审计报告（包括资产负债表、现金流量表、利润表等材料）或基本开户银行出具的资信证明；复印件加盖公章</w:t>
      </w:r>
      <w:r>
        <w:rPr>
          <w:rFonts w:hint="eastAsia" w:ascii="宋体" w:hAnsi="宋体" w:cs="宋体"/>
          <w:b/>
          <w:color w:val="auto"/>
          <w:spacing w:val="6"/>
          <w:sz w:val="24"/>
          <w:szCs w:val="22"/>
          <w:highlight w:val="none"/>
          <w:lang w:val="en-US" w:eastAsia="zh-CN" w:bidi="ar-SA"/>
        </w:rPr>
        <w:t>.</w:t>
      </w:r>
      <w:r>
        <w:rPr>
          <w:rFonts w:hint="eastAsia" w:ascii="宋体" w:hAnsi="宋体" w:eastAsia="宋体" w:cs="宋体"/>
          <w:b/>
          <w:color w:val="auto"/>
          <w:spacing w:val="6"/>
          <w:sz w:val="24"/>
          <w:szCs w:val="22"/>
          <w:highlight w:val="none"/>
          <w:lang w:val="en-US" w:eastAsia="zh-CN" w:bidi="ar-SA"/>
        </w:rPr>
        <w:t>（2018年以后注册的公司需写说明）；</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4）供应商须具备建筑工程施工总承包叁级及以上资质或建筑装修装饰工程专业承包贰级及以上资质；具有有效的安全生产许可证；</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5）项目经理具有建筑工程类贰级及以上建造师证书、有效的安全生产考核合格证书（B类）；</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6）供应商的2019年度任意一个季度依法纳税的完税凭证，依法免税的，应提供由供应商所在地主管国税、地税部门出具的《依法纳税或依法免税证明》；</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7）供应商2019年度任意连续三个月的社会保险缴纳证明；</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8）参加政府采购活动前三年内，在经营活动中无重大违法记录的声明；</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9）供应商信用查询结果截图；</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spacing w:val="6"/>
          <w:sz w:val="24"/>
          <w:szCs w:val="22"/>
          <w:highlight w:val="none"/>
          <w:lang w:val="en-US" w:eastAsia="zh-CN" w:bidi="ar-SA"/>
        </w:rPr>
      </w:pPr>
      <w:r>
        <w:rPr>
          <w:rFonts w:hint="eastAsia" w:ascii="宋体" w:hAnsi="宋体" w:eastAsia="宋体" w:cs="宋体"/>
          <w:b/>
          <w:color w:val="auto"/>
          <w:spacing w:val="6"/>
          <w:sz w:val="24"/>
          <w:szCs w:val="22"/>
          <w:highlight w:val="none"/>
          <w:lang w:val="en-US" w:eastAsia="zh-CN" w:bidi="ar-SA"/>
        </w:rPr>
        <w:t>10）供应商认为需要提交的其他证明资料。</w:t>
      </w:r>
    </w:p>
    <w:p>
      <w:pPr>
        <w:pStyle w:val="90"/>
        <w:pageBreakBefore w:val="0"/>
        <w:kinsoku/>
        <w:wordWrap/>
        <w:topLinePunct w:val="0"/>
        <w:bidi w:val="0"/>
        <w:adjustRightInd w:val="0"/>
        <w:snapToGrid w:val="0"/>
        <w:spacing w:afterAutospacing="0" w:line="360" w:lineRule="auto"/>
        <w:ind w:firstLine="506"/>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以上1）-</w:t>
      </w:r>
      <w:r>
        <w:rPr>
          <w:rFonts w:hint="eastAsia" w:ascii="宋体" w:hAnsi="宋体" w:eastAsia="宋体" w:cs="宋体"/>
          <w:b/>
          <w:color w:val="auto"/>
          <w:highlight w:val="none"/>
          <w:lang w:val="en-US" w:eastAsia="zh-CN"/>
        </w:rPr>
        <w:t>9</w:t>
      </w:r>
      <w:r>
        <w:rPr>
          <w:rFonts w:hint="eastAsia" w:ascii="宋体" w:hAnsi="宋体" w:eastAsia="宋体" w:cs="宋体"/>
          <w:b/>
          <w:color w:val="auto"/>
          <w:highlight w:val="none"/>
        </w:rPr>
        <w:t>）开标现场需</w:t>
      </w:r>
      <w:r>
        <w:rPr>
          <w:rFonts w:hint="eastAsia" w:ascii="宋体" w:hAnsi="宋体" w:eastAsia="宋体" w:cs="宋体"/>
          <w:b/>
          <w:color w:val="auto"/>
          <w:highlight w:val="none"/>
          <w:lang w:eastAsia="zh-CN"/>
        </w:rPr>
        <w:t>单独</w:t>
      </w:r>
      <w:r>
        <w:rPr>
          <w:rFonts w:hint="eastAsia" w:ascii="宋体" w:hAnsi="宋体" w:eastAsia="宋体" w:cs="宋体"/>
          <w:b/>
          <w:color w:val="auto"/>
          <w:highlight w:val="none"/>
        </w:rPr>
        <w:t>提供复印件加盖公章一套</w:t>
      </w:r>
      <w:r>
        <w:rPr>
          <w:rFonts w:hint="eastAsia" w:ascii="宋体" w:hAnsi="宋体" w:eastAsia="宋体" w:cs="宋体"/>
          <w:b/>
          <w:color w:val="auto"/>
          <w:highlight w:val="none"/>
          <w:lang w:eastAsia="zh-CN"/>
        </w:rPr>
        <w:t>（胶装）</w:t>
      </w:r>
      <w:r>
        <w:rPr>
          <w:rFonts w:hint="eastAsia" w:ascii="宋体" w:hAnsi="宋体" w:eastAsia="宋体" w:cs="宋体"/>
          <w:b/>
          <w:color w:val="auto"/>
          <w:highlight w:val="none"/>
        </w:rPr>
        <w:t>。以上证件经审查缺少任何一项或经审查不合格作无效报价处理。</w:t>
      </w:r>
    </w:p>
    <w:p>
      <w:pPr>
        <w:pStyle w:val="76"/>
        <w:pageBreakBefore w:val="0"/>
        <w:kinsoku/>
        <w:wordWrap/>
        <w:topLinePunct w:val="0"/>
        <w:bidi w:val="0"/>
        <w:adjustRightInd w:val="0"/>
        <w:snapToGrid w:val="0"/>
        <w:spacing w:afterAutospacing="0" w:line="360" w:lineRule="auto"/>
        <w:textAlignment w:val="auto"/>
        <w:outlineLvl w:val="1"/>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二、评</w:t>
      </w:r>
      <w:r>
        <w:rPr>
          <w:rFonts w:hint="eastAsia" w:ascii="宋体" w:hAnsi="宋体" w:eastAsia="宋体" w:cs="宋体"/>
          <w:b/>
          <w:color w:val="auto"/>
          <w:sz w:val="24"/>
          <w:szCs w:val="24"/>
          <w:highlight w:val="none"/>
          <w:lang w:eastAsia="zh-CN"/>
        </w:rPr>
        <w:t>审</w:t>
      </w:r>
      <w:r>
        <w:rPr>
          <w:rFonts w:hint="eastAsia" w:ascii="宋体" w:hAnsi="宋体" w:eastAsia="宋体" w:cs="宋体"/>
          <w:b/>
          <w:color w:val="auto"/>
          <w:sz w:val="24"/>
          <w:szCs w:val="24"/>
          <w:highlight w:val="none"/>
        </w:rPr>
        <w:t>程序</w:t>
      </w:r>
      <w:bookmarkEnd w:id="193"/>
      <w:bookmarkEnd w:id="194"/>
    </w:p>
    <w:p>
      <w:pPr>
        <w:pStyle w:val="50"/>
        <w:pageBreakBefore w:val="0"/>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1、组建磋商小组：采购人将根据本项目的特点组建磋商小组，其成员由采购人及有关方面的专家3人或以上单数组成，磋商小组负责对</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进行审查、澄清、评审，经采购人授权直接确定成交供应商。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2、选举磋商小组组长，由磋商小组组长组织</w:t>
      </w:r>
      <w:r>
        <w:rPr>
          <w:rFonts w:hint="eastAsia" w:ascii="宋体" w:hAnsi="宋体" w:cs="宋体"/>
          <w:color w:val="auto"/>
          <w:sz w:val="24"/>
          <w:szCs w:val="24"/>
          <w:highlight w:val="none"/>
          <w:lang w:eastAsia="zh-CN"/>
        </w:rPr>
        <w:t>评审</w:t>
      </w:r>
      <w:r>
        <w:rPr>
          <w:rFonts w:hint="eastAsia" w:ascii="宋体" w:hAnsi="宋体" w:eastAsia="宋体" w:cs="宋体"/>
          <w:color w:val="auto"/>
          <w:sz w:val="24"/>
          <w:szCs w:val="24"/>
          <w:highlight w:val="none"/>
        </w:rPr>
        <w:t>。</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eastAsia="zh-CN"/>
        </w:rPr>
        <w:t>评审</w:t>
      </w:r>
      <w:r>
        <w:rPr>
          <w:rFonts w:hint="eastAsia" w:ascii="宋体" w:hAnsi="宋体" w:eastAsia="宋体" w:cs="宋体"/>
          <w:color w:val="auto"/>
          <w:sz w:val="24"/>
          <w:szCs w:val="24"/>
          <w:highlight w:val="none"/>
        </w:rPr>
        <w:t>准备工作。</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4、对供应商进行资格后审、符合性鉴定，审查合格者方可进入下一步评审。</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5、技术部分评审，参照执行评分细则。</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6、商务部分评审，参照执行评分细则。</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7、整理评审结果，编制评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报告并由磋商小组全体成员签字确认后，向采购人递交评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报告。</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8、磋商小组解散，评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结束。</w:t>
      </w:r>
      <w:bookmarkEnd w:id="195"/>
      <w:bookmarkStart w:id="196" w:name="_Toc426379373"/>
      <w:bookmarkStart w:id="197" w:name="_Toc426379921"/>
    </w:p>
    <w:p>
      <w:pPr>
        <w:pStyle w:val="76"/>
        <w:pageBreakBefore w:val="0"/>
        <w:kinsoku/>
        <w:wordWrap/>
        <w:topLinePunct w:val="0"/>
        <w:bidi w:val="0"/>
        <w:adjustRightInd w:val="0"/>
        <w:snapToGrid w:val="0"/>
        <w:spacing w:afterAutospacing="0" w:line="360" w:lineRule="auto"/>
        <w:textAlignment w:val="auto"/>
        <w:outlineLvl w:val="1"/>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三、评</w:t>
      </w:r>
      <w:r>
        <w:rPr>
          <w:rFonts w:hint="eastAsia" w:ascii="宋体" w:hAnsi="宋体" w:eastAsia="宋体" w:cs="宋体"/>
          <w:b/>
          <w:color w:val="auto"/>
          <w:sz w:val="24"/>
          <w:szCs w:val="24"/>
          <w:highlight w:val="none"/>
          <w:lang w:eastAsia="zh-CN"/>
        </w:rPr>
        <w:t>审</w:t>
      </w:r>
      <w:r>
        <w:rPr>
          <w:rFonts w:hint="eastAsia" w:ascii="宋体" w:hAnsi="宋体" w:eastAsia="宋体" w:cs="宋体"/>
          <w:b/>
          <w:color w:val="auto"/>
          <w:sz w:val="24"/>
          <w:szCs w:val="24"/>
          <w:highlight w:val="none"/>
        </w:rPr>
        <w:t>原则和评</w:t>
      </w:r>
      <w:r>
        <w:rPr>
          <w:rFonts w:hint="eastAsia" w:ascii="宋体" w:hAnsi="宋体" w:eastAsia="宋体" w:cs="宋体"/>
          <w:b/>
          <w:color w:val="auto"/>
          <w:sz w:val="24"/>
          <w:szCs w:val="24"/>
          <w:highlight w:val="none"/>
          <w:lang w:eastAsia="zh-CN"/>
        </w:rPr>
        <w:t>审</w:t>
      </w:r>
      <w:r>
        <w:rPr>
          <w:rFonts w:hint="eastAsia" w:ascii="宋体" w:hAnsi="宋体" w:eastAsia="宋体" w:cs="宋体"/>
          <w:b/>
          <w:color w:val="auto"/>
          <w:sz w:val="24"/>
          <w:szCs w:val="24"/>
          <w:highlight w:val="none"/>
        </w:rPr>
        <w:t>办法</w:t>
      </w:r>
      <w:bookmarkEnd w:id="196"/>
      <w:bookmarkEnd w:id="197"/>
    </w:p>
    <w:p>
      <w:pPr>
        <w:pStyle w:val="76"/>
        <w:pageBreakBefore w:val="0"/>
        <w:kinsoku/>
        <w:wordWrap/>
        <w:topLinePunct w:val="0"/>
        <w:bidi w:val="0"/>
        <w:adjustRightInd w:val="0"/>
        <w:snapToGrid w:val="0"/>
        <w:spacing w:afterAutospacing="0" w:line="360" w:lineRule="auto"/>
        <w:ind w:firstLine="501" w:firstLineChars="199"/>
        <w:jc w:val="both"/>
        <w:textAlignment w:val="auto"/>
        <w:rPr>
          <w:rFonts w:hint="eastAsia" w:ascii="宋体" w:hAnsi="宋体" w:eastAsia="宋体" w:cs="宋体"/>
          <w:color w:val="auto"/>
          <w:sz w:val="24"/>
          <w:szCs w:val="24"/>
          <w:highlight w:val="none"/>
        </w:rPr>
      </w:pPr>
      <w:bookmarkStart w:id="198" w:name="_Toc426379922"/>
      <w:r>
        <w:rPr>
          <w:rFonts w:hint="eastAsia" w:ascii="宋体" w:hAnsi="宋体" w:eastAsia="宋体" w:cs="宋体"/>
          <w:color w:val="auto"/>
          <w:sz w:val="24"/>
          <w:szCs w:val="24"/>
          <w:highlight w:val="none"/>
        </w:rPr>
        <w:t>（一）</w:t>
      </w:r>
      <w:r>
        <w:rPr>
          <w:rFonts w:hint="eastAsia" w:ascii="宋体" w:hAnsi="宋体" w:eastAsia="宋体" w:cs="宋体"/>
          <w:b/>
          <w:color w:val="auto"/>
          <w:sz w:val="24"/>
          <w:szCs w:val="24"/>
          <w:highlight w:val="none"/>
        </w:rPr>
        <w:t>评</w:t>
      </w:r>
      <w:r>
        <w:rPr>
          <w:rFonts w:hint="eastAsia" w:ascii="宋体" w:hAnsi="宋体" w:eastAsia="宋体" w:cs="宋体"/>
          <w:b/>
          <w:color w:val="auto"/>
          <w:sz w:val="24"/>
          <w:szCs w:val="24"/>
          <w:highlight w:val="none"/>
          <w:lang w:eastAsia="zh-CN"/>
        </w:rPr>
        <w:t>审</w:t>
      </w:r>
      <w:r>
        <w:rPr>
          <w:rFonts w:hint="eastAsia" w:ascii="宋体" w:hAnsi="宋体" w:eastAsia="宋体" w:cs="宋体"/>
          <w:b/>
          <w:color w:val="auto"/>
          <w:sz w:val="24"/>
          <w:szCs w:val="24"/>
          <w:highlight w:val="none"/>
        </w:rPr>
        <w:t>原则</w:t>
      </w:r>
      <w:bookmarkEnd w:id="198"/>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“公平、公正、择优、效益”为本次评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的基本原则，磋商小组按照这一原则的要求，公正、平等地对待各供应商。同时，在评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过程中恪守以下原则：</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1.客观性原则：磋商小组将严格按照采购文件的要求，对供应商的</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进行认真评审；磋商小组对</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的评审仅依据</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本身，而不依据</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以外的任何因素。</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2.统一性原则：磋商小组将按照统一的评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原则和评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方法，用同一标准进行评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3.独立性原则：评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工作在磋商小组内部独立进行，不受外界任何因素的干扰和影响。评委对出具的评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意见承担个人责任。</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4.保密性原则：采购代理机构应当采取必要的措施，保证评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在严格保密的情况下进行。</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5.综合性原则：磋商小组将综合分析、评审</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的各项指标，而不以单项指标的优劣评定出中标候选人或成交供应商。</w:t>
      </w:r>
    </w:p>
    <w:p>
      <w:pPr>
        <w:pStyle w:val="76"/>
        <w:pageBreakBefore w:val="0"/>
        <w:kinsoku/>
        <w:wordWrap/>
        <w:topLinePunct w:val="0"/>
        <w:bidi w:val="0"/>
        <w:adjustRightInd w:val="0"/>
        <w:snapToGrid w:val="0"/>
        <w:spacing w:afterAutospacing="0" w:line="360" w:lineRule="auto"/>
        <w:ind w:firstLine="501" w:firstLineChars="199"/>
        <w:jc w:val="both"/>
        <w:textAlignment w:val="auto"/>
        <w:rPr>
          <w:rFonts w:hint="eastAsia" w:ascii="宋体" w:hAnsi="宋体" w:eastAsia="宋体" w:cs="宋体"/>
          <w:color w:val="auto"/>
          <w:sz w:val="24"/>
          <w:szCs w:val="24"/>
          <w:highlight w:val="none"/>
        </w:rPr>
      </w:pPr>
      <w:bookmarkStart w:id="199" w:name="_Toc426379923"/>
      <w:r>
        <w:rPr>
          <w:rFonts w:hint="eastAsia" w:ascii="宋体" w:hAnsi="宋体" w:eastAsia="宋体" w:cs="宋体"/>
          <w:color w:val="auto"/>
          <w:sz w:val="24"/>
          <w:szCs w:val="24"/>
          <w:highlight w:val="none"/>
        </w:rPr>
        <w:t>（二）</w:t>
      </w:r>
      <w:r>
        <w:rPr>
          <w:rFonts w:hint="eastAsia" w:ascii="宋体" w:hAnsi="宋体" w:eastAsia="宋体" w:cs="宋体"/>
          <w:b/>
          <w:color w:val="auto"/>
          <w:sz w:val="24"/>
          <w:szCs w:val="24"/>
          <w:highlight w:val="none"/>
        </w:rPr>
        <w:t>评</w:t>
      </w:r>
      <w:r>
        <w:rPr>
          <w:rFonts w:hint="eastAsia" w:ascii="宋体" w:hAnsi="宋体" w:eastAsia="宋体" w:cs="宋体"/>
          <w:b/>
          <w:color w:val="auto"/>
          <w:sz w:val="24"/>
          <w:szCs w:val="24"/>
          <w:highlight w:val="none"/>
          <w:lang w:eastAsia="zh-CN"/>
        </w:rPr>
        <w:t>审</w:t>
      </w:r>
      <w:r>
        <w:rPr>
          <w:rFonts w:hint="eastAsia" w:ascii="宋体" w:hAnsi="宋体" w:eastAsia="宋体" w:cs="宋体"/>
          <w:b/>
          <w:color w:val="auto"/>
          <w:sz w:val="24"/>
          <w:szCs w:val="24"/>
          <w:highlight w:val="none"/>
        </w:rPr>
        <w:t>办法</w:t>
      </w:r>
      <w:bookmarkEnd w:id="199"/>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采用综合评分法，磋商小组成员根据采购文件中确定的评分办法综合评定各供应商提交的</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，磋商小组成员打分取算术平均值计算综合总得分，按照得分由高到低排序，经采购人授权直接确定</w:t>
      </w:r>
      <w:r>
        <w:rPr>
          <w:rFonts w:hint="eastAsia" w:ascii="宋体" w:hAnsi="宋体" w:cs="宋体"/>
          <w:color w:val="auto"/>
          <w:sz w:val="24"/>
          <w:szCs w:val="24"/>
          <w:highlight w:val="none"/>
          <w:lang w:eastAsia="zh-CN"/>
        </w:rPr>
        <w:t>得分最高的供应商为</w:t>
      </w:r>
      <w:r>
        <w:rPr>
          <w:rFonts w:hint="eastAsia" w:ascii="宋体" w:hAnsi="宋体" w:eastAsia="宋体" w:cs="宋体"/>
          <w:color w:val="auto"/>
          <w:sz w:val="24"/>
          <w:szCs w:val="24"/>
          <w:highlight w:val="none"/>
        </w:rPr>
        <w:t>成交供应商。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1.初步评审</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（1）磋商小组审查</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是否符合资格后审要求。</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（2）磋商小组将确定每一</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是否对采购文件的要求做出了实质性的响应，而没有重大偏离。实质性响应的</w:t>
      </w:r>
      <w:r>
        <w:rPr>
          <w:rFonts w:hint="eastAsia" w:ascii="宋体" w:hAnsi="宋体" w:cs="宋体"/>
          <w:color w:val="auto"/>
          <w:sz w:val="24"/>
          <w:szCs w:val="24"/>
          <w:highlight w:val="none"/>
          <w:lang w:eastAsia="zh-CN"/>
        </w:rPr>
        <w:t>报价文件</w:t>
      </w:r>
      <w:r>
        <w:rPr>
          <w:rFonts w:hint="eastAsia" w:ascii="宋体" w:hAnsi="宋体" w:eastAsia="宋体" w:cs="宋体"/>
          <w:color w:val="auto"/>
          <w:sz w:val="24"/>
          <w:szCs w:val="24"/>
          <w:highlight w:val="none"/>
        </w:rPr>
        <w:t>是指符合采购文件的所有条款、条件和规定且没有重大偏离或保留。</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（3）磋商小组允许</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修改</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中不构成重大偏离的、微小的、非正规、不一致或不规则的地方。但是修改的内容不能改变</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的实质性内容，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修改的内容以书面文件为准。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（4）磋商小组将拒绝被确定为非实质性响应的</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不能通过修正或撤销</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中的不符之处而使其</w:t>
      </w:r>
      <w:r>
        <w:rPr>
          <w:rFonts w:hint="eastAsia" w:ascii="宋体" w:hAnsi="宋体" w:cs="宋体"/>
          <w:color w:val="auto"/>
          <w:sz w:val="24"/>
          <w:szCs w:val="24"/>
          <w:highlight w:val="none"/>
          <w:lang w:eastAsia="zh-CN"/>
        </w:rPr>
        <w:t>报价</w:t>
      </w:r>
      <w:r>
        <w:rPr>
          <w:rFonts w:hint="eastAsia" w:ascii="宋体" w:hAnsi="宋体" w:eastAsia="宋体" w:cs="宋体"/>
          <w:color w:val="auto"/>
          <w:sz w:val="24"/>
          <w:szCs w:val="24"/>
          <w:highlight w:val="none"/>
        </w:rPr>
        <w:t>成为实质性响应的</w:t>
      </w:r>
      <w:r>
        <w:rPr>
          <w:rFonts w:hint="eastAsia" w:ascii="宋体" w:hAnsi="宋体" w:cs="宋体"/>
          <w:color w:val="auto"/>
          <w:sz w:val="24"/>
          <w:szCs w:val="24"/>
          <w:highlight w:val="none"/>
          <w:lang w:eastAsia="zh-CN"/>
        </w:rPr>
        <w:t>报价</w:t>
      </w:r>
      <w:r>
        <w:rPr>
          <w:rFonts w:hint="eastAsia" w:ascii="宋体" w:hAnsi="宋体" w:eastAsia="宋体" w:cs="宋体"/>
          <w:color w:val="auto"/>
          <w:sz w:val="24"/>
          <w:szCs w:val="24"/>
          <w:highlight w:val="none"/>
        </w:rPr>
        <w:t>。</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（5）磋商小组对各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的报价进行评审。磋商小组发现</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的报价均超过采购预算的，磋商小组有权否决所有</w:t>
      </w:r>
      <w:r>
        <w:rPr>
          <w:rFonts w:hint="eastAsia" w:ascii="宋体" w:hAnsi="宋体" w:cs="宋体"/>
          <w:color w:val="auto"/>
          <w:sz w:val="24"/>
          <w:szCs w:val="24"/>
          <w:highlight w:val="none"/>
          <w:lang w:eastAsia="zh-CN"/>
        </w:rPr>
        <w:t>报价</w:t>
      </w:r>
      <w:r>
        <w:rPr>
          <w:rFonts w:hint="eastAsia" w:ascii="宋体" w:hAnsi="宋体" w:eastAsia="宋体" w:cs="宋体"/>
          <w:color w:val="auto"/>
          <w:sz w:val="24"/>
          <w:szCs w:val="24"/>
          <w:highlight w:val="none"/>
        </w:rPr>
        <w:t>；磋商小组发现</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的报价明显低于其他报价，使其报价可能低于其个别成本的，应当要求该</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作出书面说明并提供相关证明材料，</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不能合理说明或者不能提供相关证明材料，由磋商小组认定该</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以低于成本报价竞</w:t>
      </w:r>
      <w:r>
        <w:rPr>
          <w:rFonts w:hint="eastAsia" w:ascii="宋体" w:hAnsi="宋体" w:cs="宋体"/>
          <w:color w:val="auto"/>
          <w:sz w:val="24"/>
          <w:szCs w:val="24"/>
          <w:highlight w:val="none"/>
          <w:lang w:eastAsia="zh-CN"/>
        </w:rPr>
        <w:t>价</w:t>
      </w:r>
      <w:r>
        <w:rPr>
          <w:rFonts w:hint="eastAsia" w:ascii="宋体" w:hAnsi="宋体" w:eastAsia="宋体" w:cs="宋体"/>
          <w:color w:val="auto"/>
          <w:sz w:val="24"/>
          <w:szCs w:val="24"/>
          <w:highlight w:val="none"/>
        </w:rPr>
        <w:t>，其</w:t>
      </w:r>
      <w:r>
        <w:rPr>
          <w:rFonts w:hint="eastAsia" w:ascii="宋体" w:hAnsi="宋体" w:cs="宋体"/>
          <w:color w:val="auto"/>
          <w:sz w:val="24"/>
          <w:szCs w:val="24"/>
          <w:highlight w:val="none"/>
          <w:lang w:eastAsia="zh-CN"/>
        </w:rPr>
        <w:t>报价</w:t>
      </w:r>
      <w:r>
        <w:rPr>
          <w:rFonts w:hint="eastAsia" w:ascii="宋体" w:hAnsi="宋体" w:eastAsia="宋体" w:cs="宋体"/>
          <w:color w:val="auto"/>
          <w:sz w:val="24"/>
          <w:szCs w:val="24"/>
          <w:highlight w:val="none"/>
        </w:rPr>
        <w:t>作为</w:t>
      </w:r>
      <w:r>
        <w:rPr>
          <w:rFonts w:hint="eastAsia" w:ascii="宋体" w:hAnsi="宋体" w:cs="宋体"/>
          <w:color w:val="auto"/>
          <w:sz w:val="24"/>
          <w:szCs w:val="24"/>
          <w:highlight w:val="none"/>
          <w:lang w:eastAsia="zh-CN"/>
        </w:rPr>
        <w:t>无效报价</w:t>
      </w:r>
      <w:r>
        <w:rPr>
          <w:rFonts w:hint="eastAsia" w:ascii="宋体" w:hAnsi="宋体" w:eastAsia="宋体" w:cs="宋体"/>
          <w:color w:val="auto"/>
          <w:sz w:val="24"/>
          <w:szCs w:val="24"/>
          <w:highlight w:val="none"/>
        </w:rPr>
        <w:t>处理。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（6）磋商小组通过上述评审，确定入围供应商名单，只有成为入围</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，才能进入综合评分阶段。</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2.综合评分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（1）为有助于对</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进行审查、评估和比较，磋商小组有权向</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询问。</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有义务以书面形式对其</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中含义不明确的内容进行澄清和说明，但澄清和说明的内容不得超出</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的范围或改变</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的实质性内容。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澄清和说明的内容构成</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的组成部分。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（2）磋商小组根据评分办法（附后）对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进行综合评分，</w:t>
      </w:r>
      <w:r>
        <w:rPr>
          <w:rFonts w:hint="eastAsia" w:ascii="宋体" w:hAnsi="宋体" w:cs="宋体"/>
          <w:color w:val="auto"/>
          <w:sz w:val="24"/>
          <w:szCs w:val="24"/>
          <w:highlight w:val="none"/>
          <w:lang w:eastAsia="zh-CN"/>
        </w:rPr>
        <w:t>确定得最做高的供应商为</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w:t>
      </w:r>
    </w:p>
    <w:p>
      <w:pPr>
        <w:pStyle w:val="76"/>
        <w:pageBreakBefore w:val="0"/>
        <w:kinsoku/>
        <w:wordWrap/>
        <w:topLinePunct w:val="0"/>
        <w:bidi w:val="0"/>
        <w:adjustRightInd w:val="0"/>
        <w:snapToGrid w:val="0"/>
        <w:spacing w:afterAutospacing="0" w:line="360" w:lineRule="auto"/>
        <w:textAlignment w:val="auto"/>
        <w:outlineLvl w:val="1"/>
        <w:rPr>
          <w:rFonts w:hint="eastAsia" w:ascii="宋体" w:hAnsi="宋体" w:eastAsia="宋体" w:cs="宋体"/>
          <w:color w:val="auto"/>
          <w:sz w:val="24"/>
          <w:szCs w:val="24"/>
          <w:highlight w:val="none"/>
        </w:rPr>
      </w:pPr>
      <w:bookmarkStart w:id="200" w:name="_Toc426379924"/>
      <w:bookmarkStart w:id="201" w:name="_Toc426379374"/>
      <w:r>
        <w:rPr>
          <w:rFonts w:hint="eastAsia" w:ascii="宋体" w:hAnsi="宋体" w:eastAsia="宋体" w:cs="宋体"/>
          <w:b/>
          <w:color w:val="auto"/>
          <w:sz w:val="24"/>
          <w:szCs w:val="24"/>
          <w:highlight w:val="none"/>
        </w:rPr>
        <w:t>四、评</w:t>
      </w:r>
      <w:r>
        <w:rPr>
          <w:rFonts w:hint="eastAsia" w:ascii="宋体" w:hAnsi="宋体" w:eastAsia="宋体" w:cs="宋体"/>
          <w:b/>
          <w:color w:val="auto"/>
          <w:sz w:val="24"/>
          <w:szCs w:val="24"/>
          <w:highlight w:val="none"/>
          <w:lang w:eastAsia="zh-CN"/>
        </w:rPr>
        <w:t>审</w:t>
      </w:r>
      <w:r>
        <w:rPr>
          <w:rFonts w:hint="eastAsia" w:ascii="宋体" w:hAnsi="宋体" w:eastAsia="宋体" w:cs="宋体"/>
          <w:b/>
          <w:color w:val="auto"/>
          <w:sz w:val="24"/>
          <w:szCs w:val="24"/>
          <w:highlight w:val="none"/>
        </w:rPr>
        <w:t>纪律</w:t>
      </w:r>
      <w:bookmarkEnd w:id="200"/>
      <w:bookmarkEnd w:id="201"/>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是</w:t>
      </w:r>
      <w:r>
        <w:rPr>
          <w:rFonts w:hint="eastAsia" w:ascii="宋体" w:hAnsi="宋体" w:cs="宋体"/>
          <w:color w:val="auto"/>
          <w:sz w:val="24"/>
          <w:szCs w:val="24"/>
          <w:highlight w:val="none"/>
          <w:lang w:eastAsia="zh-CN"/>
        </w:rPr>
        <w:t>采购</w:t>
      </w:r>
      <w:r>
        <w:rPr>
          <w:rFonts w:hint="eastAsia" w:ascii="宋体" w:hAnsi="宋体" w:eastAsia="宋体" w:cs="宋体"/>
          <w:color w:val="auto"/>
          <w:sz w:val="24"/>
          <w:szCs w:val="24"/>
          <w:highlight w:val="none"/>
        </w:rPr>
        <w:t>工作的重要环节，评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工作在磋商小组内独立进行。磋商小组将按照评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原则的要求，公正、平等地对待所有供应商。</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2.所有磋商小组成员应忠于职守、廉洁自律、秉公办事、不徇私情。</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的审查、澄清、评价和比较以及授予合同的过程中，</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对采购人、采购代理机构以及磋商小组其他成员施加影响的任何行为，都将导致被取消</w:t>
      </w:r>
      <w:r>
        <w:rPr>
          <w:rFonts w:hint="eastAsia" w:ascii="宋体" w:hAnsi="宋体" w:cs="宋体"/>
          <w:color w:val="auto"/>
          <w:sz w:val="24"/>
          <w:szCs w:val="24"/>
          <w:highlight w:val="none"/>
          <w:lang w:eastAsia="zh-CN"/>
        </w:rPr>
        <w:t>成交</w:t>
      </w:r>
      <w:r>
        <w:rPr>
          <w:rFonts w:hint="eastAsia" w:ascii="宋体" w:hAnsi="宋体" w:eastAsia="宋体" w:cs="宋体"/>
          <w:color w:val="auto"/>
          <w:sz w:val="24"/>
          <w:szCs w:val="24"/>
          <w:highlight w:val="none"/>
        </w:rPr>
        <w:t>资格。</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4.为保证评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的公正性，在评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过程中，磋商小组成员不得与任何</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或与评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结果有利害关系的人员进行私下接触。在评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工作结束后，凡与评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情况有接触的任何人，不得将评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情况对外扩散。</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过程中，当发表结论性意见时，先听取专家评委意见，采购人代表随后发表意见。</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6.磋商小组成员应当客观、公正地履行职责，遵守职业道德，对所提出的评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意见承担个人责任。</w:t>
      </w:r>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7.在评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期间，</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不得向磋商小组成员询问评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情况，不得进行旨在影响评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结果的任何活动。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有企图影响评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结果的任何活动，可能导致评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失败。如有违法行为，将依法追究其法律责任。</w:t>
      </w:r>
      <w:bookmarkStart w:id="202" w:name="_Toc426379925"/>
      <w:bookmarkStart w:id="203" w:name="_Toc426379375"/>
    </w:p>
    <w:p>
      <w:pPr>
        <w:pStyle w:val="76"/>
        <w:pageBreakBefore w:val="0"/>
        <w:kinsoku/>
        <w:wordWrap/>
        <w:topLinePunct w:val="0"/>
        <w:bidi w:val="0"/>
        <w:adjustRightInd w:val="0"/>
        <w:snapToGrid w:val="0"/>
        <w:spacing w:afterAutospacing="0" w:line="360" w:lineRule="auto"/>
        <w:textAlignment w:val="auto"/>
        <w:outlineLvl w:val="1"/>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rPr>
        <w:t>五、</w:t>
      </w:r>
      <w:bookmarkEnd w:id="202"/>
      <w:bookmarkEnd w:id="203"/>
      <w:r>
        <w:rPr>
          <w:rFonts w:hint="eastAsia" w:ascii="宋体" w:hAnsi="宋体" w:eastAsia="宋体" w:cs="宋体"/>
          <w:b/>
          <w:color w:val="auto"/>
          <w:sz w:val="24"/>
          <w:szCs w:val="24"/>
          <w:highlight w:val="none"/>
          <w:lang w:eastAsia="zh-CN"/>
        </w:rPr>
        <w:t>成交</w:t>
      </w:r>
    </w:p>
    <w:p>
      <w:pPr>
        <w:pStyle w:val="76"/>
        <w:pageBreakBefore w:val="0"/>
        <w:kinsoku/>
        <w:wordWrap/>
        <w:topLinePunct w:val="0"/>
        <w:bidi w:val="0"/>
        <w:adjustRightInd w:val="0"/>
        <w:snapToGrid w:val="0"/>
        <w:spacing w:afterAutospacing="0" w:line="360" w:lineRule="auto"/>
        <w:ind w:firstLine="504" w:firstLineChars="200"/>
        <w:jc w:val="left"/>
        <w:textAlignment w:val="auto"/>
        <w:outlineLvl w:val="1"/>
        <w:rPr>
          <w:rFonts w:hint="eastAsia" w:ascii="宋体" w:hAnsi="宋体" w:eastAsia="宋体" w:cs="宋体"/>
          <w:color w:val="auto"/>
          <w:sz w:val="24"/>
          <w:szCs w:val="24"/>
          <w:highlight w:val="none"/>
        </w:rPr>
      </w:pPr>
      <w:bookmarkStart w:id="204" w:name="_Toc426379926"/>
      <w:bookmarkStart w:id="205" w:name="_Toc426379376"/>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根据竞争性磋商文件中确定的评分办法综合评定各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提交的报价文件，</w:t>
      </w:r>
      <w:r>
        <w:rPr>
          <w:rFonts w:hint="eastAsia" w:ascii="宋体" w:hAnsi="宋体" w:eastAsia="宋体" w:cs="宋体"/>
          <w:color w:val="auto"/>
          <w:sz w:val="24"/>
          <w:szCs w:val="24"/>
          <w:highlight w:val="none"/>
          <w:lang w:eastAsia="zh-CN"/>
        </w:rPr>
        <w:t>由甲方授权磋商小组直接确定得分最高的为成交供应商</w:t>
      </w:r>
      <w:r>
        <w:rPr>
          <w:rFonts w:hint="eastAsia" w:ascii="宋体" w:hAnsi="宋体" w:eastAsia="宋体" w:cs="宋体"/>
          <w:color w:val="auto"/>
          <w:sz w:val="24"/>
          <w:szCs w:val="24"/>
          <w:highlight w:val="none"/>
        </w:rPr>
        <w:t>。</w:t>
      </w:r>
    </w:p>
    <w:p>
      <w:pPr>
        <w:pStyle w:val="76"/>
        <w:pageBreakBefore w:val="0"/>
        <w:kinsoku/>
        <w:wordWrap/>
        <w:topLinePunct w:val="0"/>
        <w:bidi w:val="0"/>
        <w:adjustRightInd w:val="0"/>
        <w:snapToGrid w:val="0"/>
        <w:spacing w:afterAutospacing="0" w:line="360" w:lineRule="auto"/>
        <w:textAlignment w:val="auto"/>
        <w:outlineLvl w:val="1"/>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六、</w:t>
      </w:r>
      <w:r>
        <w:rPr>
          <w:rFonts w:hint="eastAsia" w:ascii="宋体" w:hAnsi="宋体" w:eastAsia="宋体" w:cs="宋体"/>
          <w:b/>
          <w:color w:val="auto"/>
          <w:sz w:val="24"/>
          <w:szCs w:val="24"/>
          <w:highlight w:val="none"/>
          <w:lang w:eastAsia="zh-CN"/>
        </w:rPr>
        <w:t>成交</w:t>
      </w:r>
      <w:r>
        <w:rPr>
          <w:rFonts w:hint="eastAsia" w:ascii="宋体" w:hAnsi="宋体" w:eastAsia="宋体" w:cs="宋体"/>
          <w:b/>
          <w:color w:val="auto"/>
          <w:sz w:val="24"/>
          <w:szCs w:val="24"/>
          <w:highlight w:val="none"/>
        </w:rPr>
        <w:t>通知书</w:t>
      </w:r>
      <w:bookmarkEnd w:id="204"/>
      <w:bookmarkEnd w:id="205"/>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确定</w:t>
      </w:r>
      <w:r>
        <w:rPr>
          <w:rFonts w:hint="eastAsia" w:ascii="宋体" w:hAnsi="宋体" w:cs="宋体"/>
          <w:color w:val="auto"/>
          <w:sz w:val="24"/>
          <w:szCs w:val="24"/>
          <w:highlight w:val="none"/>
          <w:lang w:eastAsia="zh-CN"/>
        </w:rPr>
        <w:t>成交</w:t>
      </w:r>
      <w:r>
        <w:rPr>
          <w:rFonts w:hint="eastAsia" w:ascii="宋体" w:hAnsi="宋体" w:eastAsia="宋体" w:cs="宋体"/>
          <w:color w:val="auto"/>
          <w:sz w:val="24"/>
          <w:szCs w:val="24"/>
          <w:highlight w:val="none"/>
        </w:rPr>
        <w:t>结果后，在</w:t>
      </w:r>
      <w:r>
        <w:rPr>
          <w:rFonts w:hint="eastAsia" w:ascii="宋体" w:hAnsi="宋体" w:cs="宋体"/>
          <w:color w:val="auto"/>
          <w:sz w:val="24"/>
          <w:szCs w:val="24"/>
          <w:highlight w:val="none"/>
          <w:lang w:eastAsia="zh-CN"/>
        </w:rPr>
        <w:t>磋商</w:t>
      </w:r>
      <w:r>
        <w:rPr>
          <w:rFonts w:hint="eastAsia" w:ascii="宋体" w:hAnsi="宋体" w:eastAsia="宋体" w:cs="宋体"/>
          <w:color w:val="auto"/>
          <w:sz w:val="24"/>
          <w:szCs w:val="24"/>
          <w:highlight w:val="none"/>
        </w:rPr>
        <w:t>有效期内，采购代理机构向</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签发《</w:t>
      </w:r>
      <w:r>
        <w:rPr>
          <w:rFonts w:hint="eastAsia" w:ascii="宋体" w:hAnsi="宋体" w:cs="宋体"/>
          <w:color w:val="auto"/>
          <w:sz w:val="24"/>
          <w:szCs w:val="24"/>
          <w:highlight w:val="none"/>
          <w:lang w:eastAsia="zh-CN"/>
        </w:rPr>
        <w:t>成交</w:t>
      </w:r>
      <w:r>
        <w:rPr>
          <w:rFonts w:hint="eastAsia" w:ascii="宋体" w:hAnsi="宋体" w:eastAsia="宋体" w:cs="宋体"/>
          <w:color w:val="auto"/>
          <w:sz w:val="24"/>
          <w:szCs w:val="24"/>
          <w:highlight w:val="none"/>
        </w:rPr>
        <w:t>通知书》。对未</w:t>
      </w:r>
      <w:r>
        <w:rPr>
          <w:rFonts w:hint="eastAsia" w:ascii="宋体" w:hAnsi="宋体" w:cs="宋体"/>
          <w:color w:val="auto"/>
          <w:sz w:val="24"/>
          <w:szCs w:val="24"/>
          <w:highlight w:val="none"/>
          <w:lang w:eastAsia="zh-CN"/>
        </w:rPr>
        <w:t>成交供应商</w:t>
      </w:r>
      <w:r>
        <w:rPr>
          <w:rFonts w:hint="eastAsia" w:ascii="宋体" w:hAnsi="宋体" w:eastAsia="宋体" w:cs="宋体"/>
          <w:color w:val="auto"/>
          <w:sz w:val="24"/>
          <w:szCs w:val="24"/>
          <w:highlight w:val="none"/>
        </w:rPr>
        <w:t>，采购人不对未</w:t>
      </w:r>
      <w:r>
        <w:rPr>
          <w:rFonts w:hint="eastAsia" w:ascii="宋体" w:hAnsi="宋体" w:cs="宋体"/>
          <w:color w:val="auto"/>
          <w:sz w:val="24"/>
          <w:szCs w:val="24"/>
          <w:highlight w:val="none"/>
          <w:lang w:eastAsia="zh-CN"/>
        </w:rPr>
        <w:t>成交</w:t>
      </w:r>
      <w:r>
        <w:rPr>
          <w:rFonts w:hint="eastAsia" w:ascii="宋体" w:hAnsi="宋体" w:eastAsia="宋体" w:cs="宋体"/>
          <w:color w:val="auto"/>
          <w:sz w:val="24"/>
          <w:szCs w:val="24"/>
          <w:highlight w:val="none"/>
        </w:rPr>
        <w:t>原因做出解释，同时亦不退还</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w:t>
      </w:r>
    </w:p>
    <w:p>
      <w:pPr>
        <w:pStyle w:val="76"/>
        <w:pageBreakBefore w:val="0"/>
        <w:kinsoku/>
        <w:wordWrap/>
        <w:topLinePunct w:val="0"/>
        <w:bidi w:val="0"/>
        <w:adjustRightInd w:val="0"/>
        <w:snapToGrid w:val="0"/>
        <w:spacing w:afterAutospacing="0" w:line="360" w:lineRule="auto"/>
        <w:textAlignment w:val="auto"/>
        <w:outlineLvl w:val="1"/>
        <w:rPr>
          <w:rFonts w:hint="eastAsia" w:ascii="宋体" w:hAnsi="宋体" w:eastAsia="宋体" w:cs="宋体"/>
          <w:color w:val="auto"/>
          <w:sz w:val="24"/>
          <w:szCs w:val="24"/>
          <w:highlight w:val="none"/>
        </w:rPr>
      </w:pPr>
      <w:bookmarkStart w:id="206" w:name="_Toc426379377"/>
      <w:bookmarkStart w:id="207" w:name="_Toc426379927"/>
      <w:r>
        <w:rPr>
          <w:rFonts w:hint="eastAsia" w:ascii="宋体" w:hAnsi="宋体" w:eastAsia="宋体" w:cs="宋体"/>
          <w:b/>
          <w:color w:val="auto"/>
          <w:sz w:val="24"/>
          <w:szCs w:val="24"/>
          <w:highlight w:val="none"/>
        </w:rPr>
        <w:t>七、授予合同</w:t>
      </w:r>
      <w:bookmarkEnd w:id="206"/>
      <w:bookmarkEnd w:id="207"/>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成交</w:t>
      </w:r>
      <w:r>
        <w:rPr>
          <w:rFonts w:hint="eastAsia" w:ascii="宋体" w:hAnsi="宋体" w:eastAsia="宋体" w:cs="宋体"/>
          <w:color w:val="auto"/>
          <w:sz w:val="24"/>
          <w:szCs w:val="24"/>
          <w:highlight w:val="none"/>
        </w:rPr>
        <w:t>通知书》发出后30日内，采购人与</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签订合同。采购文件、</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以及评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过程中的有关澄清、承诺文件均为合同的组成部分。</w:t>
      </w:r>
      <w:bookmarkStart w:id="208" w:name="_Toc17983"/>
      <w:bookmarkStart w:id="209" w:name="_Toc12191"/>
      <w:bookmarkStart w:id="210" w:name="_Toc7155"/>
      <w:bookmarkStart w:id="211" w:name="_Toc26522"/>
      <w:bookmarkStart w:id="212" w:name="_Toc23427"/>
      <w:bookmarkStart w:id="213" w:name="_Toc8768"/>
      <w:bookmarkStart w:id="214" w:name="_Toc7243"/>
      <w:bookmarkStart w:id="215" w:name="_Toc19869"/>
      <w:bookmarkStart w:id="216" w:name="_Toc378"/>
      <w:bookmarkStart w:id="217" w:name="_Toc12812"/>
      <w:bookmarkStart w:id="218" w:name="_Toc15877"/>
    </w:p>
    <w:p>
      <w:pPr>
        <w:pStyle w:val="50"/>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Cs w:val="24"/>
          <w:highlight w:val="none"/>
        </w:rPr>
      </w:pPr>
    </w:p>
    <w:p>
      <w:pPr>
        <w:pStyle w:val="50"/>
        <w:pageBreakBefore w:val="0"/>
        <w:kinsoku/>
        <w:wordWrap/>
        <w:topLinePunct w:val="0"/>
        <w:bidi w:val="0"/>
        <w:adjustRightInd w:val="0"/>
        <w:snapToGrid w:val="0"/>
        <w:spacing w:afterAutospacing="0" w:line="360" w:lineRule="auto"/>
        <w:ind w:firstLine="0" w:firstLineChars="0"/>
        <w:textAlignment w:val="auto"/>
        <w:rPr>
          <w:rFonts w:hint="eastAsia" w:ascii="宋体" w:hAnsi="宋体" w:eastAsia="宋体" w:cs="宋体"/>
          <w:color w:val="auto"/>
          <w:szCs w:val="24"/>
          <w:highlight w:val="none"/>
        </w:rPr>
      </w:pP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highlight w:val="none"/>
        </w:rPr>
      </w:pPr>
      <w:bookmarkStart w:id="219" w:name="_Toc5426"/>
      <w:r>
        <w:rPr>
          <w:rFonts w:hint="eastAsia" w:ascii="宋体" w:hAnsi="宋体" w:eastAsia="宋体" w:cs="宋体"/>
          <w:color w:val="auto"/>
          <w:highlight w:val="none"/>
        </w:rPr>
        <w:br w:type="page"/>
      </w:r>
    </w:p>
    <w:p>
      <w:pPr>
        <w:pStyle w:val="4"/>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rPr>
        <w:t>第五部分  合同格式</w:t>
      </w:r>
      <w:bookmarkEnd w:id="190"/>
      <w:bookmarkEnd w:id="208"/>
      <w:bookmarkEnd w:id="209"/>
      <w:bookmarkEnd w:id="210"/>
      <w:bookmarkEnd w:id="211"/>
      <w:bookmarkEnd w:id="212"/>
      <w:bookmarkEnd w:id="213"/>
      <w:bookmarkEnd w:id="214"/>
      <w:bookmarkEnd w:id="215"/>
      <w:bookmarkEnd w:id="216"/>
      <w:bookmarkEnd w:id="217"/>
      <w:bookmarkEnd w:id="218"/>
      <w:bookmarkEnd w:id="219"/>
    </w:p>
    <w:p>
      <w:pPr>
        <w:pStyle w:val="64"/>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bookmarkStart w:id="220" w:name="_Toc2339"/>
      <w:r>
        <w:rPr>
          <w:rFonts w:hint="eastAsia" w:ascii="宋体" w:hAnsi="宋体" w:eastAsia="宋体" w:cs="宋体"/>
          <w:b/>
          <w:color w:val="auto"/>
          <w:sz w:val="24"/>
          <w:szCs w:val="24"/>
          <w:highlight w:val="none"/>
        </w:rPr>
        <w:t>（合同参考样本）</w:t>
      </w:r>
      <w:bookmarkEnd w:id="220"/>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b/>
          <w:color w:val="auto"/>
          <w:sz w:val="30"/>
          <w:szCs w:val="30"/>
          <w:highlight w:val="none"/>
        </w:rPr>
      </w:pP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资金编号：</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b/>
          <w:color w:val="auto"/>
          <w:sz w:val="36"/>
          <w:highlight w:val="none"/>
        </w:rPr>
      </w:pP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color w:val="auto"/>
          <w:sz w:val="30"/>
          <w:highlight w:val="none"/>
        </w:rPr>
      </w:pPr>
      <w:r>
        <w:rPr>
          <w:rFonts w:hint="eastAsia" w:ascii="宋体" w:hAnsi="宋体" w:eastAsia="宋体" w:cs="宋体"/>
          <w:b/>
          <w:bCs/>
          <w:color w:val="auto"/>
          <w:sz w:val="84"/>
          <w:szCs w:val="84"/>
          <w:highlight w:val="none"/>
        </w:rPr>
        <w:t>合同文本</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color w:val="auto"/>
          <w:sz w:val="30"/>
          <w:highlight w:val="none"/>
        </w:rPr>
      </w:pPr>
    </w:p>
    <w:p>
      <w:pPr>
        <w:pageBreakBefore w:val="0"/>
        <w:tabs>
          <w:tab w:val="left" w:pos="7360"/>
        </w:tabs>
        <w:kinsoku/>
        <w:wordWrap/>
        <w:topLinePunct w:val="0"/>
        <w:bidi w:val="0"/>
        <w:adjustRightInd w:val="0"/>
        <w:snapToGrid w:val="0"/>
        <w:spacing w:afterAutospacing="0" w:line="360" w:lineRule="auto"/>
        <w:textAlignment w:val="auto"/>
        <w:rPr>
          <w:rFonts w:hint="eastAsia" w:ascii="宋体" w:hAnsi="宋体" w:eastAsia="宋体" w:cs="宋体"/>
          <w:b/>
          <w:color w:val="auto"/>
          <w:sz w:val="36"/>
          <w:highlight w:val="none"/>
        </w:rPr>
      </w:pPr>
    </w:p>
    <w:p>
      <w:pPr>
        <w:pageBreakBefore w:val="0"/>
        <w:kinsoku/>
        <w:wordWrap/>
        <w:topLinePunct w:val="0"/>
        <w:bidi w:val="0"/>
        <w:adjustRightInd w:val="0"/>
        <w:snapToGrid w:val="0"/>
        <w:spacing w:afterAutospacing="0" w:line="360" w:lineRule="auto"/>
        <w:ind w:firstLine="1796" w:firstLineChars="497"/>
        <w:textAlignment w:val="auto"/>
        <w:rPr>
          <w:rFonts w:hint="eastAsia" w:ascii="宋体" w:hAnsi="宋体" w:eastAsia="宋体" w:cs="宋体"/>
          <w:b/>
          <w:color w:val="auto"/>
          <w:sz w:val="36"/>
          <w:highlight w:val="none"/>
        </w:rPr>
      </w:pPr>
    </w:p>
    <w:p>
      <w:pPr>
        <w:pageBreakBefore w:val="0"/>
        <w:kinsoku/>
        <w:wordWrap/>
        <w:topLinePunct w:val="0"/>
        <w:bidi w:val="0"/>
        <w:adjustRightInd w:val="0"/>
        <w:snapToGrid w:val="0"/>
        <w:spacing w:afterAutospacing="0" w:line="360" w:lineRule="auto"/>
        <w:ind w:firstLine="1796" w:firstLineChars="497"/>
        <w:textAlignment w:val="auto"/>
        <w:rPr>
          <w:rFonts w:hint="eastAsia" w:ascii="宋体" w:hAnsi="宋体" w:eastAsia="宋体" w:cs="宋体"/>
          <w:b/>
          <w:color w:val="auto"/>
          <w:sz w:val="36"/>
          <w:highlight w:val="none"/>
        </w:rPr>
      </w:pPr>
      <w:r>
        <w:rPr>
          <w:rFonts w:hint="eastAsia" w:ascii="宋体" w:hAnsi="宋体" w:eastAsia="宋体" w:cs="宋体"/>
          <w:b/>
          <w:color w:val="auto"/>
          <w:sz w:val="36"/>
          <w:highlight w:val="none"/>
        </w:rPr>
        <w:t>项目名称:</w:t>
      </w:r>
    </w:p>
    <w:p>
      <w:pPr>
        <w:pageBreakBefore w:val="0"/>
        <w:kinsoku/>
        <w:wordWrap/>
        <w:topLinePunct w:val="0"/>
        <w:bidi w:val="0"/>
        <w:adjustRightInd w:val="0"/>
        <w:snapToGrid w:val="0"/>
        <w:spacing w:afterAutospacing="0" w:line="360" w:lineRule="auto"/>
        <w:ind w:firstLine="1796" w:firstLineChars="497"/>
        <w:textAlignment w:val="auto"/>
        <w:rPr>
          <w:rFonts w:hint="eastAsia" w:ascii="宋体" w:hAnsi="宋体" w:eastAsia="宋体" w:cs="宋体"/>
          <w:b/>
          <w:color w:val="auto"/>
          <w:sz w:val="36"/>
          <w:highlight w:val="none"/>
          <w:u w:val="single"/>
        </w:rPr>
      </w:pPr>
      <w:r>
        <w:rPr>
          <w:rFonts w:hint="eastAsia" w:ascii="宋体" w:hAnsi="宋体" w:eastAsia="宋体" w:cs="宋体"/>
          <w:b/>
          <w:color w:val="auto"/>
          <w:sz w:val="36"/>
          <w:highlight w:val="none"/>
        </w:rPr>
        <w:t>项目编号:</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color w:val="auto"/>
          <w:sz w:val="36"/>
          <w:highlight w:val="none"/>
        </w:rPr>
      </w:pPr>
    </w:p>
    <w:p>
      <w:pPr>
        <w:pStyle w:val="13"/>
        <w:rPr>
          <w:rFonts w:hint="eastAsia" w:ascii="宋体" w:hAnsi="宋体" w:eastAsia="宋体" w:cs="宋体"/>
        </w:rPr>
      </w:pP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b/>
          <w:color w:val="auto"/>
          <w:sz w:val="36"/>
          <w:highlight w:val="none"/>
        </w:rPr>
      </w:pPr>
    </w:p>
    <w:p>
      <w:pPr>
        <w:pageBreakBefore w:val="0"/>
        <w:kinsoku/>
        <w:wordWrap/>
        <w:topLinePunct w:val="0"/>
        <w:bidi w:val="0"/>
        <w:adjustRightInd w:val="0"/>
        <w:snapToGrid w:val="0"/>
        <w:spacing w:afterAutospacing="0" w:line="360" w:lineRule="auto"/>
        <w:ind w:firstLine="1606" w:firstLineChars="500"/>
        <w:textAlignment w:val="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甲        方:</w:t>
      </w:r>
    </w:p>
    <w:p>
      <w:pPr>
        <w:pageBreakBefore w:val="0"/>
        <w:kinsoku/>
        <w:wordWrap/>
        <w:topLinePunct w:val="0"/>
        <w:bidi w:val="0"/>
        <w:adjustRightInd w:val="0"/>
        <w:snapToGrid w:val="0"/>
        <w:spacing w:afterAutospacing="0" w:line="360" w:lineRule="auto"/>
        <w:ind w:firstLine="1606" w:firstLineChars="500"/>
        <w:textAlignment w:val="auto"/>
        <w:rPr>
          <w:rFonts w:hint="eastAsia" w:ascii="宋体" w:hAnsi="宋体" w:eastAsia="宋体" w:cs="宋体"/>
          <w:b/>
          <w:color w:val="auto"/>
          <w:sz w:val="32"/>
          <w:szCs w:val="32"/>
          <w:highlight w:val="none"/>
          <w:u w:val="single"/>
        </w:rPr>
      </w:pPr>
      <w:r>
        <w:rPr>
          <w:rFonts w:hint="eastAsia" w:ascii="宋体" w:hAnsi="宋体" w:eastAsia="宋体" w:cs="宋体"/>
          <w:b/>
          <w:color w:val="auto"/>
          <w:sz w:val="32"/>
          <w:szCs w:val="32"/>
          <w:highlight w:val="none"/>
        </w:rPr>
        <w:t>乙        方:</w:t>
      </w:r>
      <w:r>
        <w:rPr>
          <w:rFonts w:hint="eastAsia" w:ascii="宋体" w:hAnsi="宋体" w:eastAsia="宋体" w:cs="宋体"/>
          <w:b/>
          <w:color w:val="auto"/>
          <w:sz w:val="32"/>
          <w:szCs w:val="32"/>
          <w:highlight w:val="none"/>
          <w:u w:val="single"/>
        </w:rPr>
        <w:t xml:space="preserve"> </w:t>
      </w:r>
    </w:p>
    <w:p>
      <w:pPr>
        <w:pageBreakBefore w:val="0"/>
        <w:kinsoku/>
        <w:wordWrap/>
        <w:topLinePunct w:val="0"/>
        <w:bidi w:val="0"/>
        <w:adjustRightInd w:val="0"/>
        <w:snapToGrid w:val="0"/>
        <w:spacing w:afterAutospacing="0" w:line="360" w:lineRule="auto"/>
        <w:ind w:firstLine="1606" w:firstLineChars="500"/>
        <w:textAlignment w:val="auto"/>
        <w:rPr>
          <w:rFonts w:hint="eastAsia" w:ascii="宋体" w:hAnsi="宋体" w:eastAsia="宋体" w:cs="宋体"/>
          <w:b/>
          <w:color w:val="auto"/>
          <w:sz w:val="32"/>
          <w:szCs w:val="32"/>
          <w:highlight w:val="none"/>
          <w:u w:val="single"/>
        </w:rPr>
      </w:pPr>
      <w:r>
        <w:rPr>
          <w:rFonts w:hint="eastAsia" w:ascii="宋体" w:hAnsi="宋体" w:eastAsia="宋体" w:cs="宋体"/>
          <w:b/>
          <w:color w:val="auto"/>
          <w:sz w:val="32"/>
          <w:szCs w:val="32"/>
          <w:highlight w:val="none"/>
        </w:rPr>
        <w:t>代理机构名称：</w:t>
      </w:r>
    </w:p>
    <w:p>
      <w:pPr>
        <w:pageBreakBefore w:val="0"/>
        <w:kinsoku/>
        <w:wordWrap/>
        <w:topLinePunct w:val="0"/>
        <w:bidi w:val="0"/>
        <w:adjustRightInd w:val="0"/>
        <w:snapToGrid w:val="0"/>
        <w:spacing w:afterAutospacing="0" w:line="360" w:lineRule="auto"/>
        <w:ind w:left="0" w:leftChars="0" w:firstLine="1606" w:firstLineChars="500"/>
        <w:textAlignment w:val="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合同生成日期：</w:t>
      </w:r>
    </w:p>
    <w:p>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pPr>
        <w:pStyle w:val="13"/>
        <w:rPr>
          <w:rFonts w:hint="eastAsia" w:ascii="宋体" w:hAnsi="宋体" w:eastAsia="宋体" w:cs="宋体"/>
        </w:rPr>
      </w:pPr>
    </w:p>
    <w:p>
      <w:pPr>
        <w:pageBreakBefore w:val="0"/>
        <w:kinsoku/>
        <w:wordWrap/>
        <w:topLinePunct w:val="0"/>
        <w:bidi w:val="0"/>
        <w:adjustRightInd w:val="0"/>
        <w:snapToGrid w:val="0"/>
        <w:spacing w:afterAutospacing="0" w:line="360" w:lineRule="auto"/>
        <w:ind w:firstLine="960" w:firstLineChars="400"/>
        <w:textAlignment w:val="auto"/>
        <w:rPr>
          <w:rFonts w:hint="eastAsia" w:ascii="宋体" w:hAnsi="宋体" w:eastAsia="宋体" w:cs="宋体"/>
          <w:b/>
          <w:color w:val="auto"/>
          <w:sz w:val="36"/>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（甲方）所需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4"/>
          <w:highlight w:val="none"/>
        </w:rPr>
        <w:t>(工程名称)经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rPr>
        <w:t>代理机构名称）以</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磋商文件在国内以竞争性磋商方式进行采购。经评审小组确定</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（乙方）为成交</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。甲、乙双方根据《中华人民共和国合同法》、《中华人民共和国政府招投标法》和其他法律、法规的规定，并按照公正、平等、自愿、诚实信用的原则，同意按照以下条款和条件，签署本合同。</w:t>
      </w:r>
    </w:p>
    <w:p>
      <w:pPr>
        <w:pageBreakBefore w:val="0"/>
        <w:kinsoku/>
        <w:wordWrap/>
        <w:topLinePunct w:val="0"/>
        <w:bidi w:val="0"/>
        <w:adjustRightInd w:val="0"/>
        <w:snapToGrid w:val="0"/>
        <w:spacing w:afterAutospacing="0"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一、本合同由合同文本和下列文件组成</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1、磋商文件</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2、成交</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报价文件</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3、成交</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在磋商过程中做出的有关澄清、说明或者补正文件</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4、本合同附件</w:t>
      </w:r>
    </w:p>
    <w:p>
      <w:pPr>
        <w:pageBreakBefore w:val="0"/>
        <w:kinsoku/>
        <w:wordWrap/>
        <w:topLinePunct w:val="0"/>
        <w:bidi w:val="0"/>
        <w:adjustRightInd w:val="0"/>
        <w:snapToGrid w:val="0"/>
        <w:spacing w:afterAutospacing="0" w:line="360" w:lineRule="auto"/>
        <w:ind w:left="378" w:leftChars="189"/>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二、项目的名称、内容</w:t>
      </w:r>
      <w:r>
        <w:rPr>
          <w:rFonts w:hint="eastAsia" w:ascii="宋体" w:hAnsi="宋体" w:eastAsia="宋体" w:cs="宋体"/>
          <w:color w:val="auto"/>
          <w:sz w:val="24"/>
          <w:szCs w:val="24"/>
          <w:highlight w:val="none"/>
        </w:rPr>
        <w:t>_____________________________________________________________</w:t>
      </w:r>
    </w:p>
    <w:p>
      <w:pPr>
        <w:pageBreakBefore w:val="0"/>
        <w:kinsoku/>
        <w:wordWrap/>
        <w:topLinePunct w:val="0"/>
        <w:bidi w:val="0"/>
        <w:adjustRightInd w:val="0"/>
        <w:snapToGrid w:val="0"/>
        <w:spacing w:afterAutospacing="0" w:line="360" w:lineRule="auto"/>
        <w:ind w:left="95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（可后附详细工程内容或项目合同）</w:t>
      </w:r>
    </w:p>
    <w:p>
      <w:pPr>
        <w:pageBreakBefore w:val="0"/>
        <w:kinsoku/>
        <w:wordWrap/>
        <w:topLinePunct w:val="0"/>
        <w:bidi w:val="0"/>
        <w:adjustRightInd w:val="0"/>
        <w:snapToGrid w:val="0"/>
        <w:spacing w:afterAutospacing="0" w:line="360" w:lineRule="auto"/>
        <w:ind w:firstLine="382"/>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三、合同金额</w:t>
      </w:r>
    </w:p>
    <w:p>
      <w:pPr>
        <w:pageBreakBefore w:val="0"/>
        <w:kinsoku/>
        <w:wordWrap/>
        <w:topLinePunct w:val="0"/>
        <w:bidi w:val="0"/>
        <w:adjustRightInd w:val="0"/>
        <w:snapToGrid w:val="0"/>
        <w:spacing w:afterAutospacing="0" w:line="360" w:lineRule="auto"/>
        <w:ind w:firstLine="3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本工程为固定总价合同。</w:t>
      </w:r>
    </w:p>
    <w:p>
      <w:pPr>
        <w:pageBreakBefore w:val="0"/>
        <w:kinsoku/>
        <w:wordWrap/>
        <w:topLinePunct w:val="0"/>
        <w:bidi w:val="0"/>
        <w:adjustRightInd w:val="0"/>
        <w:snapToGrid w:val="0"/>
        <w:spacing w:afterAutospacing="0" w:line="360" w:lineRule="auto"/>
        <w:ind w:firstLine="3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合同总金额：</w:t>
      </w:r>
      <w:r>
        <w:rPr>
          <w:rFonts w:hint="eastAsia" w:ascii="宋体" w:hAnsi="宋体" w:eastAsia="宋体" w:cs="宋体"/>
          <w:color w:val="auto"/>
          <w:sz w:val="24"/>
          <w:szCs w:val="24"/>
          <w:highlight w:val="none"/>
          <w:u w:val="single"/>
        </w:rPr>
        <w:t xml:space="preserve">人民币                       </w:t>
      </w:r>
      <w:r>
        <w:rPr>
          <w:rFonts w:hint="eastAsia" w:ascii="宋体" w:hAnsi="宋体" w:eastAsia="宋体" w:cs="宋体"/>
          <w:color w:val="auto"/>
          <w:sz w:val="10"/>
          <w:szCs w:val="10"/>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（大写）</w:t>
      </w:r>
    </w:p>
    <w:p>
      <w:pPr>
        <w:pageBreakBefore w:val="0"/>
        <w:kinsoku/>
        <w:wordWrap/>
        <w:topLinePunct w:val="0"/>
        <w:bidi w:val="0"/>
        <w:adjustRightInd w:val="0"/>
        <w:snapToGrid w:val="0"/>
        <w:spacing w:afterAutospacing="0" w:line="360" w:lineRule="auto"/>
        <w:ind w:firstLine="955"/>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人民币                                     </w:t>
      </w:r>
      <w:r>
        <w:rPr>
          <w:rFonts w:hint="eastAsia" w:ascii="宋体" w:hAnsi="宋体" w:eastAsia="宋体" w:cs="宋体"/>
          <w:color w:val="auto"/>
          <w:sz w:val="24"/>
          <w:szCs w:val="24"/>
          <w:highlight w:val="none"/>
        </w:rPr>
        <w:t>（小写）</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四、付款</w:t>
      </w:r>
    </w:p>
    <w:p>
      <w:pPr>
        <w:pageBreakBefore w:val="0"/>
        <w:kinsoku/>
        <w:wordWrap/>
        <w:topLinePunct w:val="0"/>
        <w:bidi w:val="0"/>
        <w:adjustRightInd w:val="0"/>
        <w:snapToGrid w:val="0"/>
        <w:spacing w:afterAutospacing="0" w:line="360" w:lineRule="auto"/>
        <w:ind w:firstLine="382"/>
        <w:textAlignment w:val="auto"/>
        <w:rPr>
          <w:rFonts w:hint="eastAsia" w:ascii="宋体" w:hAnsi="宋体" w:eastAsia="宋体" w:cs="宋体"/>
          <w:color w:val="auto"/>
          <w:sz w:val="24"/>
          <w:szCs w:val="24"/>
          <w:highlight w:val="none"/>
          <w:u w:val="single"/>
        </w:rPr>
      </w:pPr>
      <w:r>
        <w:rPr>
          <w:rFonts w:hint="eastAsia" w:ascii="宋体" w:hAnsi="宋体" w:eastAsia="宋体" w:cs="宋体"/>
          <w:bCs/>
          <w:color w:val="auto"/>
          <w:sz w:val="24"/>
          <w:szCs w:val="24"/>
          <w:highlight w:val="none"/>
        </w:rPr>
        <w:t>1、</w:t>
      </w:r>
      <w:r>
        <w:rPr>
          <w:rFonts w:hint="eastAsia" w:ascii="宋体" w:hAnsi="宋体" w:eastAsia="宋体" w:cs="宋体"/>
          <w:color w:val="auto"/>
          <w:sz w:val="24"/>
          <w:szCs w:val="24"/>
          <w:highlight w:val="none"/>
        </w:rPr>
        <w:t>付款方式：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pPr>
        <w:pageBreakBefore w:val="0"/>
        <w:tabs>
          <w:tab w:val="left" w:pos="764"/>
        </w:tabs>
        <w:kinsoku/>
        <w:wordWrap/>
        <w:topLinePunct w:val="0"/>
        <w:bidi w:val="0"/>
        <w:adjustRightInd w:val="0"/>
        <w:snapToGrid w:val="0"/>
        <w:spacing w:afterAutospacing="0" w:line="360" w:lineRule="auto"/>
        <w:ind w:firstLine="236" w:firstLineChars="98"/>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五、时间、地点、验收方式</w:t>
      </w:r>
    </w:p>
    <w:p>
      <w:pPr>
        <w:pageBreakBefore w:val="0"/>
        <w:tabs>
          <w:tab w:val="left" w:pos="764"/>
        </w:tabs>
        <w:kinsoku/>
        <w:wordWrap/>
        <w:topLinePunct w:val="0"/>
        <w:bidi w:val="0"/>
        <w:adjustRightInd w:val="0"/>
        <w:snapToGrid w:val="0"/>
        <w:spacing w:afterAutospacing="0" w:line="360" w:lineRule="auto"/>
        <w:ind w:firstLine="235" w:firstLineChars="98"/>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xml:space="preserve"> 1、时间：合同生效后于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以前，乙方完成全部工作。</w:t>
      </w:r>
    </w:p>
    <w:p>
      <w:pPr>
        <w:pageBreakBefore w:val="0"/>
        <w:tabs>
          <w:tab w:val="left" w:pos="764"/>
        </w:tabs>
        <w:kinsoku/>
        <w:wordWrap/>
        <w:topLinePunct w:val="0"/>
        <w:bidi w:val="0"/>
        <w:adjustRightInd w:val="0"/>
        <w:snapToGrid w:val="0"/>
        <w:spacing w:afterAutospacing="0" w:line="360" w:lineRule="auto"/>
        <w:ind w:firstLine="235" w:firstLineChars="98"/>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xml:space="preserve"> 2、地点：甲方指定地点。</w:t>
      </w:r>
    </w:p>
    <w:p>
      <w:pPr>
        <w:pageBreakBefore w:val="0"/>
        <w:tabs>
          <w:tab w:val="left" w:pos="764"/>
        </w:tabs>
        <w:kinsoku/>
        <w:wordWrap/>
        <w:topLinePunct w:val="0"/>
        <w:bidi w:val="0"/>
        <w:adjustRightInd w:val="0"/>
        <w:snapToGrid w:val="0"/>
        <w:spacing w:afterAutospacing="0" w:line="360" w:lineRule="auto"/>
        <w:ind w:firstLine="235" w:firstLineChars="98"/>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xml:space="preserve"> 3、验收方式：甲方自行组织验收。</w:t>
      </w:r>
    </w:p>
    <w:p>
      <w:pPr>
        <w:pageBreakBefore w:val="0"/>
        <w:kinsoku/>
        <w:wordWrap/>
        <w:topLinePunct w:val="0"/>
        <w:bidi w:val="0"/>
        <w:adjustRightInd w:val="0"/>
        <w:snapToGrid w:val="0"/>
        <w:spacing w:afterAutospacing="0" w:line="360" w:lineRule="auto"/>
        <w:ind w:left="362" w:leftChars="181" w:firstLine="2"/>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六、合同生效</w:t>
      </w:r>
    </w:p>
    <w:p>
      <w:pPr>
        <w:pageBreakBefore w:val="0"/>
        <w:kinsoku/>
        <w:wordWrap/>
        <w:topLinePunct w:val="0"/>
        <w:bidi w:val="0"/>
        <w:adjustRightInd w:val="0"/>
        <w:snapToGrid w:val="0"/>
        <w:spacing w:afterAutospacing="0" w:line="360" w:lineRule="auto"/>
        <w:ind w:left="362" w:leftChars="181" w:firstLine="2"/>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xml:space="preserve">本合同为附条件生效合同，除甲乙双方签章，同时加盖代理机构合同审核章后，合同生效。 </w:t>
      </w:r>
    </w:p>
    <w:p>
      <w:pPr>
        <w:pageBreakBefore w:val="0"/>
        <w:kinsoku/>
        <w:wordWrap/>
        <w:topLinePunct w:val="0"/>
        <w:bidi w:val="0"/>
        <w:adjustRightInd w:val="0"/>
        <w:snapToGrid w:val="0"/>
        <w:spacing w:afterAutospacing="0" w:line="360" w:lineRule="auto"/>
        <w:ind w:left="362" w:leftChars="181" w:firstLine="2"/>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七、合同保存</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本合同一式六份，甲方二份，乙方一份，代理机构三份。</w:t>
      </w:r>
    </w:p>
    <w:p>
      <w:pPr>
        <w:pageBreakBefore w:val="0"/>
        <w:kinsoku/>
        <w:wordWrap/>
        <w:topLinePunct w:val="0"/>
        <w:bidi w:val="0"/>
        <w:adjustRightInd w:val="0"/>
        <w:snapToGrid w:val="0"/>
        <w:spacing w:afterAutospacing="0" w:line="360" w:lineRule="auto"/>
        <w:ind w:left="362" w:leftChars="181" w:firstLine="2"/>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八、违约条款</w:t>
      </w:r>
    </w:p>
    <w:p>
      <w:pPr>
        <w:pageBreakBefore w:val="0"/>
        <w:tabs>
          <w:tab w:val="left" w:pos="955"/>
          <w:tab w:val="left" w:pos="1146"/>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（1）合同一方违约，违约方向对方支付违约金，违约金额为成交金额的10%。</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违约， 可直接从质保金中扣除；采购单位违约， 从采购款项中扣除。</w:t>
      </w:r>
    </w:p>
    <w:p>
      <w:pPr>
        <w:pageBreakBefore w:val="0"/>
        <w:tabs>
          <w:tab w:val="left" w:pos="955"/>
          <w:tab w:val="left" w:pos="1146"/>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（2）成交</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给采购单位造成的实际损失高于违约金的，成交</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应给采购单位对高出违约金的部分予以赔偿。</w:t>
      </w:r>
    </w:p>
    <w:p>
      <w:pPr>
        <w:pageBreakBefore w:val="0"/>
        <w:tabs>
          <w:tab w:val="left" w:pos="955"/>
          <w:tab w:val="left" w:pos="1146"/>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（3）成交</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迟延履行合同、不完全履行合同或提供的服务不符合磋商文件的要求，除支付违约金外，采购单位有权要求其继续履行合同或重新提供符合要求的服务或解除本合同。采购单位要求解除本合同的， 成交</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应退回采购单位已付合同价款并赔偿损失。</w:t>
      </w:r>
    </w:p>
    <w:p>
      <w:pPr>
        <w:pageBreakBefore w:val="0"/>
        <w:tabs>
          <w:tab w:val="left" w:pos="955"/>
          <w:tab w:val="left" w:pos="1146"/>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（4）其它未尽事宜，以《中华人民共和国合同法》规定为准。</w:t>
      </w:r>
    </w:p>
    <w:p>
      <w:pPr>
        <w:pageBreakBefore w:val="0"/>
        <w:tabs>
          <w:tab w:val="left" w:pos="955"/>
          <w:tab w:val="left" w:pos="1146"/>
        </w:tabs>
        <w:kinsoku/>
        <w:wordWrap/>
        <w:topLinePunct w:val="0"/>
        <w:bidi w:val="0"/>
        <w:adjustRightInd w:val="0"/>
        <w:snapToGrid w:val="0"/>
        <w:spacing w:afterAutospacing="0"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九、争议解决</w:t>
      </w:r>
    </w:p>
    <w:p>
      <w:pPr>
        <w:pageBreakBefore w:val="0"/>
        <w:tabs>
          <w:tab w:val="left" w:pos="955"/>
          <w:tab w:val="left" w:pos="1146"/>
        </w:tabs>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本</w:t>
      </w:r>
      <w:r>
        <w:rPr>
          <w:rFonts w:hint="eastAsia" w:ascii="宋体" w:hAnsi="宋体" w:eastAsia="宋体" w:cs="宋体"/>
          <w:color w:val="auto"/>
          <w:sz w:val="24"/>
          <w:szCs w:val="24"/>
          <w:highlight w:val="none"/>
        </w:rPr>
        <w:t>合同履行过程中发生的或者与本合同有关的任何争议，甲乙双方应协商解决，协商不成的，应向甲方住所地人民法院起诉解决。</w:t>
      </w:r>
    </w:p>
    <w:p>
      <w:pPr>
        <w:pageBreakBefore w:val="0"/>
        <w:tabs>
          <w:tab w:val="left" w:pos="955"/>
          <w:tab w:val="left" w:pos="1146"/>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    方（公章）：                     乙    方（公章）：</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法定代表人或授权代理人：（签字）       法定代表人或授权代理人：（签字）</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开户单位：                             开户单位：</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开户银行：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开户银行：</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帐    号：                             帐    号： </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                             地    址：</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邮政编码：                             邮政编码：</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                             电    话：</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签订时间：</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 xml:space="preserve">  签订时间：</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highlight w:val="none"/>
        </w:rPr>
      </w:pP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此处加盖代理机构合同审核章，并签署日期（同时甲方、乙方、代理机构加盖骑缝章）</w:t>
      </w:r>
    </w:p>
    <w:p>
      <w:pPr>
        <w:jc w:val="center"/>
        <w:rPr>
          <w:rFonts w:hint="eastAsia" w:ascii="宋体" w:hAnsi="宋体" w:eastAsia="宋体" w:cs="宋体"/>
          <w:b/>
          <w:color w:val="auto"/>
          <w:sz w:val="44"/>
          <w:szCs w:val="44"/>
          <w:highlight w:val="none"/>
        </w:rPr>
      </w:pPr>
    </w:p>
    <w:p>
      <w:pPr>
        <w:jc w:val="center"/>
        <w:rPr>
          <w:rFonts w:hint="eastAsia" w:ascii="宋体" w:hAnsi="宋体" w:eastAsia="宋体" w:cs="宋体"/>
          <w:b/>
          <w:color w:val="auto"/>
          <w:sz w:val="44"/>
          <w:szCs w:val="44"/>
          <w:highlight w:val="none"/>
        </w:rPr>
      </w:pPr>
    </w:p>
    <w:p>
      <w:pPr>
        <w:jc w:val="center"/>
        <w:rPr>
          <w:rFonts w:hint="eastAsia" w:ascii="宋体" w:hAnsi="宋体" w:eastAsia="宋体" w:cs="宋体"/>
          <w:b w:val="0"/>
          <w:bCs/>
          <w:color w:val="auto"/>
          <w:sz w:val="32"/>
          <w:szCs w:val="32"/>
          <w:highlight w:val="none"/>
        </w:rPr>
      </w:pPr>
      <w:r>
        <w:rPr>
          <w:rFonts w:hint="eastAsia" w:ascii="宋体" w:hAnsi="宋体" w:cs="宋体"/>
          <w:b w:val="0"/>
          <w:bCs/>
          <w:color w:val="auto"/>
          <w:sz w:val="32"/>
          <w:szCs w:val="32"/>
          <w:highlight w:val="none"/>
          <w:lang w:eastAsia="zh-CN"/>
        </w:rPr>
        <w:t>附：</w:t>
      </w:r>
      <w:r>
        <w:rPr>
          <w:rFonts w:hint="eastAsia" w:ascii="宋体" w:hAnsi="宋体" w:eastAsia="宋体" w:cs="宋体"/>
          <w:b w:val="0"/>
          <w:bCs/>
          <w:color w:val="auto"/>
          <w:sz w:val="32"/>
          <w:szCs w:val="32"/>
          <w:highlight w:val="none"/>
        </w:rPr>
        <w:t>详 细 工 程 内 容</w:t>
      </w:r>
    </w:p>
    <w:p>
      <w:pPr>
        <w:rPr>
          <w:rFonts w:hint="eastAsia" w:ascii="宋体" w:hAnsi="宋体" w:eastAsia="宋体" w:cs="宋体"/>
          <w:color w:val="auto"/>
          <w:highlight w:val="none"/>
        </w:rPr>
      </w:pPr>
      <w:bookmarkStart w:id="221" w:name="_Toc181180300"/>
      <w:bookmarkStart w:id="222" w:name="_Toc183264344"/>
      <w:bookmarkStart w:id="223" w:name="_Toc27984"/>
      <w:bookmarkStart w:id="224" w:name="_Toc31366"/>
      <w:bookmarkStart w:id="225" w:name="_Toc3663"/>
      <w:bookmarkStart w:id="226" w:name="_Toc28451"/>
      <w:bookmarkStart w:id="227" w:name="_Toc5436"/>
      <w:bookmarkStart w:id="228" w:name="_Toc28834"/>
      <w:bookmarkStart w:id="229" w:name="_Toc10012"/>
      <w:bookmarkStart w:id="230" w:name="_Toc25183"/>
      <w:bookmarkStart w:id="231" w:name="_Toc6525"/>
      <w:bookmarkStart w:id="232" w:name="_Toc4371"/>
      <w:bookmarkStart w:id="233" w:name="_Toc31690"/>
      <w:bookmarkStart w:id="234" w:name="_Toc9490"/>
      <w:bookmarkStart w:id="235" w:name="_Toc31628"/>
      <w:r>
        <w:rPr>
          <w:rFonts w:hint="eastAsia" w:ascii="宋体" w:hAnsi="宋体" w:eastAsia="宋体" w:cs="宋体"/>
          <w:color w:val="auto"/>
          <w:highlight w:val="none"/>
        </w:rPr>
        <w:br w:type="page"/>
      </w:r>
    </w:p>
    <w:p>
      <w:pPr>
        <w:pStyle w:val="4"/>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b w:val="0"/>
          <w:color w:val="auto"/>
          <w:szCs w:val="36"/>
          <w:highlight w:val="none"/>
        </w:rPr>
      </w:pPr>
      <w:r>
        <w:rPr>
          <w:rFonts w:hint="eastAsia" w:ascii="宋体" w:hAnsi="宋体" w:eastAsia="宋体" w:cs="宋体"/>
          <w:color w:val="auto"/>
          <w:highlight w:val="none"/>
        </w:rPr>
        <w:t xml:space="preserve">第六部分  </w:t>
      </w:r>
      <w:bookmarkEnd w:id="221"/>
      <w:bookmarkEnd w:id="222"/>
      <w:r>
        <w:rPr>
          <w:rFonts w:hint="eastAsia" w:ascii="宋体" w:hAnsi="宋体" w:eastAsia="宋体" w:cs="宋体"/>
          <w:color w:val="auto"/>
          <w:highlight w:val="none"/>
        </w:rPr>
        <w:t>报价函部分格式</w:t>
      </w:r>
      <w:bookmarkEnd w:id="223"/>
      <w:bookmarkEnd w:id="224"/>
      <w:bookmarkEnd w:id="225"/>
      <w:bookmarkEnd w:id="226"/>
      <w:bookmarkEnd w:id="227"/>
      <w:bookmarkEnd w:id="228"/>
      <w:bookmarkEnd w:id="229"/>
      <w:bookmarkEnd w:id="230"/>
      <w:bookmarkEnd w:id="231"/>
      <w:bookmarkEnd w:id="232"/>
      <w:bookmarkEnd w:id="233"/>
      <w:bookmarkEnd w:id="234"/>
      <w:bookmarkEnd w:id="235"/>
    </w:p>
    <w:p>
      <w:pPr>
        <w:pStyle w:val="76"/>
        <w:pageBreakBefore w:val="0"/>
        <w:kinsoku/>
        <w:wordWrap/>
        <w:topLinePunct w:val="0"/>
        <w:bidi w:val="0"/>
        <w:adjustRightInd w:val="0"/>
        <w:snapToGrid w:val="0"/>
        <w:spacing w:afterAutospacing="0" w:line="360" w:lineRule="auto"/>
        <w:textAlignment w:val="auto"/>
        <w:outlineLvl w:val="1"/>
        <w:rPr>
          <w:rFonts w:hint="eastAsia" w:ascii="宋体" w:hAnsi="宋体" w:eastAsia="宋体" w:cs="宋体"/>
          <w:color w:val="auto"/>
          <w:highlight w:val="none"/>
        </w:rPr>
      </w:pPr>
      <w:bookmarkStart w:id="236" w:name="_Toc183264345"/>
      <w:bookmarkStart w:id="237" w:name="_Toc28419"/>
      <w:bookmarkStart w:id="238" w:name="_Toc14653"/>
      <w:bookmarkStart w:id="239" w:name="_Toc32715"/>
      <w:bookmarkStart w:id="240" w:name="_Toc25577"/>
      <w:bookmarkStart w:id="241" w:name="_Toc13443"/>
      <w:bookmarkStart w:id="242" w:name="_Toc8362"/>
      <w:bookmarkStart w:id="243" w:name="_Toc26493"/>
      <w:bookmarkStart w:id="244" w:name="_Toc3757"/>
      <w:bookmarkStart w:id="245" w:name="_Toc5820"/>
      <w:bookmarkStart w:id="246" w:name="_Toc1967"/>
      <w:bookmarkStart w:id="247" w:name="_Toc23040"/>
      <w:bookmarkStart w:id="248" w:name="_Toc31460"/>
      <w:r>
        <w:rPr>
          <w:rFonts w:hint="eastAsia" w:ascii="宋体" w:hAnsi="宋体" w:eastAsia="宋体" w:cs="宋体"/>
          <w:color w:val="auto"/>
          <w:highlight w:val="none"/>
        </w:rPr>
        <w:t>一、</w:t>
      </w:r>
      <w:bookmarkEnd w:id="236"/>
      <w:r>
        <w:rPr>
          <w:rFonts w:hint="eastAsia" w:ascii="宋体" w:hAnsi="宋体" w:eastAsia="宋体" w:cs="宋体"/>
          <w:color w:val="auto"/>
          <w:highlight w:val="none"/>
          <w:lang w:eastAsia="zh-CN"/>
        </w:rPr>
        <w:t>报</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eastAsia="zh-CN"/>
        </w:rPr>
        <w:t>价</w:t>
      </w:r>
      <w:r>
        <w:rPr>
          <w:rFonts w:hint="eastAsia" w:ascii="宋体" w:hAnsi="宋体" w:eastAsia="宋体" w:cs="宋体"/>
          <w:color w:val="auto"/>
          <w:highlight w:val="none"/>
        </w:rPr>
        <w:t xml:space="preserve">  函</w:t>
      </w:r>
      <w:bookmarkEnd w:id="237"/>
      <w:bookmarkEnd w:id="238"/>
      <w:bookmarkEnd w:id="239"/>
      <w:bookmarkEnd w:id="240"/>
      <w:bookmarkEnd w:id="241"/>
      <w:bookmarkEnd w:id="242"/>
      <w:bookmarkEnd w:id="243"/>
      <w:bookmarkEnd w:id="244"/>
      <w:bookmarkEnd w:id="245"/>
      <w:bookmarkEnd w:id="246"/>
      <w:bookmarkEnd w:id="247"/>
      <w:bookmarkEnd w:id="248"/>
    </w:p>
    <w:p>
      <w:pPr>
        <w:pStyle w:val="17"/>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采购人：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经研究，我方决定参加项目编号为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的项目的竞争性磋商活动并提交报价文件，为此，我方郑重声明以下诸点，并负法律责任。</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1、我方提交的报价文件，正本一份，副本</w:t>
      </w:r>
      <w:r>
        <w:rPr>
          <w:rFonts w:hint="eastAsia" w:hAnsi="宋体" w:cs="宋体"/>
          <w:color w:val="auto"/>
          <w:highlight w:val="none"/>
          <w:u w:val="single"/>
          <w:lang w:val="en-US" w:eastAsia="zh-CN"/>
        </w:rPr>
        <w:t xml:space="preserve">    </w:t>
      </w:r>
      <w:r>
        <w:rPr>
          <w:rFonts w:hint="eastAsia" w:ascii="宋体" w:hAnsi="宋体" w:eastAsia="宋体" w:cs="宋体"/>
          <w:color w:val="auto"/>
          <w:highlight w:val="none"/>
        </w:rPr>
        <w:t>份。</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2、如果我方的报价文件被接受，我方将履行竞争性磋商文件中规定的每一项要求，并按我方报价文件及其承诺按期、保质、保量提供服务。</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3、我方理解最低报价不是</w:t>
      </w:r>
      <w:r>
        <w:rPr>
          <w:rFonts w:hint="eastAsia" w:hAnsi="宋体" w:cs="宋体"/>
          <w:color w:val="auto"/>
          <w:highlight w:val="none"/>
          <w:lang w:eastAsia="zh-CN"/>
        </w:rPr>
        <w:t>成交</w:t>
      </w:r>
      <w:r>
        <w:rPr>
          <w:rFonts w:hint="eastAsia" w:ascii="宋体" w:hAnsi="宋体" w:eastAsia="宋体" w:cs="宋体"/>
          <w:color w:val="auto"/>
          <w:highlight w:val="none"/>
        </w:rPr>
        <w:t>的唯一条件，贵机构有选择</w:t>
      </w:r>
      <w:r>
        <w:rPr>
          <w:rFonts w:hint="eastAsia" w:ascii="宋体" w:hAnsi="宋体" w:eastAsia="宋体" w:cs="宋体"/>
          <w:color w:val="auto"/>
          <w:highlight w:val="none"/>
          <w:lang w:eastAsia="zh-CN"/>
        </w:rPr>
        <w:t>成交供应商</w:t>
      </w:r>
      <w:r>
        <w:rPr>
          <w:rFonts w:hint="eastAsia" w:ascii="宋体" w:hAnsi="宋体" w:eastAsia="宋体" w:cs="宋体"/>
          <w:color w:val="auto"/>
          <w:highlight w:val="none"/>
        </w:rPr>
        <w:t>的权利。</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4、我方愿按《中华人民共和国合同法》履行自己的全部责任。</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5、我方同意按竞争性磋商文件规定交纳</w:t>
      </w:r>
      <w:r>
        <w:rPr>
          <w:rFonts w:hint="eastAsia" w:hAnsi="宋体" w:cs="宋体"/>
          <w:color w:val="auto"/>
          <w:highlight w:val="none"/>
          <w:lang w:eastAsia="zh-CN"/>
        </w:rPr>
        <w:t>成交</w:t>
      </w:r>
      <w:r>
        <w:rPr>
          <w:rFonts w:hint="eastAsia" w:ascii="宋体" w:hAnsi="宋体" w:eastAsia="宋体" w:cs="宋体"/>
          <w:color w:val="auto"/>
          <w:highlight w:val="none"/>
        </w:rPr>
        <w:t>服务费、公证费（见证费），并遵守贵机构有关磋商会议的各项规定。</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6、我方的报价文件自公开报价之日起有效期为</w:t>
      </w:r>
      <w:r>
        <w:rPr>
          <w:rFonts w:hint="eastAsia" w:ascii="宋体" w:hAnsi="宋体" w:eastAsia="宋体" w:cs="宋体"/>
          <w:color w:val="auto"/>
          <w:highlight w:val="none"/>
          <w:u w:val="single"/>
        </w:rPr>
        <w:t>90</w:t>
      </w:r>
      <w:r>
        <w:rPr>
          <w:rFonts w:hint="eastAsia" w:ascii="宋体" w:hAnsi="宋体" w:eastAsia="宋体" w:cs="宋体"/>
          <w:color w:val="auto"/>
          <w:highlight w:val="none"/>
        </w:rPr>
        <w:t>日历日。</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7、我方若未成为成交</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，贵机构有权不做解释。</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8、与本</w:t>
      </w:r>
      <w:r>
        <w:rPr>
          <w:rFonts w:hint="eastAsia" w:hAnsi="宋体" w:cs="宋体"/>
          <w:color w:val="auto"/>
          <w:highlight w:val="none"/>
          <w:lang w:eastAsia="zh-CN"/>
        </w:rPr>
        <w:t>报价</w:t>
      </w:r>
      <w:r>
        <w:rPr>
          <w:rFonts w:hint="eastAsia" w:ascii="宋体" w:hAnsi="宋体" w:eastAsia="宋体" w:cs="宋体"/>
          <w:color w:val="auto"/>
          <w:highlight w:val="none"/>
        </w:rPr>
        <w:t>有关的一切正式往来通讯请寄：</w:t>
      </w:r>
    </w:p>
    <w:p>
      <w:pPr>
        <w:pStyle w:val="17"/>
        <w:pageBreakBefore w:val="0"/>
        <w:kinsoku/>
        <w:wordWrap/>
        <w:topLinePunct w:val="0"/>
        <w:bidi w:val="0"/>
        <w:adjustRightInd w:val="0"/>
        <w:snapToGrid w:val="0"/>
        <w:spacing w:afterAutospacing="0" w:line="360" w:lineRule="auto"/>
        <w:ind w:left="544" w:leftChars="272" w:firstLine="382"/>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代表姓名、职务：</w:t>
      </w:r>
    </w:p>
    <w:p>
      <w:pPr>
        <w:pStyle w:val="17"/>
        <w:pageBreakBefore w:val="0"/>
        <w:kinsoku/>
        <w:wordWrap/>
        <w:topLinePunct w:val="0"/>
        <w:bidi w:val="0"/>
        <w:adjustRightInd w:val="0"/>
        <w:snapToGrid w:val="0"/>
        <w:spacing w:afterAutospacing="0" w:line="360" w:lineRule="auto"/>
        <w:ind w:left="544" w:leftChars="272" w:firstLine="382"/>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单位全称（公章）</w:t>
      </w:r>
    </w:p>
    <w:p>
      <w:pPr>
        <w:pStyle w:val="17"/>
        <w:pageBreakBefore w:val="0"/>
        <w:kinsoku/>
        <w:wordWrap/>
        <w:topLinePunct w:val="0"/>
        <w:bidi w:val="0"/>
        <w:adjustRightInd w:val="0"/>
        <w:snapToGrid w:val="0"/>
        <w:spacing w:afterAutospacing="0" w:line="360" w:lineRule="auto"/>
        <w:ind w:left="544" w:leftChars="272" w:firstLine="382"/>
        <w:textAlignment w:val="auto"/>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法定代表人或其授权代理人签字：</w:t>
      </w:r>
    </w:p>
    <w:p>
      <w:pPr>
        <w:pStyle w:val="17"/>
        <w:pageBreakBefore w:val="0"/>
        <w:kinsoku/>
        <w:wordWrap/>
        <w:topLinePunct w:val="0"/>
        <w:bidi w:val="0"/>
        <w:adjustRightInd w:val="0"/>
        <w:snapToGrid w:val="0"/>
        <w:spacing w:afterAutospacing="0" w:line="360" w:lineRule="auto"/>
        <w:ind w:left="544" w:leftChars="272"/>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地    址：</w:t>
      </w:r>
    </w:p>
    <w:p>
      <w:pPr>
        <w:pStyle w:val="17"/>
        <w:pageBreakBefore w:val="0"/>
        <w:kinsoku/>
        <w:wordWrap/>
        <w:topLinePunct w:val="0"/>
        <w:bidi w:val="0"/>
        <w:adjustRightInd w:val="0"/>
        <w:snapToGrid w:val="0"/>
        <w:spacing w:afterAutospacing="0" w:line="360" w:lineRule="auto"/>
        <w:ind w:left="544" w:leftChars="272"/>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邮政编码：</w:t>
      </w:r>
    </w:p>
    <w:p>
      <w:pPr>
        <w:pStyle w:val="17"/>
        <w:pageBreakBefore w:val="0"/>
        <w:kinsoku/>
        <w:wordWrap/>
        <w:topLinePunct w:val="0"/>
        <w:bidi w:val="0"/>
        <w:adjustRightInd w:val="0"/>
        <w:snapToGrid w:val="0"/>
        <w:spacing w:afterAutospacing="0" w:line="360" w:lineRule="auto"/>
        <w:ind w:left="544" w:leftChars="272"/>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电    话：</w:t>
      </w:r>
    </w:p>
    <w:p>
      <w:pPr>
        <w:pStyle w:val="17"/>
        <w:pageBreakBefore w:val="0"/>
        <w:kinsoku/>
        <w:wordWrap/>
        <w:topLinePunct w:val="0"/>
        <w:bidi w:val="0"/>
        <w:adjustRightInd w:val="0"/>
        <w:snapToGrid w:val="0"/>
        <w:spacing w:afterAutospacing="0" w:line="360" w:lineRule="auto"/>
        <w:ind w:left="544" w:leftChars="272"/>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传    真：</w:t>
      </w:r>
    </w:p>
    <w:p>
      <w:pPr>
        <w:pStyle w:val="17"/>
        <w:pageBreakBefore w:val="0"/>
        <w:tabs>
          <w:tab w:val="left" w:pos="0"/>
          <w:tab w:val="left" w:pos="720"/>
          <w:tab w:val="left" w:pos="1440"/>
          <w:tab w:val="left" w:pos="2160"/>
          <w:tab w:val="left" w:pos="2880"/>
          <w:tab w:val="left" w:pos="3600"/>
          <w:tab w:val="left" w:pos="4320"/>
        </w:tabs>
        <w:kinsoku/>
        <w:wordWrap/>
        <w:topLinePunct w:val="0"/>
        <w:bidi w:val="0"/>
        <w:adjustRightInd w:val="0"/>
        <w:snapToGrid w:val="0"/>
        <w:spacing w:afterAutospacing="0" w:line="360" w:lineRule="auto"/>
        <w:ind w:left="6660" w:firstLine="480"/>
        <w:textAlignment w:val="auto"/>
        <w:rPr>
          <w:rFonts w:hint="eastAsia" w:ascii="宋体" w:hAnsi="宋体" w:eastAsia="宋体" w:cs="宋体"/>
          <w:color w:val="auto"/>
          <w:highlight w:val="none"/>
        </w:rPr>
      </w:pPr>
    </w:p>
    <w:p>
      <w:pPr>
        <w:pStyle w:val="17"/>
        <w:pageBreakBefore w:val="0"/>
        <w:tabs>
          <w:tab w:val="left" w:pos="0"/>
          <w:tab w:val="left" w:pos="720"/>
          <w:tab w:val="left" w:pos="1440"/>
          <w:tab w:val="left" w:pos="2160"/>
          <w:tab w:val="left" w:pos="2880"/>
          <w:tab w:val="left" w:pos="3600"/>
          <w:tab w:val="left" w:pos="4320"/>
        </w:tabs>
        <w:kinsoku/>
        <w:wordWrap/>
        <w:topLinePunct w:val="0"/>
        <w:bidi w:val="0"/>
        <w:adjustRightInd w:val="0"/>
        <w:snapToGrid w:val="0"/>
        <w:spacing w:afterAutospacing="0" w:line="360" w:lineRule="auto"/>
        <w:ind w:left="6660" w:firstLine="480"/>
        <w:textAlignment w:val="auto"/>
        <w:rPr>
          <w:rFonts w:hint="eastAsia" w:ascii="宋体" w:hAnsi="宋体" w:eastAsia="宋体" w:cs="宋体"/>
          <w:b/>
          <w:color w:val="auto"/>
          <w:highlight w:val="none"/>
        </w:rPr>
      </w:pPr>
      <w:r>
        <w:rPr>
          <w:rFonts w:hint="eastAsia" w:ascii="宋体" w:hAnsi="宋体" w:eastAsia="宋体" w:cs="宋体"/>
          <w:color w:val="auto"/>
          <w:highlight w:val="none"/>
        </w:rPr>
        <w:t>年   月   日</w:t>
      </w:r>
      <w:bookmarkStart w:id="249" w:name="_Toc10170"/>
      <w:bookmarkStart w:id="250" w:name="_Toc7637"/>
      <w:bookmarkStart w:id="251" w:name="_Toc10519"/>
      <w:bookmarkStart w:id="252" w:name="_Toc17009"/>
      <w:bookmarkStart w:id="253" w:name="_Toc183264346"/>
    </w:p>
    <w:bookmarkEnd w:id="249"/>
    <w:bookmarkEnd w:id="250"/>
    <w:bookmarkEnd w:id="251"/>
    <w:p>
      <w:pPr>
        <w:rPr>
          <w:rFonts w:hint="eastAsia" w:ascii="宋体" w:hAnsi="宋体" w:eastAsia="宋体" w:cs="宋体"/>
          <w:color w:val="auto"/>
          <w:szCs w:val="22"/>
          <w:highlight w:val="none"/>
        </w:rPr>
      </w:pPr>
      <w:bookmarkStart w:id="254" w:name="_Toc9805"/>
      <w:bookmarkStart w:id="255" w:name="_Toc13445"/>
      <w:bookmarkStart w:id="256" w:name="_Toc6430"/>
      <w:bookmarkStart w:id="257" w:name="_Toc9563"/>
      <w:bookmarkStart w:id="258" w:name="_Toc23301"/>
      <w:bookmarkStart w:id="259" w:name="_Toc806"/>
      <w:bookmarkStart w:id="260" w:name="_Toc15853"/>
      <w:bookmarkStart w:id="261" w:name="_Toc10451"/>
      <w:bookmarkStart w:id="262" w:name="_Toc740"/>
      <w:bookmarkStart w:id="263" w:name="_Toc1499"/>
      <w:bookmarkStart w:id="264" w:name="_Toc11257"/>
      <w:r>
        <w:rPr>
          <w:rFonts w:hint="eastAsia" w:ascii="宋体" w:hAnsi="宋体" w:eastAsia="宋体" w:cs="宋体"/>
          <w:color w:val="auto"/>
          <w:szCs w:val="22"/>
          <w:highlight w:val="none"/>
        </w:rPr>
        <w:br w:type="page"/>
      </w:r>
    </w:p>
    <w:p>
      <w:pPr>
        <w:pStyle w:val="17"/>
        <w:pageBreakBefore w:val="0"/>
        <w:kinsoku/>
        <w:wordWrap/>
        <w:topLinePunct w:val="0"/>
        <w:bidi w:val="0"/>
        <w:adjustRightInd w:val="0"/>
        <w:snapToGrid w:val="0"/>
        <w:spacing w:afterAutospacing="0" w:line="360" w:lineRule="auto"/>
        <w:ind w:left="-2" w:firstLine="480"/>
        <w:jc w:val="center"/>
        <w:textAlignment w:val="auto"/>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二、法定代表人身份证明书</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单位名称：</w:t>
      </w:r>
      <w:r>
        <w:rPr>
          <w:rFonts w:hint="eastAsia" w:ascii="宋体" w:hAnsi="宋体" w:eastAsia="宋体" w:cs="宋体"/>
          <w:color w:val="auto"/>
          <w:szCs w:val="22"/>
          <w:highlight w:val="none"/>
        </w:rPr>
        <w:tab/>
      </w:r>
      <w:r>
        <w:rPr>
          <w:rFonts w:hint="eastAsia" w:ascii="宋体" w:hAnsi="宋体" w:eastAsia="宋体" w:cs="宋体"/>
          <w:color w:val="auto"/>
          <w:szCs w:val="22"/>
          <w:highlight w:val="none"/>
        </w:rPr>
        <w:tab/>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单位性质：</w:t>
      </w:r>
      <w:r>
        <w:rPr>
          <w:rFonts w:hint="eastAsia" w:ascii="宋体" w:hAnsi="宋体" w:eastAsia="宋体" w:cs="宋体"/>
          <w:color w:val="auto"/>
          <w:szCs w:val="22"/>
          <w:highlight w:val="none"/>
        </w:rPr>
        <w:tab/>
      </w:r>
      <w:r>
        <w:rPr>
          <w:rFonts w:hint="eastAsia" w:ascii="宋体" w:hAnsi="宋体" w:eastAsia="宋体" w:cs="宋体"/>
          <w:color w:val="auto"/>
          <w:szCs w:val="22"/>
          <w:highlight w:val="none"/>
        </w:rPr>
        <w:tab/>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地址：</w:t>
      </w:r>
      <w:r>
        <w:rPr>
          <w:rFonts w:hint="eastAsia" w:ascii="宋体" w:hAnsi="宋体" w:eastAsia="宋体" w:cs="宋体"/>
          <w:color w:val="auto"/>
          <w:szCs w:val="22"/>
          <w:highlight w:val="none"/>
        </w:rPr>
        <w:tab/>
      </w:r>
      <w:r>
        <w:rPr>
          <w:rFonts w:hint="eastAsia" w:ascii="宋体" w:hAnsi="宋体" w:eastAsia="宋体" w:cs="宋体"/>
          <w:color w:val="auto"/>
          <w:szCs w:val="22"/>
          <w:highlight w:val="none"/>
        </w:rPr>
        <w:tab/>
      </w:r>
      <w:r>
        <w:rPr>
          <w:rFonts w:hint="eastAsia" w:ascii="宋体" w:hAnsi="宋体" w:eastAsia="宋体" w:cs="宋体"/>
          <w:color w:val="auto"/>
          <w:szCs w:val="22"/>
          <w:highlight w:val="none"/>
        </w:rPr>
        <w:tab/>
      </w:r>
      <w:r>
        <w:rPr>
          <w:rFonts w:hint="eastAsia" w:ascii="宋体" w:hAnsi="宋体" w:eastAsia="宋体" w:cs="宋体"/>
          <w:color w:val="auto"/>
          <w:szCs w:val="22"/>
          <w:highlight w:val="none"/>
        </w:rPr>
        <w:tab/>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成立时间：  年   月   日</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经营期限：</w:t>
      </w:r>
      <w:r>
        <w:rPr>
          <w:rFonts w:hint="eastAsia" w:ascii="宋体" w:hAnsi="宋体" w:eastAsia="宋体" w:cs="宋体"/>
          <w:color w:val="auto"/>
          <w:szCs w:val="22"/>
          <w:highlight w:val="none"/>
        </w:rPr>
        <w:tab/>
      </w:r>
      <w:r>
        <w:rPr>
          <w:rFonts w:hint="eastAsia" w:ascii="宋体" w:hAnsi="宋体" w:eastAsia="宋体" w:cs="宋体"/>
          <w:color w:val="auto"/>
          <w:szCs w:val="22"/>
          <w:highlight w:val="none"/>
        </w:rPr>
        <w:tab/>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姓名：性别：年龄：职务：</w:t>
      </w:r>
      <w:r>
        <w:rPr>
          <w:rFonts w:hint="eastAsia" w:ascii="宋体" w:hAnsi="宋体" w:eastAsia="宋体" w:cs="宋体"/>
          <w:color w:val="auto"/>
          <w:szCs w:val="22"/>
          <w:highlight w:val="none"/>
        </w:rPr>
        <w:tab/>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系（供应商单位名称）的法定代表人。</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mc:AlternateContent>
          <mc:Choice Requires="wps">
            <w:drawing>
              <wp:anchor distT="0" distB="0" distL="114300" distR="114300" simplePos="0" relativeHeight="251657216" behindDoc="1" locked="1" layoutInCell="1" allowOverlap="1">
                <wp:simplePos x="0" y="0"/>
                <wp:positionH relativeFrom="column">
                  <wp:posOffset>1031875</wp:posOffset>
                </wp:positionH>
                <wp:positionV relativeFrom="paragraph">
                  <wp:posOffset>-1905</wp:posOffset>
                </wp:positionV>
                <wp:extent cx="4200525" cy="1964690"/>
                <wp:effectExtent l="9525" t="9525" r="19050" b="26035"/>
                <wp:wrapNone/>
                <wp:docPr id="3" name="Rectangle 2"/>
                <wp:cNvGraphicFramePr/>
                <a:graphic xmlns:a="http://schemas.openxmlformats.org/drawingml/2006/main">
                  <a:graphicData uri="http://schemas.microsoft.com/office/word/2010/wordprocessingShape">
                    <wps:wsp>
                      <wps:cNvSpPr/>
                      <wps:spPr>
                        <a:xfrm>
                          <a:off x="0" y="0"/>
                          <a:ext cx="4200525" cy="1964690"/>
                        </a:xfrm>
                        <a:prstGeom prst="rect">
                          <a:avLst/>
                        </a:prstGeom>
                        <a:solidFill>
                          <a:srgbClr val="FFFFFF"/>
                        </a:solidFill>
                        <a:ln w="19050" cap="flat" cmpd="sng">
                          <a:solidFill>
                            <a:srgbClr val="000000"/>
                          </a:solidFill>
                          <a:prstDash val="solid"/>
                          <a:miter/>
                          <a:headEnd type="none" w="med" len="med"/>
                          <a:tailEnd type="none" w="med" len="med"/>
                        </a:ln>
                        <a:effectLst/>
                      </wps:spPr>
                      <wps:txbx>
                        <w:txbxContent>
                          <w:p>
                            <w:pPr>
                              <w:jc w:val="center"/>
                            </w:pPr>
                          </w:p>
                          <w:p>
                            <w:pPr>
                              <w:jc w:val="center"/>
                            </w:pPr>
                          </w:p>
                          <w:p>
                            <w:pPr>
                              <w:jc w:val="center"/>
                            </w:pPr>
                          </w:p>
                          <w:p>
                            <w:pPr>
                              <w:jc w:val="center"/>
                            </w:pPr>
                          </w:p>
                          <w:p>
                            <w:pPr>
                              <w:jc w:val="center"/>
                              <w:rPr>
                                <w:rFonts w:ascii="仿宋_GB2312" w:eastAsia="仿宋_GB2312"/>
                              </w:rPr>
                            </w:pPr>
                          </w:p>
                          <w:p>
                            <w:pPr>
                              <w:jc w:val="center"/>
                              <w:rPr>
                                <w:rFonts w:ascii="宋体" w:hAnsi="宋体"/>
                                <w:sz w:val="28"/>
                                <w:szCs w:val="28"/>
                              </w:rPr>
                            </w:pPr>
                            <w:r>
                              <w:rPr>
                                <w:rFonts w:ascii="宋体" w:hAnsi="宋体"/>
                                <w:sz w:val="28"/>
                                <w:szCs w:val="28"/>
                              </w:rPr>
                              <w:t>请附：法定代表人身份证复印件</w:t>
                            </w:r>
                          </w:p>
                        </w:txbxContent>
                      </wps:txbx>
                      <wps:bodyPr upright="1"/>
                    </wps:wsp>
                  </a:graphicData>
                </a:graphic>
              </wp:anchor>
            </w:drawing>
          </mc:Choice>
          <mc:Fallback>
            <w:pict>
              <v:rect id="Rectangle 2" o:spid="_x0000_s1026" o:spt="1" style="position:absolute;left:0pt;margin-left:81.25pt;margin-top:-0.15pt;height:154.7pt;width:330.75pt;z-index:-251659264;mso-width-relative:page;mso-height-relative:page;" fillcolor="#FFFFFF" filled="t" stroked="t" coordsize="21600,21600" o:gfxdata="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L9XFk/a&#10;AAAACQEAAA8AAAAAAAAAAQAgAAAAIgAAAGRycy9kb3ducmV2LnhtbFBLAQIUABQAAAAIAIdO4kBm&#10;BOwW5QEAAO4DAAAOAAAAAAAAAAEAIAAAACkBAABkcnMvZTJvRG9jLnhtbFBLBQYAAAAABgAGAFkB&#10;AACABQAAAAA=&#10;">
                <v:fill on="t" focussize="0,0"/>
                <v:stroke weight="1.5pt" color="#000000" joinstyle="miter"/>
                <v:imagedata o:title=""/>
                <o:lock v:ext="edit" aspectratio="f"/>
                <v:textbox>
                  <w:txbxContent>
                    <w:p>
                      <w:pPr>
                        <w:jc w:val="center"/>
                      </w:pPr>
                    </w:p>
                    <w:p>
                      <w:pPr>
                        <w:jc w:val="center"/>
                      </w:pPr>
                    </w:p>
                    <w:p>
                      <w:pPr>
                        <w:jc w:val="center"/>
                      </w:pPr>
                    </w:p>
                    <w:p>
                      <w:pPr>
                        <w:jc w:val="center"/>
                      </w:pPr>
                    </w:p>
                    <w:p>
                      <w:pPr>
                        <w:jc w:val="center"/>
                        <w:rPr>
                          <w:rFonts w:ascii="仿宋_GB2312" w:eastAsia="仿宋_GB2312"/>
                        </w:rPr>
                      </w:pPr>
                    </w:p>
                    <w:p>
                      <w:pPr>
                        <w:jc w:val="center"/>
                        <w:rPr>
                          <w:rFonts w:ascii="宋体" w:hAnsi="宋体"/>
                          <w:sz w:val="28"/>
                          <w:szCs w:val="28"/>
                        </w:rPr>
                      </w:pPr>
                      <w:r>
                        <w:rPr>
                          <w:rFonts w:ascii="宋体" w:hAnsi="宋体"/>
                          <w:sz w:val="28"/>
                          <w:szCs w:val="28"/>
                        </w:rPr>
                        <w:t>请附：法定代表人身份证复印件</w:t>
                      </w:r>
                    </w:p>
                  </w:txbxContent>
                </v:textbox>
                <w10:anchorlock/>
              </v:rect>
            </w:pict>
          </mc:Fallback>
        </mc:AlternateConten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特此证明</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 xml:space="preserve">       供应商：（加盖公章）</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 xml:space="preserve">       法人代表（签字）：             </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 xml:space="preserve">                                                   年   月   日</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rPr>
          <w:rFonts w:hint="eastAsia" w:ascii="宋体" w:hAnsi="宋体" w:eastAsia="宋体" w:cs="宋体"/>
          <w:color w:val="auto"/>
          <w:szCs w:val="22"/>
          <w:highlight w:val="none"/>
        </w:rPr>
      </w:pPr>
      <w:r>
        <w:rPr>
          <w:rFonts w:hint="eastAsia" w:ascii="宋体" w:hAnsi="宋体" w:eastAsia="宋体" w:cs="宋体"/>
          <w:color w:val="auto"/>
          <w:szCs w:val="22"/>
          <w:highlight w:val="none"/>
        </w:rPr>
        <w:br w:type="page"/>
      </w:r>
    </w:p>
    <w:p>
      <w:pPr>
        <w:pStyle w:val="17"/>
        <w:pageBreakBefore w:val="0"/>
        <w:kinsoku/>
        <w:wordWrap/>
        <w:topLinePunct w:val="0"/>
        <w:bidi w:val="0"/>
        <w:adjustRightInd w:val="0"/>
        <w:snapToGrid w:val="0"/>
        <w:spacing w:afterAutospacing="0" w:line="360" w:lineRule="auto"/>
        <w:ind w:left="-2" w:firstLine="480"/>
        <w:jc w:val="center"/>
        <w:textAlignment w:val="auto"/>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三、法定代表人授权委托书</w:t>
      </w:r>
      <w:bookmarkEnd w:id="252"/>
      <w:bookmarkEnd w:id="253"/>
      <w:bookmarkEnd w:id="254"/>
      <w:bookmarkEnd w:id="255"/>
      <w:bookmarkEnd w:id="256"/>
      <w:bookmarkEnd w:id="257"/>
      <w:bookmarkEnd w:id="258"/>
      <w:bookmarkEnd w:id="259"/>
      <w:bookmarkEnd w:id="260"/>
      <w:bookmarkEnd w:id="261"/>
      <w:bookmarkEnd w:id="262"/>
      <w:bookmarkEnd w:id="263"/>
      <w:bookmarkEnd w:id="264"/>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u w:val="single"/>
        </w:rPr>
        <w:t xml:space="preserve">                         </w:t>
      </w:r>
      <w:r>
        <w:rPr>
          <w:rFonts w:hint="eastAsia" w:ascii="宋体" w:hAnsi="宋体" w:eastAsia="宋体" w:cs="宋体"/>
          <w:color w:val="auto"/>
          <w:szCs w:val="22"/>
          <w:highlight w:val="none"/>
        </w:rPr>
        <w:t>（</w:t>
      </w:r>
      <w:r>
        <w:rPr>
          <w:rFonts w:hint="eastAsia" w:ascii="宋体" w:hAnsi="宋体" w:eastAsia="宋体" w:cs="宋体"/>
          <w:color w:val="auto"/>
          <w:szCs w:val="22"/>
          <w:highlight w:val="none"/>
          <w:lang w:eastAsia="zh-CN"/>
        </w:rPr>
        <w:t>供应商</w:t>
      </w:r>
      <w:r>
        <w:rPr>
          <w:rFonts w:hint="eastAsia" w:ascii="宋体" w:hAnsi="宋体" w:eastAsia="宋体" w:cs="宋体"/>
          <w:color w:val="auto"/>
          <w:szCs w:val="22"/>
          <w:highlight w:val="none"/>
        </w:rPr>
        <w:t>名称）法定代表人</w:t>
      </w:r>
      <w:r>
        <w:rPr>
          <w:rFonts w:hint="eastAsia" w:ascii="宋体" w:hAnsi="宋体" w:eastAsia="宋体" w:cs="宋体"/>
          <w:color w:val="auto"/>
          <w:szCs w:val="22"/>
          <w:highlight w:val="none"/>
          <w:u w:val="single"/>
        </w:rPr>
        <w:t xml:space="preserve">                    </w:t>
      </w:r>
      <w:r>
        <w:rPr>
          <w:rFonts w:hint="eastAsia" w:ascii="宋体" w:hAnsi="宋体" w:eastAsia="宋体" w:cs="宋体"/>
          <w:color w:val="auto"/>
          <w:szCs w:val="22"/>
          <w:highlight w:val="none"/>
        </w:rPr>
        <w:t>授权我单位</w:t>
      </w:r>
      <w:r>
        <w:rPr>
          <w:rFonts w:hint="eastAsia" w:ascii="宋体" w:hAnsi="宋体" w:eastAsia="宋体" w:cs="宋体"/>
          <w:color w:val="auto"/>
          <w:szCs w:val="22"/>
          <w:highlight w:val="none"/>
          <w:u w:val="single"/>
        </w:rPr>
        <w:t xml:space="preserve">                      </w:t>
      </w:r>
      <w:r>
        <w:rPr>
          <w:rFonts w:hint="eastAsia" w:ascii="宋体" w:hAnsi="宋体" w:eastAsia="宋体" w:cs="宋体"/>
          <w:color w:val="auto"/>
          <w:szCs w:val="22"/>
          <w:highlight w:val="none"/>
        </w:rPr>
        <w:t>（职务或职称）</w:t>
      </w:r>
      <w:r>
        <w:rPr>
          <w:rFonts w:hint="eastAsia" w:ascii="宋体" w:hAnsi="宋体" w:eastAsia="宋体" w:cs="宋体"/>
          <w:color w:val="auto"/>
          <w:szCs w:val="22"/>
          <w:highlight w:val="none"/>
          <w:u w:val="single"/>
        </w:rPr>
        <w:t xml:space="preserve">                    </w:t>
      </w:r>
      <w:r>
        <w:rPr>
          <w:rFonts w:hint="eastAsia" w:ascii="宋体" w:hAnsi="宋体" w:eastAsia="宋体" w:cs="宋体"/>
          <w:color w:val="auto"/>
          <w:szCs w:val="22"/>
          <w:highlight w:val="none"/>
        </w:rPr>
        <w:t>（姓名）为我单位本次磋商授权代理人，全权办理此次</w:t>
      </w:r>
      <w:r>
        <w:rPr>
          <w:rFonts w:hint="eastAsia" w:ascii="宋体" w:hAnsi="宋体" w:eastAsia="宋体" w:cs="宋体"/>
          <w:color w:val="auto"/>
          <w:szCs w:val="22"/>
          <w:highlight w:val="none"/>
          <w:u w:val="single"/>
        </w:rPr>
        <w:t xml:space="preserve">                                    </w:t>
      </w:r>
      <w:r>
        <w:rPr>
          <w:rFonts w:hint="eastAsia" w:ascii="宋体" w:hAnsi="宋体" w:eastAsia="宋体" w:cs="宋体"/>
          <w:color w:val="auto"/>
          <w:szCs w:val="22"/>
          <w:highlight w:val="none"/>
        </w:rPr>
        <w:t xml:space="preserve"> 竞争性磋商政府采购项目（项目编号：</w:t>
      </w:r>
      <w:r>
        <w:rPr>
          <w:rFonts w:hint="eastAsia" w:ascii="宋体" w:hAnsi="宋体" w:eastAsia="宋体" w:cs="宋体"/>
          <w:color w:val="auto"/>
          <w:szCs w:val="22"/>
          <w:highlight w:val="none"/>
          <w:u w:val="single"/>
        </w:rPr>
        <w:t xml:space="preserve">                </w:t>
      </w:r>
      <w:r>
        <w:rPr>
          <w:rFonts w:hint="eastAsia" w:ascii="宋体" w:hAnsi="宋体" w:eastAsia="宋体" w:cs="宋体"/>
          <w:color w:val="auto"/>
          <w:szCs w:val="22"/>
          <w:highlight w:val="none"/>
        </w:rPr>
        <w:t xml:space="preserve"> ）的一切事宜。代理人在该项目活动中所签署的一切文件，我（单位）均予承认。</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代理人无转委托权。</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特此授权。</w:t>
      </w:r>
    </w:p>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p>
    <w:tbl>
      <w:tblPr>
        <w:tblStyle w:val="37"/>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1" w:hRule="atLeast"/>
          <w:jc w:val="center"/>
        </w:trPr>
        <w:tc>
          <w:tcPr>
            <w:tcW w:w="9071" w:type="dxa"/>
            <w:vAlign w:val="center"/>
          </w:tcPr>
          <w:p>
            <w:pPr>
              <w:pStyle w:val="17"/>
              <w:pageBreakBefore w:val="0"/>
              <w:kinsoku/>
              <w:wordWrap/>
              <w:topLinePunct w:val="0"/>
              <w:bidi w:val="0"/>
              <w:adjustRightInd w:val="0"/>
              <w:snapToGrid w:val="0"/>
              <w:spacing w:afterAutospacing="0" w:line="360" w:lineRule="auto"/>
              <w:ind w:left="-2" w:firstLine="480"/>
              <w:textAlignment w:val="auto"/>
              <w:rPr>
                <w:rFonts w:hint="eastAsia" w:ascii="宋体" w:hAnsi="宋体" w:eastAsia="宋体" w:cs="宋体"/>
                <w:color w:val="auto"/>
                <w:szCs w:val="22"/>
                <w:highlight w:val="none"/>
              </w:rPr>
            </w:pPr>
            <w:r>
              <w:rPr>
                <w:rFonts w:hint="eastAsia" w:ascii="宋体" w:hAnsi="宋体" w:eastAsia="宋体" w:cs="宋体"/>
                <w:color w:val="auto"/>
                <w:szCs w:val="22"/>
                <w:highlight w:val="none"/>
              </w:rPr>
              <w:t>被授权人身份证复印件粘贴处（正反两面）</w:t>
            </w:r>
          </w:p>
        </w:tc>
      </w:tr>
    </w:tbl>
    <w:p>
      <w:pPr>
        <w:pStyle w:val="17"/>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highlight w:val="none"/>
        </w:rPr>
      </w:pPr>
    </w:p>
    <w:p>
      <w:pPr>
        <w:pStyle w:val="17"/>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授权单位（公章）：</w:t>
      </w:r>
      <w:r>
        <w:rPr>
          <w:rFonts w:hint="eastAsia" w:ascii="宋体" w:hAnsi="宋体" w:eastAsia="宋体" w:cs="宋体"/>
          <w:color w:val="auto"/>
          <w:highlight w:val="none"/>
          <w:u w:val="single"/>
        </w:rPr>
        <w:t xml:space="preserve">                        </w:t>
      </w:r>
    </w:p>
    <w:p>
      <w:pPr>
        <w:pStyle w:val="17"/>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highlight w:val="none"/>
        </w:rPr>
      </w:pPr>
    </w:p>
    <w:p>
      <w:pPr>
        <w:pStyle w:val="17"/>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法定代表人（签字）：</w:t>
      </w:r>
      <w:r>
        <w:rPr>
          <w:rFonts w:hint="eastAsia" w:ascii="宋体" w:hAnsi="宋体" w:eastAsia="宋体" w:cs="宋体"/>
          <w:color w:val="auto"/>
          <w:highlight w:val="none"/>
          <w:u w:val="single"/>
        </w:rPr>
        <w:t xml:space="preserve">                      </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highlight w:val="none"/>
        </w:rPr>
      </w:pP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highlight w:val="none"/>
        </w:rPr>
      </w:pPr>
    </w:p>
    <w:p>
      <w:pPr>
        <w:pageBreakBefore w:val="0"/>
        <w:kinsoku/>
        <w:wordWrap/>
        <w:topLinePunct w:val="0"/>
        <w:bidi w:val="0"/>
        <w:adjustRightInd w:val="0"/>
        <w:snapToGrid w:val="0"/>
        <w:spacing w:afterAutospacing="0" w:line="360" w:lineRule="auto"/>
        <w:ind w:left="-126" w:leftChars="-287" w:hanging="448" w:hangingChars="178"/>
        <w:jc w:val="center"/>
        <w:textAlignment w:val="auto"/>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 xml:space="preserve">                                    日期：</w:t>
      </w:r>
      <w:r>
        <w:rPr>
          <w:rFonts w:hint="eastAsia" w:ascii="宋体" w:hAnsi="宋体" w:eastAsia="宋体" w:cs="宋体"/>
          <w:color w:val="auto"/>
          <w:spacing w:val="6"/>
          <w:sz w:val="24"/>
          <w:highlight w:val="none"/>
          <w:u w:val="single"/>
        </w:rPr>
        <w:t xml:space="preserve">     </w:t>
      </w:r>
      <w:r>
        <w:rPr>
          <w:rFonts w:hint="eastAsia" w:ascii="宋体" w:hAnsi="宋体" w:eastAsia="宋体" w:cs="宋体"/>
          <w:color w:val="auto"/>
          <w:spacing w:val="6"/>
          <w:sz w:val="24"/>
          <w:highlight w:val="none"/>
        </w:rPr>
        <w:t>年</w:t>
      </w:r>
      <w:r>
        <w:rPr>
          <w:rFonts w:hint="eastAsia" w:ascii="宋体" w:hAnsi="宋体" w:eastAsia="宋体" w:cs="宋体"/>
          <w:color w:val="auto"/>
          <w:spacing w:val="6"/>
          <w:sz w:val="24"/>
          <w:highlight w:val="none"/>
          <w:u w:val="single"/>
        </w:rPr>
        <w:t xml:space="preserve">   </w:t>
      </w:r>
      <w:r>
        <w:rPr>
          <w:rFonts w:hint="eastAsia" w:ascii="宋体" w:hAnsi="宋体" w:eastAsia="宋体" w:cs="宋体"/>
          <w:color w:val="auto"/>
          <w:spacing w:val="6"/>
          <w:sz w:val="24"/>
          <w:highlight w:val="none"/>
        </w:rPr>
        <w:t>月</w:t>
      </w:r>
      <w:r>
        <w:rPr>
          <w:rFonts w:hint="eastAsia" w:ascii="宋体" w:hAnsi="宋体" w:eastAsia="宋体" w:cs="宋体"/>
          <w:color w:val="auto"/>
          <w:spacing w:val="6"/>
          <w:sz w:val="24"/>
          <w:highlight w:val="none"/>
          <w:u w:val="single"/>
        </w:rPr>
        <w:t xml:space="preserve">   </w:t>
      </w:r>
      <w:r>
        <w:rPr>
          <w:rFonts w:hint="eastAsia" w:ascii="宋体" w:hAnsi="宋体" w:eastAsia="宋体" w:cs="宋体"/>
          <w:color w:val="auto"/>
          <w:spacing w:val="6"/>
          <w:sz w:val="24"/>
          <w:highlight w:val="none"/>
        </w:rPr>
        <w:t>日</w:t>
      </w:r>
    </w:p>
    <w:p>
      <w:pPr>
        <w:pageBreakBefore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textAlignment w:val="auto"/>
        <w:outlineLvl w:val="1"/>
        <w:rPr>
          <w:rFonts w:hint="eastAsia" w:ascii="宋体" w:hAnsi="宋体" w:eastAsia="宋体" w:cs="宋体"/>
          <w:color w:val="auto"/>
          <w:highlight w:val="none"/>
        </w:rPr>
      </w:pPr>
      <w:bookmarkStart w:id="265" w:name="_Toc1045"/>
    </w:p>
    <w:p>
      <w:pPr>
        <w:rPr>
          <w:rFonts w:hint="eastAsia" w:ascii="宋体" w:hAnsi="宋体" w:eastAsia="宋体" w:cs="宋体"/>
          <w:color w:val="auto"/>
          <w:highlight w:val="none"/>
        </w:rPr>
      </w:pPr>
      <w:bookmarkStart w:id="266" w:name="_Toc22430"/>
      <w:bookmarkStart w:id="267" w:name="_Toc16985"/>
      <w:bookmarkStart w:id="268" w:name="_Toc20128"/>
      <w:bookmarkStart w:id="269" w:name="_Toc14899"/>
      <w:bookmarkStart w:id="270" w:name="_Toc29541"/>
      <w:bookmarkStart w:id="271" w:name="_Toc7267"/>
      <w:bookmarkStart w:id="272" w:name="_Toc7927"/>
      <w:bookmarkStart w:id="273" w:name="_Toc6472"/>
      <w:bookmarkStart w:id="274" w:name="_Toc11259"/>
      <w:bookmarkStart w:id="275" w:name="_Toc20455"/>
      <w:bookmarkStart w:id="276" w:name="_Toc19766"/>
      <w:r>
        <w:rPr>
          <w:rFonts w:hint="eastAsia" w:ascii="宋体" w:hAnsi="宋体" w:eastAsia="宋体" w:cs="宋体"/>
          <w:color w:val="auto"/>
          <w:highlight w:val="none"/>
        </w:rPr>
        <w:br w:type="page"/>
      </w:r>
    </w:p>
    <w:bookmarkEnd w:id="265"/>
    <w:bookmarkEnd w:id="266"/>
    <w:bookmarkEnd w:id="267"/>
    <w:bookmarkEnd w:id="268"/>
    <w:bookmarkEnd w:id="269"/>
    <w:bookmarkEnd w:id="270"/>
    <w:bookmarkEnd w:id="271"/>
    <w:bookmarkEnd w:id="272"/>
    <w:bookmarkEnd w:id="273"/>
    <w:bookmarkEnd w:id="274"/>
    <w:bookmarkEnd w:id="275"/>
    <w:bookmarkEnd w:id="276"/>
    <w:p>
      <w:pPr>
        <w:pStyle w:val="76"/>
        <w:pageBreakBefore w:val="0"/>
        <w:kinsoku/>
        <w:wordWrap/>
        <w:topLinePunct w:val="0"/>
        <w:bidi w:val="0"/>
        <w:adjustRightInd w:val="0"/>
        <w:snapToGrid w:val="0"/>
        <w:spacing w:afterAutospacing="0" w:line="360" w:lineRule="auto"/>
        <w:textAlignment w:val="auto"/>
        <w:outlineLvl w:val="1"/>
        <w:rPr>
          <w:rFonts w:hint="eastAsia" w:ascii="宋体" w:hAnsi="宋体" w:eastAsia="宋体" w:cs="宋体"/>
          <w:b/>
          <w:bCs/>
          <w:color w:val="auto"/>
          <w:highlight w:val="none"/>
        </w:rPr>
      </w:pPr>
      <w:bookmarkStart w:id="277" w:name="_Toc18763"/>
      <w:bookmarkStart w:id="278" w:name="_Toc4564"/>
      <w:bookmarkStart w:id="279" w:name="_Toc9503"/>
      <w:bookmarkStart w:id="280" w:name="_Toc13113"/>
      <w:bookmarkStart w:id="281" w:name="_Toc19728"/>
      <w:bookmarkStart w:id="282" w:name="_Toc23392"/>
      <w:bookmarkStart w:id="283" w:name="_Toc24576"/>
      <w:bookmarkStart w:id="284" w:name="_Toc15824"/>
      <w:bookmarkStart w:id="285" w:name="_Toc27207"/>
      <w:bookmarkStart w:id="286" w:name="_Toc30168"/>
      <w:r>
        <w:rPr>
          <w:rFonts w:hint="eastAsia" w:ascii="宋体" w:hAnsi="宋体" w:eastAsia="宋体" w:cs="宋体"/>
          <w:b/>
          <w:bCs/>
          <w:color w:val="auto"/>
          <w:highlight w:val="none"/>
          <w:lang w:eastAsia="zh-CN"/>
        </w:rPr>
        <w:t>四</w:t>
      </w:r>
      <w:r>
        <w:rPr>
          <w:rFonts w:hint="eastAsia" w:ascii="宋体" w:hAnsi="宋体" w:eastAsia="宋体" w:cs="宋体"/>
          <w:b/>
          <w:bCs/>
          <w:color w:val="auto"/>
          <w:highlight w:val="none"/>
        </w:rPr>
        <w:t>、报价一览表</w:t>
      </w:r>
      <w:bookmarkEnd w:id="277"/>
      <w:bookmarkEnd w:id="278"/>
      <w:bookmarkEnd w:id="279"/>
      <w:bookmarkEnd w:id="280"/>
      <w:bookmarkEnd w:id="281"/>
      <w:bookmarkEnd w:id="282"/>
      <w:bookmarkEnd w:id="283"/>
      <w:bookmarkEnd w:id="284"/>
      <w:bookmarkEnd w:id="285"/>
      <w:bookmarkEnd w:id="286"/>
    </w:p>
    <w:p>
      <w:pPr>
        <w:pageBreakBefore w:val="0"/>
        <w:kinsoku/>
        <w:wordWrap/>
        <w:topLinePunct w:val="0"/>
        <w:bidi w:val="0"/>
        <w:adjustRightInd w:val="0"/>
        <w:snapToGrid w:val="0"/>
        <w:spacing w:afterAutospacing="0" w:line="360" w:lineRule="auto"/>
        <w:ind w:firstLine="241" w:firstLineChars="100"/>
        <w:textAlignment w:val="auto"/>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 xml:space="preserve">    </w:t>
      </w:r>
      <w:r>
        <w:rPr>
          <w:rFonts w:hint="eastAsia" w:ascii="宋体" w:hAnsi="宋体" w:eastAsia="宋体" w:cs="宋体"/>
          <w:b/>
          <w:color w:val="auto"/>
          <w:szCs w:val="21"/>
          <w:highlight w:val="none"/>
        </w:rPr>
        <w:t xml:space="preserve">                                  </w:t>
      </w:r>
      <w:r>
        <w:rPr>
          <w:rFonts w:hint="eastAsia" w:ascii="宋体" w:hAnsi="宋体" w:eastAsia="宋体" w:cs="宋体"/>
          <w:b/>
          <w:color w:val="auto"/>
          <w:sz w:val="24"/>
          <w:highlight w:val="none"/>
        </w:rPr>
        <w:t xml:space="preserve">            </w:t>
      </w:r>
      <w:r>
        <w:rPr>
          <w:rFonts w:hint="eastAsia" w:ascii="宋体" w:hAnsi="宋体" w:eastAsia="宋体" w:cs="宋体"/>
          <w:bCs/>
          <w:color w:val="auto"/>
          <w:sz w:val="24"/>
          <w:highlight w:val="none"/>
        </w:rPr>
        <w:t xml:space="preserve">    货币单位： 元</w:t>
      </w:r>
      <w:r>
        <w:rPr>
          <w:rFonts w:hint="eastAsia" w:ascii="宋体" w:hAnsi="宋体" w:eastAsia="宋体" w:cs="宋体"/>
          <w:color w:val="auto"/>
          <w:sz w:val="24"/>
          <w:highlight w:val="none"/>
        </w:rPr>
        <w:t>（人民币）</w:t>
      </w:r>
    </w:p>
    <w:tbl>
      <w:tblPr>
        <w:tblStyle w:val="37"/>
        <w:tblW w:w="95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3"/>
        <w:gridCol w:w="1018"/>
        <w:gridCol w:w="2540"/>
        <w:gridCol w:w="38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2143"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名称</w:t>
            </w:r>
          </w:p>
        </w:tc>
        <w:tc>
          <w:tcPr>
            <w:tcW w:w="7371" w:type="dxa"/>
            <w:gridSpan w:val="3"/>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2143"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tc>
        <w:tc>
          <w:tcPr>
            <w:tcW w:w="7371" w:type="dxa"/>
            <w:gridSpan w:val="3"/>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2143"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p>
        </w:tc>
        <w:tc>
          <w:tcPr>
            <w:tcW w:w="7371" w:type="dxa"/>
            <w:gridSpan w:val="3"/>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43" w:type="dxa"/>
            <w:vMerge w:val="restart"/>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磋商前基础</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报价（总价）</w:t>
            </w:r>
          </w:p>
        </w:tc>
        <w:tc>
          <w:tcPr>
            <w:tcW w:w="1018"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大写</w:t>
            </w:r>
          </w:p>
        </w:tc>
        <w:tc>
          <w:tcPr>
            <w:tcW w:w="6353" w:type="dxa"/>
            <w:gridSpan w:val="2"/>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jc w:val="center"/>
        </w:trPr>
        <w:tc>
          <w:tcPr>
            <w:tcW w:w="2143" w:type="dxa"/>
            <w:vMerge w:val="continue"/>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p>
        </w:tc>
        <w:tc>
          <w:tcPr>
            <w:tcW w:w="1018"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小写</w:t>
            </w:r>
          </w:p>
        </w:tc>
        <w:tc>
          <w:tcPr>
            <w:tcW w:w="6353" w:type="dxa"/>
            <w:gridSpan w:val="2"/>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2143"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质量标准</w:t>
            </w:r>
          </w:p>
        </w:tc>
        <w:tc>
          <w:tcPr>
            <w:tcW w:w="1018"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p>
        </w:tc>
        <w:tc>
          <w:tcPr>
            <w:tcW w:w="2540"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工期</w:t>
            </w:r>
          </w:p>
        </w:tc>
        <w:tc>
          <w:tcPr>
            <w:tcW w:w="3813"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2143"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项目经理及证书编号</w:t>
            </w:r>
          </w:p>
        </w:tc>
        <w:tc>
          <w:tcPr>
            <w:tcW w:w="7371" w:type="dxa"/>
            <w:gridSpan w:val="3"/>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2143"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质保期</w:t>
            </w:r>
          </w:p>
        </w:tc>
        <w:tc>
          <w:tcPr>
            <w:tcW w:w="7371" w:type="dxa"/>
            <w:gridSpan w:val="3"/>
            <w:vAlign w:val="center"/>
          </w:tcPr>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jc w:val="center"/>
        </w:trPr>
        <w:tc>
          <w:tcPr>
            <w:tcW w:w="2143"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对竞争性磋商文件的认同程度</w:t>
            </w:r>
          </w:p>
        </w:tc>
        <w:tc>
          <w:tcPr>
            <w:tcW w:w="7371" w:type="dxa"/>
            <w:gridSpan w:val="3"/>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jc w:val="center"/>
        </w:trPr>
        <w:tc>
          <w:tcPr>
            <w:tcW w:w="2143"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法定代表人或委托代理人现场确认（签字）</w:t>
            </w:r>
          </w:p>
        </w:tc>
        <w:tc>
          <w:tcPr>
            <w:tcW w:w="7371" w:type="dxa"/>
            <w:gridSpan w:val="3"/>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rPr>
            </w:pPr>
          </w:p>
        </w:tc>
      </w:tr>
    </w:tbl>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highlight w:val="none"/>
        </w:rPr>
      </w:pPr>
    </w:p>
    <w:p>
      <w:pPr>
        <w:pageBreakBefore w:val="0"/>
        <w:kinsoku/>
        <w:wordWrap/>
        <w:topLinePunct w:val="0"/>
        <w:bidi w:val="0"/>
        <w:adjustRightInd w:val="0"/>
        <w:snapToGrid w:val="0"/>
        <w:spacing w:afterAutospacing="0" w:line="360" w:lineRule="auto"/>
        <w:ind w:firstLine="357" w:firstLineChars="148"/>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（盖章）</w:t>
      </w:r>
      <w:r>
        <w:rPr>
          <w:rFonts w:hint="eastAsia" w:ascii="宋体" w:hAnsi="宋体" w:cs="宋体"/>
          <w:b/>
          <w:bCs/>
          <w:color w:val="auto"/>
          <w:sz w:val="24"/>
          <w:highlight w:val="none"/>
          <w:lang w:eastAsia="zh-CN"/>
        </w:rPr>
        <w:t>：</w:t>
      </w:r>
      <w:r>
        <w:rPr>
          <w:rFonts w:hint="eastAsia" w:ascii="宋体" w:hAnsi="宋体" w:eastAsia="宋体" w:cs="宋体"/>
          <w:b/>
          <w:bCs/>
          <w:color w:val="auto"/>
          <w:sz w:val="24"/>
          <w:highlight w:val="none"/>
          <w:u w:val="single"/>
        </w:rPr>
        <w:t xml:space="preserve">                        </w:t>
      </w:r>
    </w:p>
    <w:p>
      <w:pPr>
        <w:pageBreakBefore w:val="0"/>
        <w:kinsoku/>
        <w:wordWrap/>
        <w:topLinePunct w:val="0"/>
        <w:bidi w:val="0"/>
        <w:adjustRightInd w:val="0"/>
        <w:snapToGrid w:val="0"/>
        <w:spacing w:afterAutospacing="0" w:line="360" w:lineRule="auto"/>
        <w:ind w:firstLine="357" w:firstLineChars="148"/>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法定代表人：（签字、盖章）</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 xml:space="preserve">  </w:t>
      </w:r>
    </w:p>
    <w:p>
      <w:pPr>
        <w:pageBreakBefore w:val="0"/>
        <w:kinsoku/>
        <w:wordWrap/>
        <w:topLinePunct w:val="0"/>
        <w:bidi w:val="0"/>
        <w:adjustRightInd w:val="0"/>
        <w:snapToGrid w:val="0"/>
        <w:spacing w:afterAutospacing="0" w:line="360" w:lineRule="auto"/>
        <w:ind w:firstLine="357" w:firstLineChars="148"/>
        <w:jc w:val="right"/>
        <w:textAlignment w:val="auto"/>
        <w:rPr>
          <w:rFonts w:hint="eastAsia" w:ascii="宋体" w:hAnsi="宋体" w:eastAsia="宋体" w:cs="宋体"/>
          <w:b/>
          <w:bCs/>
          <w:color w:val="auto"/>
          <w:sz w:val="24"/>
          <w:highlight w:val="none"/>
          <w:u w:val="single"/>
        </w:rPr>
      </w:pPr>
      <w:r>
        <w:rPr>
          <w:rFonts w:hint="eastAsia" w:ascii="宋体" w:hAnsi="宋体" w:eastAsia="宋体" w:cs="宋体"/>
          <w:b/>
          <w:bCs/>
          <w:color w:val="auto"/>
          <w:sz w:val="24"/>
          <w:highlight w:val="none"/>
        </w:rPr>
        <w:t xml:space="preserve"> </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年</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月</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日</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 1、报价明显低于成本价视为无效报价。</w:t>
      </w:r>
    </w:p>
    <w:p>
      <w:pPr>
        <w:pageBreakBefore w:val="0"/>
        <w:kinsoku/>
        <w:wordWrap/>
        <w:topLinePunct w:val="0"/>
        <w:bidi w:val="0"/>
        <w:adjustRightInd w:val="0"/>
        <w:snapToGrid w:val="0"/>
        <w:spacing w:afterAutospacing="0" w:line="360" w:lineRule="auto"/>
        <w:ind w:left="964" w:hanging="964" w:hangingChars="4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2、本</w:t>
      </w:r>
      <w:r>
        <w:rPr>
          <w:rFonts w:hint="eastAsia" w:ascii="宋体" w:hAnsi="宋体" w:eastAsia="宋体" w:cs="宋体"/>
          <w:b/>
          <w:color w:val="auto"/>
          <w:sz w:val="24"/>
          <w:highlight w:val="none"/>
          <w:lang w:eastAsia="zh-CN"/>
        </w:rPr>
        <w:t>报价一览表</w:t>
      </w:r>
      <w:r>
        <w:rPr>
          <w:rFonts w:hint="eastAsia" w:ascii="宋体" w:hAnsi="宋体" w:eastAsia="宋体" w:cs="宋体"/>
          <w:b/>
          <w:color w:val="auto"/>
          <w:sz w:val="24"/>
          <w:highlight w:val="none"/>
        </w:rPr>
        <w:t>与</w:t>
      </w:r>
      <w:r>
        <w:rPr>
          <w:rFonts w:hint="eastAsia" w:ascii="宋体" w:hAnsi="宋体" w:eastAsia="宋体" w:cs="宋体"/>
          <w:b/>
          <w:color w:val="auto"/>
          <w:sz w:val="24"/>
          <w:highlight w:val="none"/>
          <w:lang w:eastAsia="zh-CN"/>
        </w:rPr>
        <w:t>报价文件</w:t>
      </w:r>
      <w:r>
        <w:rPr>
          <w:rFonts w:hint="eastAsia" w:ascii="宋体" w:hAnsi="宋体" w:eastAsia="宋体" w:cs="宋体"/>
          <w:b/>
          <w:color w:val="auto"/>
          <w:sz w:val="24"/>
          <w:highlight w:val="none"/>
        </w:rPr>
        <w:t>装订在一起，并单独密封三份与</w:t>
      </w:r>
      <w:r>
        <w:rPr>
          <w:rFonts w:hint="eastAsia" w:ascii="宋体" w:hAnsi="宋体" w:eastAsia="宋体" w:cs="宋体"/>
          <w:b/>
          <w:color w:val="auto"/>
          <w:sz w:val="24"/>
          <w:highlight w:val="none"/>
          <w:lang w:eastAsia="zh-CN"/>
        </w:rPr>
        <w:t>报价文件</w:t>
      </w:r>
      <w:r>
        <w:rPr>
          <w:rFonts w:hint="eastAsia" w:ascii="宋体" w:hAnsi="宋体" w:eastAsia="宋体" w:cs="宋体"/>
          <w:b/>
          <w:color w:val="auto"/>
          <w:sz w:val="24"/>
          <w:highlight w:val="none"/>
        </w:rPr>
        <w:t>分别密封后共同递交各项内容务必认真填写详细，可以填满，表格自行扩展但不得分页。</w:t>
      </w:r>
    </w:p>
    <w:p>
      <w:pPr>
        <w:pageBreakBefore w:val="0"/>
        <w:kinsoku/>
        <w:wordWrap/>
        <w:topLinePunct w:val="0"/>
        <w:bidi w:val="0"/>
        <w:adjustRightInd w:val="0"/>
        <w:snapToGrid w:val="0"/>
        <w:spacing w:afterAutospacing="0" w:line="360" w:lineRule="auto"/>
        <w:jc w:val="both"/>
        <w:textAlignment w:val="auto"/>
        <w:outlineLvl w:val="0"/>
        <w:rPr>
          <w:rFonts w:hint="eastAsia" w:ascii="宋体" w:hAnsi="宋体" w:eastAsia="宋体" w:cs="宋体"/>
          <w:b/>
          <w:bCs/>
          <w:color w:val="auto"/>
          <w:sz w:val="36"/>
          <w:szCs w:val="36"/>
          <w:highlight w:val="none"/>
        </w:rPr>
      </w:pPr>
      <w:bookmarkStart w:id="287" w:name="_Toc32081"/>
    </w:p>
    <w:p>
      <w:pPr>
        <w:pStyle w:val="4"/>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color w:val="auto"/>
          <w:highlight w:val="none"/>
        </w:rPr>
      </w:pPr>
      <w:bookmarkStart w:id="288" w:name="_Toc30217"/>
      <w:r>
        <w:rPr>
          <w:rFonts w:hint="eastAsia" w:ascii="宋体" w:hAnsi="宋体" w:eastAsia="宋体" w:cs="宋体"/>
          <w:color w:val="auto"/>
          <w:highlight w:val="none"/>
        </w:rPr>
        <w:t>第七部分 附件</w:t>
      </w:r>
      <w:bookmarkEnd w:id="287"/>
      <w:bookmarkEnd w:id="288"/>
    </w:p>
    <w:p>
      <w:pPr>
        <w:pStyle w:val="5"/>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b w:val="0"/>
          <w:bCs w:val="0"/>
          <w:color w:val="auto"/>
          <w:spacing w:val="6"/>
          <w:kern w:val="0"/>
          <w:sz w:val="24"/>
          <w:szCs w:val="24"/>
          <w:highlight w:val="none"/>
        </w:rPr>
      </w:pPr>
      <w:bookmarkStart w:id="289" w:name="_Toc6683"/>
      <w:bookmarkStart w:id="290" w:name="_Toc10892"/>
      <w:r>
        <w:rPr>
          <w:rFonts w:hint="eastAsia" w:ascii="宋体" w:hAnsi="宋体" w:eastAsia="宋体" w:cs="宋体"/>
          <w:b w:val="0"/>
          <w:bCs w:val="0"/>
          <w:color w:val="auto"/>
          <w:spacing w:val="6"/>
          <w:kern w:val="0"/>
          <w:sz w:val="24"/>
          <w:szCs w:val="24"/>
          <w:highlight w:val="none"/>
          <w:lang w:eastAsia="zh-CN"/>
        </w:rPr>
        <w:t>一</w:t>
      </w:r>
      <w:r>
        <w:rPr>
          <w:rFonts w:hint="eastAsia" w:ascii="宋体" w:hAnsi="宋体" w:eastAsia="宋体" w:cs="宋体"/>
          <w:b w:val="0"/>
          <w:bCs w:val="0"/>
          <w:color w:val="auto"/>
          <w:spacing w:val="6"/>
          <w:kern w:val="0"/>
          <w:sz w:val="24"/>
          <w:szCs w:val="24"/>
          <w:highlight w:val="none"/>
        </w:rPr>
        <w:t>、 技术条款偏离表</w:t>
      </w:r>
      <w:bookmarkEnd w:id="289"/>
      <w:bookmarkEnd w:id="290"/>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w:t>
      </w:r>
    </w:p>
    <w:tbl>
      <w:tblPr>
        <w:tblStyle w:val="37"/>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696"/>
        <w:gridCol w:w="1695"/>
        <w:gridCol w:w="1695"/>
        <w:gridCol w:w="1697"/>
        <w:gridCol w:w="2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742" w:type="dxa"/>
            <w:vMerge w:val="restart"/>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391"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磋商文件条款</w:t>
            </w:r>
          </w:p>
        </w:tc>
        <w:tc>
          <w:tcPr>
            <w:tcW w:w="3392"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hAnsi="宋体" w:cs="宋体"/>
                <w:color w:val="auto"/>
                <w:sz w:val="24"/>
                <w:szCs w:val="24"/>
                <w:highlight w:val="none"/>
                <w:lang w:eastAsia="zh-CN"/>
              </w:rPr>
              <w:t>报价文件</w:t>
            </w:r>
            <w:r>
              <w:rPr>
                <w:rFonts w:hint="eastAsia" w:ascii="宋体" w:hAnsi="宋体" w:eastAsia="宋体" w:cs="宋体"/>
                <w:color w:val="auto"/>
                <w:sz w:val="24"/>
                <w:szCs w:val="24"/>
                <w:highlight w:val="none"/>
              </w:rPr>
              <w:t>条款</w:t>
            </w:r>
          </w:p>
        </w:tc>
        <w:tc>
          <w:tcPr>
            <w:tcW w:w="2195" w:type="dxa"/>
            <w:vMerge w:val="restart"/>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与磋商文件</w:t>
            </w:r>
          </w:p>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的偏离说明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742" w:type="dxa"/>
            <w:vMerge w:val="continue"/>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条款号</w:t>
            </w:r>
          </w:p>
        </w:tc>
        <w:tc>
          <w:tcPr>
            <w:tcW w:w="16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条款内容</w:t>
            </w:r>
          </w:p>
        </w:tc>
        <w:tc>
          <w:tcPr>
            <w:tcW w:w="16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条款号</w:t>
            </w:r>
          </w:p>
        </w:tc>
        <w:tc>
          <w:tcPr>
            <w:tcW w:w="169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条款内容</w:t>
            </w:r>
          </w:p>
        </w:tc>
        <w:tc>
          <w:tcPr>
            <w:tcW w:w="2195" w:type="dxa"/>
            <w:vMerge w:val="continue"/>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742"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1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742"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1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742"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1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jc w:val="center"/>
        </w:trPr>
        <w:tc>
          <w:tcPr>
            <w:tcW w:w="742"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19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bl>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（盖章）：</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法定代表人或授权代表（签字或盖章）：</w:t>
      </w:r>
    </w:p>
    <w:p>
      <w:pPr>
        <w:pStyle w:val="64"/>
        <w:pageBreakBefore w:val="0"/>
        <w:kinsoku/>
        <w:wordWrap/>
        <w:topLinePunct w:val="0"/>
        <w:bidi w:val="0"/>
        <w:adjustRightInd w:val="0"/>
        <w:snapToGrid w:val="0"/>
        <w:spacing w:afterAutospacing="0" w:line="360" w:lineRule="auto"/>
        <w:jc w:val="left"/>
        <w:textAlignment w:val="auto"/>
        <w:rPr>
          <w:rFonts w:hint="eastAsia" w:ascii="宋体" w:hAnsi="宋体" w:eastAsia="宋体" w:cs="宋体"/>
          <w:color w:val="auto"/>
          <w:sz w:val="24"/>
          <w:szCs w:val="24"/>
          <w:highlight w:val="none"/>
        </w:rPr>
      </w:pPr>
    </w:p>
    <w:p>
      <w:pPr>
        <w:pStyle w:val="64"/>
        <w:pageBreakBefore w:val="0"/>
        <w:kinsoku/>
        <w:wordWrap/>
        <w:topLinePunct w:val="0"/>
        <w:bidi w:val="0"/>
        <w:adjustRightInd w:val="0"/>
        <w:snapToGrid w:val="0"/>
        <w:spacing w:afterAutospacing="0" w:line="360" w:lineRule="auto"/>
        <w:jc w:val="left"/>
        <w:textAlignment w:val="auto"/>
        <w:rPr>
          <w:rFonts w:hint="eastAsia" w:ascii="宋体" w:hAnsi="宋体" w:eastAsia="宋体" w:cs="宋体"/>
          <w:color w:val="auto"/>
          <w:sz w:val="24"/>
          <w:szCs w:val="24"/>
          <w:highlight w:val="none"/>
        </w:rPr>
      </w:pPr>
    </w:p>
    <w:p>
      <w:pPr>
        <w:pStyle w:val="64"/>
        <w:pageBreakBefore w:val="0"/>
        <w:kinsoku/>
        <w:wordWrap/>
        <w:topLinePunct w:val="0"/>
        <w:bidi w:val="0"/>
        <w:adjustRightInd w:val="0"/>
        <w:snapToGrid w:val="0"/>
        <w:spacing w:afterAutospacing="0" w:line="360" w:lineRule="auto"/>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pPr>
        <w:pStyle w:val="64"/>
        <w:pageBreakBefore w:val="0"/>
        <w:kinsoku/>
        <w:wordWrap/>
        <w:topLinePunct w:val="0"/>
        <w:bidi w:val="0"/>
        <w:adjustRightInd w:val="0"/>
        <w:snapToGrid w:val="0"/>
        <w:spacing w:afterAutospacing="0" w:line="360" w:lineRule="auto"/>
        <w:jc w:val="left"/>
        <w:textAlignment w:val="auto"/>
        <w:rPr>
          <w:rFonts w:hint="eastAsia" w:ascii="宋体" w:hAnsi="宋体" w:eastAsia="宋体" w:cs="宋体"/>
          <w:b/>
          <w:color w:val="auto"/>
          <w:spacing w:val="0"/>
          <w:sz w:val="24"/>
          <w:szCs w:val="24"/>
          <w:highlight w:val="none"/>
        </w:rPr>
      </w:pPr>
    </w:p>
    <w:p>
      <w:pP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br w:type="page"/>
      </w:r>
    </w:p>
    <w:p>
      <w:pPr>
        <w:pStyle w:val="5"/>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b w:val="0"/>
          <w:bCs w:val="0"/>
          <w:color w:val="auto"/>
          <w:spacing w:val="6"/>
          <w:kern w:val="0"/>
          <w:sz w:val="24"/>
          <w:szCs w:val="24"/>
          <w:highlight w:val="none"/>
        </w:rPr>
      </w:pPr>
      <w:bookmarkStart w:id="291" w:name="_Toc4712"/>
      <w:bookmarkStart w:id="292" w:name="_Toc7488"/>
      <w:r>
        <w:rPr>
          <w:rFonts w:hint="eastAsia" w:ascii="宋体" w:hAnsi="宋体" w:eastAsia="宋体" w:cs="宋体"/>
          <w:b w:val="0"/>
          <w:bCs w:val="0"/>
          <w:color w:val="auto"/>
          <w:spacing w:val="6"/>
          <w:kern w:val="0"/>
          <w:sz w:val="24"/>
          <w:szCs w:val="24"/>
          <w:highlight w:val="none"/>
          <w:lang w:eastAsia="zh-CN"/>
        </w:rPr>
        <w:t>二</w:t>
      </w:r>
      <w:r>
        <w:rPr>
          <w:rFonts w:hint="eastAsia" w:ascii="宋体" w:hAnsi="宋体" w:eastAsia="宋体" w:cs="宋体"/>
          <w:b w:val="0"/>
          <w:bCs w:val="0"/>
          <w:color w:val="auto"/>
          <w:spacing w:val="6"/>
          <w:kern w:val="0"/>
          <w:sz w:val="24"/>
          <w:szCs w:val="24"/>
          <w:highlight w:val="none"/>
        </w:rPr>
        <w:t>、商务条款偏离表</w:t>
      </w:r>
      <w:bookmarkEnd w:id="291"/>
      <w:bookmarkEnd w:id="292"/>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w:t>
      </w:r>
    </w:p>
    <w:tbl>
      <w:tblPr>
        <w:tblStyle w:val="37"/>
        <w:tblW w:w="96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689"/>
        <w:gridCol w:w="1688"/>
        <w:gridCol w:w="1688"/>
        <w:gridCol w:w="1690"/>
        <w:gridCol w:w="21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5" w:hRule="atLeast"/>
          <w:jc w:val="center"/>
        </w:trPr>
        <w:tc>
          <w:tcPr>
            <w:tcW w:w="739" w:type="dxa"/>
            <w:vMerge w:val="restart"/>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377"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磋商文件条款</w:t>
            </w:r>
          </w:p>
        </w:tc>
        <w:tc>
          <w:tcPr>
            <w:tcW w:w="3378"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hAnsi="宋体" w:cs="宋体"/>
                <w:color w:val="auto"/>
                <w:sz w:val="24"/>
                <w:szCs w:val="24"/>
                <w:highlight w:val="none"/>
                <w:lang w:eastAsia="zh-CN"/>
              </w:rPr>
              <w:t>报价文件</w:t>
            </w:r>
            <w:r>
              <w:rPr>
                <w:rFonts w:hint="eastAsia" w:ascii="宋体" w:hAnsi="宋体" w:eastAsia="宋体" w:cs="宋体"/>
                <w:color w:val="auto"/>
                <w:sz w:val="24"/>
                <w:szCs w:val="24"/>
                <w:highlight w:val="none"/>
              </w:rPr>
              <w:t>条款</w:t>
            </w:r>
          </w:p>
        </w:tc>
        <w:tc>
          <w:tcPr>
            <w:tcW w:w="2186" w:type="dxa"/>
            <w:vMerge w:val="restart"/>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与磋商文件</w:t>
            </w:r>
          </w:p>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的偏离说明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5" w:hRule="atLeast"/>
          <w:jc w:val="center"/>
        </w:trPr>
        <w:tc>
          <w:tcPr>
            <w:tcW w:w="739" w:type="dxa"/>
            <w:vMerge w:val="continue"/>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条款号</w:t>
            </w:r>
          </w:p>
        </w:tc>
        <w:tc>
          <w:tcPr>
            <w:tcW w:w="1688"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条款内容</w:t>
            </w:r>
          </w:p>
        </w:tc>
        <w:tc>
          <w:tcPr>
            <w:tcW w:w="1688"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条款号</w:t>
            </w:r>
          </w:p>
        </w:tc>
        <w:tc>
          <w:tcPr>
            <w:tcW w:w="1690"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条款内容</w:t>
            </w:r>
          </w:p>
        </w:tc>
        <w:tc>
          <w:tcPr>
            <w:tcW w:w="2186" w:type="dxa"/>
            <w:vMerge w:val="continue"/>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73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8"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8"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0"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18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73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8"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8"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0"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18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73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8"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8"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0"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18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73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8"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88"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690"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18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bl>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（盖章）：</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法定代表人或授权代表（签字或盖章）：</w:t>
      </w:r>
    </w:p>
    <w:p>
      <w:pPr>
        <w:pageBreakBefore w:val="0"/>
        <w:kinsoku/>
        <w:wordWrap/>
        <w:topLinePunct w:val="0"/>
        <w:bidi w:val="0"/>
        <w:adjustRightInd w:val="0"/>
        <w:snapToGrid w:val="0"/>
        <w:spacing w:afterAutospacing="0" w:line="360" w:lineRule="auto"/>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pPr>
        <w:rPr>
          <w:rFonts w:hint="eastAsia" w:ascii="宋体" w:hAnsi="宋体" w:eastAsia="宋体" w:cs="宋体"/>
          <w:b w:val="0"/>
          <w:bCs w:val="0"/>
          <w:color w:val="auto"/>
          <w:spacing w:val="6"/>
          <w:kern w:val="0"/>
          <w:sz w:val="24"/>
          <w:szCs w:val="24"/>
          <w:highlight w:val="none"/>
        </w:rPr>
      </w:pPr>
      <w:bookmarkStart w:id="293" w:name="_Toc26236"/>
      <w:bookmarkStart w:id="294" w:name="_Toc6772"/>
      <w:r>
        <w:rPr>
          <w:rFonts w:hint="eastAsia" w:ascii="宋体" w:hAnsi="宋体" w:eastAsia="宋体" w:cs="宋体"/>
          <w:b w:val="0"/>
          <w:bCs w:val="0"/>
          <w:color w:val="auto"/>
          <w:spacing w:val="6"/>
          <w:kern w:val="0"/>
          <w:sz w:val="24"/>
          <w:szCs w:val="24"/>
          <w:highlight w:val="none"/>
        </w:rPr>
        <w:br w:type="page"/>
      </w:r>
    </w:p>
    <w:p>
      <w:pPr>
        <w:pStyle w:val="5"/>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lang w:eastAsia="zh-CN"/>
        </w:rPr>
        <w:t>三</w:t>
      </w:r>
      <w:r>
        <w:rPr>
          <w:rFonts w:hint="eastAsia" w:ascii="宋体" w:hAnsi="宋体" w:eastAsia="宋体" w:cs="宋体"/>
          <w:b w:val="0"/>
          <w:bCs w:val="0"/>
          <w:color w:val="auto"/>
          <w:spacing w:val="6"/>
          <w:kern w:val="0"/>
          <w:sz w:val="24"/>
          <w:szCs w:val="24"/>
          <w:highlight w:val="none"/>
        </w:rPr>
        <w:t>、</w:t>
      </w:r>
      <w:r>
        <w:rPr>
          <w:rFonts w:hint="eastAsia" w:ascii="宋体" w:hAnsi="宋体" w:eastAsia="宋体" w:cs="宋体"/>
          <w:b w:val="0"/>
          <w:bCs w:val="0"/>
          <w:color w:val="auto"/>
          <w:spacing w:val="6"/>
          <w:kern w:val="0"/>
          <w:sz w:val="24"/>
          <w:szCs w:val="24"/>
          <w:highlight w:val="none"/>
          <w:lang w:eastAsia="zh-CN"/>
        </w:rPr>
        <w:t>供应商</w:t>
      </w:r>
      <w:r>
        <w:rPr>
          <w:rFonts w:hint="eastAsia" w:ascii="宋体" w:hAnsi="宋体" w:eastAsia="宋体" w:cs="宋体"/>
          <w:b w:val="0"/>
          <w:bCs w:val="0"/>
          <w:color w:val="auto"/>
          <w:spacing w:val="6"/>
          <w:kern w:val="0"/>
          <w:sz w:val="24"/>
          <w:szCs w:val="24"/>
          <w:highlight w:val="none"/>
        </w:rPr>
        <w:t>概况表</w:t>
      </w:r>
      <w:bookmarkEnd w:id="293"/>
      <w:bookmarkEnd w:id="294"/>
    </w:p>
    <w:tbl>
      <w:tblPr>
        <w:tblStyle w:val="37"/>
        <w:tblW w:w="98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5"/>
        <w:gridCol w:w="733"/>
        <w:gridCol w:w="100"/>
        <w:gridCol w:w="934"/>
        <w:gridCol w:w="733"/>
        <w:gridCol w:w="1130"/>
        <w:gridCol w:w="104"/>
        <w:gridCol w:w="830"/>
        <w:gridCol w:w="410"/>
        <w:gridCol w:w="1011"/>
        <w:gridCol w:w="849"/>
        <w:gridCol w:w="219"/>
        <w:gridCol w:w="619"/>
        <w:gridCol w:w="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13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单位性质</w:t>
            </w:r>
          </w:p>
        </w:tc>
        <w:tc>
          <w:tcPr>
            <w:tcW w:w="833"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934"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隶属 关系</w:t>
            </w:r>
          </w:p>
        </w:tc>
        <w:tc>
          <w:tcPr>
            <w:tcW w:w="733"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234"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地址</w:t>
            </w:r>
          </w:p>
        </w:tc>
        <w:tc>
          <w:tcPr>
            <w:tcW w:w="1240" w:type="dxa"/>
            <w:gridSpan w:val="2"/>
            <w:vAlign w:val="center"/>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011"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法定   代表人</w:t>
            </w:r>
          </w:p>
        </w:tc>
        <w:tc>
          <w:tcPr>
            <w:tcW w:w="849" w:type="dxa"/>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838"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职务</w:t>
            </w:r>
          </w:p>
        </w:tc>
        <w:tc>
          <w:tcPr>
            <w:tcW w:w="816" w:type="dxa"/>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6" w:hRule="atLeast"/>
        </w:trPr>
        <w:tc>
          <w:tcPr>
            <w:tcW w:w="13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注册资本</w:t>
            </w:r>
          </w:p>
        </w:tc>
        <w:tc>
          <w:tcPr>
            <w:tcW w:w="833"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934"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职工  总数</w:t>
            </w:r>
          </w:p>
        </w:tc>
        <w:tc>
          <w:tcPr>
            <w:tcW w:w="733"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234"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平均工人</w:t>
            </w:r>
          </w:p>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技术等级</w:t>
            </w:r>
          </w:p>
        </w:tc>
        <w:tc>
          <w:tcPr>
            <w:tcW w:w="1240" w:type="dxa"/>
            <w:gridSpan w:val="2"/>
          </w:tcPr>
          <w:p>
            <w:pPr>
              <w:pStyle w:val="20"/>
              <w:pageBreakBefore w:val="0"/>
              <w:kinsoku/>
              <w:wordWrap/>
              <w:topLinePunct w:val="0"/>
              <w:bidi w:val="0"/>
              <w:adjustRightInd w:val="0"/>
              <w:snapToGrid w:val="0"/>
              <w:spacing w:afterAutospacing="0" w:line="360" w:lineRule="auto"/>
              <w:ind w:left="192"/>
              <w:textAlignment w:val="auto"/>
              <w:rPr>
                <w:rFonts w:hint="eastAsia" w:ascii="宋体" w:hAnsi="宋体" w:eastAsia="宋体" w:cs="宋体"/>
                <w:bCs/>
                <w:color w:val="auto"/>
                <w:sz w:val="24"/>
                <w:szCs w:val="24"/>
                <w:highlight w:val="none"/>
              </w:rPr>
            </w:pPr>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011"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电话</w:t>
            </w:r>
          </w:p>
        </w:tc>
        <w:tc>
          <w:tcPr>
            <w:tcW w:w="849" w:type="dxa"/>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838"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传真</w:t>
            </w:r>
          </w:p>
        </w:tc>
        <w:tc>
          <w:tcPr>
            <w:tcW w:w="816" w:type="dxa"/>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1" w:hRule="atLeast"/>
        </w:trPr>
        <w:tc>
          <w:tcPr>
            <w:tcW w:w="13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成立/或注册日期</w:t>
            </w:r>
          </w:p>
        </w:tc>
        <w:tc>
          <w:tcPr>
            <w:tcW w:w="1767" w:type="dxa"/>
            <w:gridSpan w:val="3"/>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733"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主营</w:t>
            </w:r>
          </w:p>
        </w:tc>
        <w:tc>
          <w:tcPr>
            <w:tcW w:w="2474" w:type="dxa"/>
            <w:gridSpan w:val="4"/>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011"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兼营</w:t>
            </w:r>
          </w:p>
        </w:tc>
        <w:tc>
          <w:tcPr>
            <w:tcW w:w="2503" w:type="dxa"/>
            <w:gridSpan w:val="4"/>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6" w:hRule="atLeast"/>
        </w:trPr>
        <w:tc>
          <w:tcPr>
            <w:tcW w:w="13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注册资金</w:t>
            </w:r>
          </w:p>
        </w:tc>
        <w:tc>
          <w:tcPr>
            <w:tcW w:w="1767" w:type="dxa"/>
            <w:gridSpan w:val="3"/>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733"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固定资产</w:t>
            </w:r>
          </w:p>
        </w:tc>
        <w:tc>
          <w:tcPr>
            <w:tcW w:w="2474" w:type="dxa"/>
            <w:gridSpan w:val="4"/>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011"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净资产</w:t>
            </w:r>
          </w:p>
        </w:tc>
        <w:tc>
          <w:tcPr>
            <w:tcW w:w="2503" w:type="dxa"/>
            <w:gridSpan w:val="4"/>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6" w:hRule="atLeast"/>
        </w:trPr>
        <w:tc>
          <w:tcPr>
            <w:tcW w:w="13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有职称管理人员</w:t>
            </w:r>
          </w:p>
        </w:tc>
        <w:tc>
          <w:tcPr>
            <w:tcW w:w="733"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高级</w:t>
            </w:r>
          </w:p>
        </w:tc>
        <w:tc>
          <w:tcPr>
            <w:tcW w:w="1034"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733"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中级</w:t>
            </w:r>
          </w:p>
        </w:tc>
        <w:tc>
          <w:tcPr>
            <w:tcW w:w="1130"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934"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初级</w:t>
            </w:r>
          </w:p>
        </w:tc>
        <w:tc>
          <w:tcPr>
            <w:tcW w:w="1421"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068"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技术员</w:t>
            </w:r>
          </w:p>
        </w:tc>
        <w:tc>
          <w:tcPr>
            <w:tcW w:w="1435"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13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组织机构</w:t>
            </w:r>
          </w:p>
        </w:tc>
        <w:tc>
          <w:tcPr>
            <w:tcW w:w="2500" w:type="dxa"/>
            <w:gridSpan w:val="4"/>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（附本表后）</w:t>
            </w:r>
          </w:p>
        </w:tc>
        <w:tc>
          <w:tcPr>
            <w:tcW w:w="3485" w:type="dxa"/>
            <w:gridSpan w:val="5"/>
            <w:tcBorders>
              <w:top w:val="nil"/>
            </w:tcBorders>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法定代表人及技术负责人简历</w:t>
            </w:r>
          </w:p>
        </w:tc>
        <w:tc>
          <w:tcPr>
            <w:tcW w:w="2503" w:type="dxa"/>
            <w:gridSpan w:val="4"/>
            <w:tcBorders>
              <w:top w:val="nil"/>
            </w:tcBorders>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（附本表后）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6" w:hRule="atLeast"/>
        </w:trPr>
        <w:tc>
          <w:tcPr>
            <w:tcW w:w="13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单位简历及概况</w:t>
            </w:r>
          </w:p>
        </w:tc>
        <w:tc>
          <w:tcPr>
            <w:tcW w:w="8488" w:type="dxa"/>
            <w:gridSpan w:val="13"/>
            <w:tcBorders>
              <w:right w:val="single" w:color="auto" w:sz="4" w:space="0"/>
            </w:tcBorders>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3" w:hRule="atLeast"/>
        </w:trPr>
        <w:tc>
          <w:tcPr>
            <w:tcW w:w="13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单位优势</w:t>
            </w:r>
          </w:p>
        </w:tc>
        <w:tc>
          <w:tcPr>
            <w:tcW w:w="8488" w:type="dxa"/>
            <w:gridSpan w:val="13"/>
            <w:tcBorders>
              <w:right w:val="single" w:color="auto" w:sz="4" w:space="0"/>
            </w:tcBorders>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bl>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注：附企业法人营业执照、资质证书、安全生产许可证等证件文件复印件。</w:t>
      </w:r>
    </w:p>
    <w:p>
      <w:pPr>
        <w:rPr>
          <w:rFonts w:hint="eastAsia" w:ascii="宋体" w:hAnsi="宋体" w:eastAsia="宋体" w:cs="宋体"/>
          <w:color w:val="auto"/>
          <w:sz w:val="24"/>
          <w:szCs w:val="24"/>
          <w:highlight w:val="none"/>
        </w:rPr>
      </w:pPr>
      <w:bookmarkStart w:id="295" w:name="_Toc14540"/>
      <w:r>
        <w:rPr>
          <w:rFonts w:hint="eastAsia" w:ascii="宋体" w:hAnsi="宋体" w:eastAsia="宋体" w:cs="宋体"/>
          <w:color w:val="auto"/>
          <w:sz w:val="24"/>
          <w:szCs w:val="24"/>
          <w:highlight w:val="none"/>
        </w:rPr>
        <w:br w:type="page"/>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四</w:t>
      </w:r>
      <w:r>
        <w:rPr>
          <w:rFonts w:hint="eastAsia" w:ascii="宋体" w:hAnsi="宋体" w:eastAsia="宋体" w:cs="宋体"/>
          <w:color w:val="auto"/>
          <w:sz w:val="24"/>
          <w:szCs w:val="24"/>
          <w:highlight w:val="none"/>
        </w:rPr>
        <w:t>、财务状况</w:t>
      </w:r>
      <w:bookmarkEnd w:id="295"/>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1、基本资料</w:t>
      </w:r>
    </w:p>
    <w:tbl>
      <w:tblPr>
        <w:tblStyle w:val="37"/>
        <w:tblW w:w="97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9"/>
        <w:gridCol w:w="2086"/>
        <w:gridCol w:w="1080"/>
        <w:gridCol w:w="1942"/>
        <w:gridCol w:w="3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53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资产总额</w:t>
            </w:r>
          </w:p>
        </w:tc>
        <w:tc>
          <w:tcPr>
            <w:tcW w:w="208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元</w:t>
            </w:r>
          </w:p>
        </w:tc>
        <w:tc>
          <w:tcPr>
            <w:tcW w:w="1080"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其中</w:t>
            </w:r>
          </w:p>
        </w:tc>
        <w:tc>
          <w:tcPr>
            <w:tcW w:w="1942"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固定资产</w:t>
            </w:r>
          </w:p>
        </w:tc>
        <w:tc>
          <w:tcPr>
            <w:tcW w:w="3133" w:type="dxa"/>
            <w:vAlign w:val="center"/>
          </w:tcPr>
          <w:p>
            <w:pPr>
              <w:pStyle w:val="20"/>
              <w:pageBreakBefore w:val="0"/>
              <w:kinsoku/>
              <w:wordWrap/>
              <w:topLinePunct w:val="0"/>
              <w:bidi w:val="0"/>
              <w:adjustRightInd w:val="0"/>
              <w:snapToGrid w:val="0"/>
              <w:spacing w:afterAutospacing="0" w:line="360" w:lineRule="auto"/>
              <w:ind w:firstLine="2400" w:firstLineChars="1000"/>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539"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负债总额</w:t>
            </w:r>
          </w:p>
        </w:tc>
        <w:tc>
          <w:tcPr>
            <w:tcW w:w="208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元</w:t>
            </w:r>
          </w:p>
        </w:tc>
        <w:tc>
          <w:tcPr>
            <w:tcW w:w="1080"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其中</w:t>
            </w:r>
          </w:p>
        </w:tc>
        <w:tc>
          <w:tcPr>
            <w:tcW w:w="1942"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流动资产</w:t>
            </w:r>
          </w:p>
        </w:tc>
        <w:tc>
          <w:tcPr>
            <w:tcW w:w="3133" w:type="dxa"/>
            <w:vAlign w:val="center"/>
          </w:tcPr>
          <w:p>
            <w:pPr>
              <w:pStyle w:val="20"/>
              <w:pageBreakBefore w:val="0"/>
              <w:kinsoku/>
              <w:wordWrap/>
              <w:topLinePunct w:val="0"/>
              <w:bidi w:val="0"/>
              <w:adjustRightInd w:val="0"/>
              <w:snapToGrid w:val="0"/>
              <w:spacing w:afterAutospacing="0" w:line="360" w:lineRule="auto"/>
              <w:ind w:firstLine="2400" w:firstLineChars="1000"/>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2" w:hRule="atLeast"/>
        </w:trPr>
        <w:tc>
          <w:tcPr>
            <w:tcW w:w="3625"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年平均完成投资</w:t>
            </w:r>
          </w:p>
        </w:tc>
        <w:tc>
          <w:tcPr>
            <w:tcW w:w="6155" w:type="dxa"/>
            <w:gridSpan w:val="3"/>
          </w:tcPr>
          <w:p>
            <w:pPr>
              <w:pStyle w:val="20"/>
              <w:pageBreakBefore w:val="0"/>
              <w:kinsoku/>
              <w:wordWrap/>
              <w:topLinePunct w:val="0"/>
              <w:bidi w:val="0"/>
              <w:adjustRightInd w:val="0"/>
              <w:snapToGrid w:val="0"/>
              <w:spacing w:afterAutospacing="0" w:line="360" w:lineRule="auto"/>
              <w:ind w:firstLine="5520" w:firstLineChars="23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2" w:hRule="atLeast"/>
        </w:trPr>
        <w:tc>
          <w:tcPr>
            <w:tcW w:w="3625" w:type="dxa"/>
            <w:gridSpan w:val="2"/>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最高年制造/销售能力</w:t>
            </w:r>
          </w:p>
        </w:tc>
        <w:tc>
          <w:tcPr>
            <w:tcW w:w="6155" w:type="dxa"/>
            <w:gridSpan w:val="3"/>
          </w:tcPr>
          <w:p>
            <w:pPr>
              <w:pStyle w:val="20"/>
              <w:pageBreakBefore w:val="0"/>
              <w:kinsoku/>
              <w:wordWrap/>
              <w:topLinePunct w:val="0"/>
              <w:bidi w:val="0"/>
              <w:adjustRightInd w:val="0"/>
              <w:snapToGrid w:val="0"/>
              <w:spacing w:afterAutospacing="0" w:line="360" w:lineRule="auto"/>
              <w:ind w:firstLine="5520" w:firstLineChars="23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元</w:t>
            </w:r>
          </w:p>
        </w:tc>
      </w:tr>
    </w:tbl>
    <w:p>
      <w:pPr>
        <w:pStyle w:val="20"/>
        <w:pageBreakBefore w:val="0"/>
        <w:kinsoku/>
        <w:wordWrap/>
        <w:topLinePunct w:val="0"/>
        <w:bidi w:val="0"/>
        <w:adjustRightInd w:val="0"/>
        <w:snapToGrid w:val="0"/>
        <w:spacing w:afterAutospacing="0" w:line="360" w:lineRule="auto"/>
        <w:textAlignment w:val="auto"/>
        <w:rPr>
          <w:rFonts w:hint="eastAsia" w:hAnsi="宋体" w:cs="宋体"/>
          <w:bCs/>
          <w:color w:val="auto"/>
          <w:sz w:val="24"/>
          <w:szCs w:val="24"/>
          <w:highlight w:val="none"/>
          <w:lang w:val="en-US" w:eastAsia="zh-CN"/>
        </w:rPr>
      </w:pPr>
    </w:p>
    <w:p>
      <w:pPr>
        <w:pStyle w:val="20"/>
        <w:pageBreakBefore w:val="0"/>
        <w:kinsoku/>
        <w:wordWrap/>
        <w:topLinePunct w:val="0"/>
        <w:bidi w:val="0"/>
        <w:adjustRightInd w:val="0"/>
        <w:snapToGrid w:val="0"/>
        <w:spacing w:afterAutospacing="0" w:line="360" w:lineRule="auto"/>
        <w:textAlignment w:val="auto"/>
        <w:rPr>
          <w:rFonts w:hint="eastAsia" w:hAnsi="宋体" w:cs="宋体"/>
          <w:bCs/>
          <w:color w:val="auto"/>
          <w:sz w:val="24"/>
          <w:szCs w:val="24"/>
          <w:highlight w:val="none"/>
          <w:lang w:val="en-US" w:eastAsia="zh-CN"/>
        </w:rPr>
      </w:pPr>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、可以查到财务信息的开户银行的银行名称、地址。</w:t>
      </w:r>
    </w:p>
    <w:p>
      <w:pPr>
        <w:rPr>
          <w:rFonts w:hint="eastAsia" w:ascii="宋体" w:hAnsi="宋体" w:eastAsia="宋体" w:cs="宋体"/>
          <w:color w:val="auto"/>
          <w:sz w:val="24"/>
          <w:szCs w:val="24"/>
          <w:highlight w:val="none"/>
        </w:rPr>
      </w:pPr>
      <w:bookmarkStart w:id="296" w:name="_Toc7734"/>
      <w:bookmarkStart w:id="297" w:name="_Toc8602"/>
      <w:r>
        <w:rPr>
          <w:rFonts w:hint="eastAsia" w:ascii="宋体" w:hAnsi="宋体" w:eastAsia="宋体" w:cs="宋体"/>
          <w:color w:val="auto"/>
          <w:sz w:val="24"/>
          <w:szCs w:val="24"/>
          <w:highlight w:val="none"/>
        </w:rPr>
        <w:br w:type="page"/>
      </w:r>
    </w:p>
    <w:p>
      <w:pPr>
        <w:pStyle w:val="64"/>
        <w:pageBreakBefore w:val="0"/>
        <w:kinsoku/>
        <w:wordWrap/>
        <w:topLinePunct w:val="0"/>
        <w:bidi w:val="0"/>
        <w:adjustRightInd w:val="0"/>
        <w:snapToGrid w:val="0"/>
        <w:spacing w:afterAutospacing="0" w:line="360" w:lineRule="auto"/>
        <w:textAlignment w:val="auto"/>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、业绩一览表</w:t>
      </w:r>
      <w:bookmarkEnd w:id="296"/>
      <w:bookmarkEnd w:id="297"/>
    </w:p>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bl>
      <w:tblPr>
        <w:tblStyle w:val="37"/>
        <w:tblW w:w="9440"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816"/>
        <w:gridCol w:w="1816"/>
        <w:gridCol w:w="1816"/>
        <w:gridCol w:w="1817"/>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7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签订合同时间</w:t>
            </w:r>
          </w:p>
        </w:tc>
        <w:tc>
          <w:tcPr>
            <w:tcW w:w="1816" w:type="dxa"/>
            <w:vAlign w:val="center"/>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项目名称</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合同金额</w:t>
            </w:r>
          </w:p>
        </w:tc>
        <w:tc>
          <w:tcPr>
            <w:tcW w:w="181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业主名称</w:t>
            </w:r>
          </w:p>
        </w:tc>
        <w:tc>
          <w:tcPr>
            <w:tcW w:w="1440"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业主评价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440" w:type="dxa"/>
            <w:vMerge w:val="restart"/>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若有评价材料，请附在本表之后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440" w:type="dxa"/>
            <w:vMerge w:val="continue"/>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440" w:type="dxa"/>
            <w:vMerge w:val="continue"/>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440" w:type="dxa"/>
            <w:vMerge w:val="continue"/>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440" w:type="dxa"/>
            <w:vMerge w:val="continue"/>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440" w:type="dxa"/>
            <w:vMerge w:val="continue"/>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440" w:type="dxa"/>
            <w:vMerge w:val="continue"/>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440" w:type="dxa"/>
            <w:vMerge w:val="continue"/>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6"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817" w:type="dxa"/>
            <w:vAlign w:val="center"/>
          </w:tcPr>
          <w:p>
            <w:pPr>
              <w:pStyle w:val="20"/>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1440" w:type="dxa"/>
            <w:vMerge w:val="continue"/>
          </w:tcPr>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bl>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b/>
          <w:color w:val="auto"/>
          <w:sz w:val="24"/>
          <w:szCs w:val="24"/>
          <w:highlight w:val="none"/>
        </w:rPr>
      </w:pPr>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后附本表中所列类似业绩的合同的复印件,加盖公章。</w:t>
      </w:r>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（盖章）：</w:t>
      </w:r>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p>
      <w:pPr>
        <w:pStyle w:val="20"/>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授权代表（签名）：</w:t>
      </w:r>
    </w:p>
    <w:p>
      <w:pPr>
        <w:pStyle w:val="20"/>
        <w:pageBreakBefore w:val="0"/>
        <w:kinsoku/>
        <w:wordWrap/>
        <w:topLinePunct w:val="0"/>
        <w:bidi w:val="0"/>
        <w:adjustRightInd w:val="0"/>
        <w:snapToGrid w:val="0"/>
        <w:spacing w:afterAutospacing="0" w:line="360" w:lineRule="auto"/>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p>
      <w:pPr>
        <w:pStyle w:val="64"/>
        <w:pageBreakBefore w:val="0"/>
        <w:kinsoku/>
        <w:wordWrap/>
        <w:topLinePunct w:val="0"/>
        <w:bidi w:val="0"/>
        <w:adjustRightInd w:val="0"/>
        <w:snapToGrid w:val="0"/>
        <w:spacing w:afterAutospacing="0" w:line="360" w:lineRule="auto"/>
        <w:jc w:val="left"/>
        <w:textAlignment w:val="auto"/>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bookmarkStart w:id="298" w:name="_Toc426014353"/>
      <w:bookmarkStart w:id="299" w:name="_Toc2693"/>
      <w:r>
        <w:rPr>
          <w:rFonts w:hint="eastAsia" w:ascii="宋体" w:hAnsi="宋体" w:eastAsia="宋体" w:cs="宋体"/>
          <w:color w:val="auto"/>
          <w:sz w:val="24"/>
          <w:szCs w:val="24"/>
          <w:highlight w:val="none"/>
        </w:rPr>
        <w:br w:type="page"/>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六</w:t>
      </w:r>
      <w:r>
        <w:rPr>
          <w:rFonts w:hint="eastAsia" w:ascii="宋体" w:hAnsi="宋体" w:eastAsia="宋体" w:cs="宋体"/>
          <w:color w:val="auto"/>
          <w:sz w:val="24"/>
          <w:szCs w:val="24"/>
          <w:highlight w:val="none"/>
        </w:rPr>
        <w:t>、近三年内，在经营活动中没有重大违法记录的声明</w:t>
      </w:r>
      <w:bookmarkEnd w:id="298"/>
    </w:p>
    <w:p>
      <w:pPr>
        <w:pageBreakBefore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
          <w:bCs/>
          <w:color w:val="auto"/>
          <w:sz w:val="24"/>
          <w:szCs w:val="24"/>
          <w:highlight w:val="none"/>
        </w:rPr>
      </w:pP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 xml:space="preserve">  山东蓝盾招标代理有限公司</w:t>
      </w: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我单位近三年内在经营活动中没有重大违法记录，特此声明。</w:t>
      </w: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若招标采购单位在本项目采购过程中，发现我单位近三年内在经营活动中有重大违法记录，我单位将无条件退出本项目的</w:t>
      </w:r>
      <w:r>
        <w:rPr>
          <w:rFonts w:hint="eastAsia" w:ascii="宋体" w:hAnsi="宋体" w:cs="宋体"/>
          <w:color w:val="auto"/>
          <w:sz w:val="24"/>
          <w:szCs w:val="24"/>
          <w:highlight w:val="none"/>
          <w:lang w:eastAsia="zh-CN"/>
        </w:rPr>
        <w:t>报价</w:t>
      </w:r>
      <w:r>
        <w:rPr>
          <w:rFonts w:hint="eastAsia" w:ascii="宋体" w:hAnsi="宋体" w:eastAsia="宋体" w:cs="宋体"/>
          <w:color w:val="auto"/>
          <w:sz w:val="24"/>
          <w:szCs w:val="24"/>
          <w:highlight w:val="none"/>
        </w:rPr>
        <w:t>，并承担因此引起的一切后果。</w:t>
      </w: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rPr>
      </w:pP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rPr>
      </w:pP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rPr>
      </w:pP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rPr>
      </w:pPr>
    </w:p>
    <w:p>
      <w:pPr>
        <w:pStyle w:val="13"/>
        <w:rPr>
          <w:rFonts w:hint="eastAsia" w:ascii="宋体" w:hAnsi="宋体" w:eastAsia="宋体" w:cs="宋体"/>
        </w:rPr>
      </w:pP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供应商（公章）：</w:t>
      </w:r>
      <w:r>
        <w:rPr>
          <w:rFonts w:hint="eastAsia" w:ascii="宋体" w:hAnsi="宋体" w:eastAsia="宋体" w:cs="宋体"/>
          <w:color w:val="auto"/>
          <w:sz w:val="24"/>
          <w:szCs w:val="24"/>
          <w:highlight w:val="none"/>
          <w:u w:val="single"/>
        </w:rPr>
        <w:t xml:space="preserve">                      </w:t>
      </w: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法人代表或其授权人（签字）：</w:t>
      </w:r>
      <w:r>
        <w:rPr>
          <w:rFonts w:hint="eastAsia" w:ascii="宋体" w:hAnsi="宋体" w:eastAsia="宋体" w:cs="宋体"/>
          <w:color w:val="auto"/>
          <w:sz w:val="24"/>
          <w:szCs w:val="24"/>
          <w:highlight w:val="none"/>
          <w:u w:val="single"/>
        </w:rPr>
        <w:t xml:space="preserve">              </w:t>
      </w:r>
    </w:p>
    <w:p>
      <w:pPr>
        <w:pStyle w:val="20"/>
        <w:pageBreakBefore w:val="0"/>
        <w:kinsoku/>
        <w:wordWrap/>
        <w:topLinePunct w:val="0"/>
        <w:bidi w:val="0"/>
        <w:adjustRightInd w:val="0"/>
        <w:snapToGrid w:val="0"/>
        <w:spacing w:afterAutospacing="0" w:line="360" w:lineRule="auto"/>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rPr>
      </w:pP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rPr>
      </w:pP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rPr>
      </w:pPr>
    </w:p>
    <w:p>
      <w:pPr>
        <w:pageBreakBefore w:val="0"/>
        <w:widowControl w:val="0"/>
        <w:tabs>
          <w:tab w:val="left" w:pos="0"/>
          <w:tab w:val="left" w:pos="720"/>
          <w:tab w:val="left" w:pos="1440"/>
          <w:tab w:val="left" w:pos="2160"/>
          <w:tab w:val="left" w:pos="2880"/>
          <w:tab w:val="left" w:pos="3600"/>
          <w:tab w:val="left" w:pos="4320"/>
        </w:tabs>
        <w:kinsoku/>
        <w:wordWrap/>
        <w:topLinePunct w:val="0"/>
        <w:autoSpaceDE w:val="0"/>
        <w:autoSpaceDN w:val="0"/>
        <w:bidi w:val="0"/>
        <w:adjustRightInd w:val="0"/>
        <w:snapToGrid w:val="0"/>
        <w:spacing w:afterAutospacing="0" w:line="360" w:lineRule="auto"/>
        <w:ind w:firstLine="495"/>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 xml:space="preserve"> 解释：《中华人民共和国政府采购法实施条例》条例第十九条</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政府采购法第二十二条第一款第五项所称重大违法记录，是指供应商因违法经营受到刑事处罚或者责令停产停业、吊销许可证或者执照、较大数额罚款等行政处罚。供应商在参加政府采购活动前3年内因违法经营被禁止在一定期限内参加政府采购活动，期限届满的，可以参加政府采购活动。</w:t>
      </w:r>
    </w:p>
    <w:p>
      <w:pPr>
        <w:rPr>
          <w:rFonts w:hint="eastAsia" w:ascii="宋体" w:hAnsi="宋体" w:eastAsia="宋体" w:cs="宋体"/>
          <w:b/>
          <w:color w:val="auto"/>
          <w:sz w:val="24"/>
          <w:szCs w:val="24"/>
          <w:highlight w:val="none"/>
          <w:lang w:val="en-GB"/>
        </w:rPr>
      </w:pPr>
      <w:bookmarkStart w:id="300" w:name="_Toc2843"/>
      <w:bookmarkStart w:id="301" w:name="_Toc19080"/>
      <w:r>
        <w:rPr>
          <w:rFonts w:hint="eastAsia" w:ascii="宋体" w:hAnsi="宋体" w:eastAsia="宋体" w:cs="宋体"/>
          <w:b/>
          <w:color w:val="auto"/>
          <w:sz w:val="24"/>
          <w:szCs w:val="24"/>
          <w:highlight w:val="none"/>
          <w:lang w:val="en-GB"/>
        </w:rPr>
        <w:br w:type="page"/>
      </w:r>
    </w:p>
    <w:p>
      <w:pPr>
        <w:pageBreakBefore w:val="0"/>
        <w:kinsoku/>
        <w:wordWrap/>
        <w:topLinePunct w:val="0"/>
        <w:bidi w:val="0"/>
        <w:adjustRightInd w:val="0"/>
        <w:snapToGrid w:val="0"/>
        <w:spacing w:afterAutospacing="0" w:line="360" w:lineRule="auto"/>
        <w:jc w:val="center"/>
        <w:textAlignment w:val="auto"/>
        <w:outlineLvl w:val="0"/>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GB" w:eastAsia="zh-CN"/>
        </w:rPr>
        <w:t>七</w:t>
      </w:r>
      <w:r>
        <w:rPr>
          <w:rFonts w:hint="eastAsia" w:ascii="宋体" w:hAnsi="宋体" w:eastAsia="宋体" w:cs="宋体"/>
          <w:b/>
          <w:color w:val="auto"/>
          <w:sz w:val="24"/>
          <w:szCs w:val="24"/>
          <w:highlight w:val="none"/>
          <w:lang w:val="en-GB"/>
        </w:rPr>
        <w:t xml:space="preserve">、 </w:t>
      </w:r>
      <w:r>
        <w:rPr>
          <w:rFonts w:hint="eastAsia" w:ascii="宋体" w:hAnsi="宋体" w:eastAsia="宋体" w:cs="宋体"/>
          <w:b/>
          <w:color w:val="auto"/>
          <w:sz w:val="24"/>
          <w:szCs w:val="24"/>
          <w:highlight w:val="none"/>
        </w:rPr>
        <w:t>封面及密封包格式</w:t>
      </w:r>
      <w:bookmarkEnd w:id="299"/>
      <w:bookmarkEnd w:id="300"/>
      <w:bookmarkEnd w:id="301"/>
    </w:p>
    <w:tbl>
      <w:tblPr>
        <w:tblStyle w:val="37"/>
        <w:tblW w:w="91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90"/>
        <w:gridCol w:w="45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5" w:hRule="atLeast"/>
          <w:jc w:val="center"/>
        </w:trPr>
        <w:tc>
          <w:tcPr>
            <w:tcW w:w="4590" w:type="dxa"/>
          </w:tcPr>
          <w:p>
            <w:pPr>
              <w:pageBreakBefore w:val="0"/>
              <w:kinsoku/>
              <w:wordWrap/>
              <w:topLinePunct w:val="0"/>
              <w:bidi w:val="0"/>
              <w:adjustRightInd w:val="0"/>
              <w:snapToGrid w:val="0"/>
              <w:spacing w:afterAutospacing="0" w:line="360" w:lineRule="auto"/>
              <w:ind w:left="-153"/>
              <w:textAlignment w:val="auto"/>
              <w:rPr>
                <w:rFonts w:hint="eastAsia" w:ascii="宋体" w:hAnsi="宋体" w:eastAsia="宋体" w:cs="宋体"/>
                <w:color w:val="auto"/>
                <w:sz w:val="24"/>
                <w:szCs w:val="24"/>
                <w:highlight w:val="none"/>
              </w:rPr>
            </w:pPr>
          </w:p>
          <w:p>
            <w:pPr>
              <w:pageBreakBefore w:val="0"/>
              <w:kinsoku/>
              <w:wordWrap/>
              <w:topLinePunct w:val="0"/>
              <w:autoSpaceDE w:val="0"/>
              <w:autoSpaceDN w:val="0"/>
              <w:bidi w:val="0"/>
              <w:adjustRightInd w:val="0"/>
              <w:snapToGrid w:val="0"/>
              <w:spacing w:afterAutospacing="0" w:line="360" w:lineRule="auto"/>
              <w:jc w:val="righ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（正本）</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报价文件 </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名称（公章）：</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 系 人：</w:t>
            </w:r>
          </w:p>
        </w:tc>
        <w:tc>
          <w:tcPr>
            <w:tcW w:w="4591" w:type="dxa"/>
          </w:tcPr>
          <w:p>
            <w:pPr>
              <w:pageBreakBefore w:val="0"/>
              <w:kinsoku/>
              <w:wordWrap/>
              <w:topLinePunct w:val="0"/>
              <w:bidi w:val="0"/>
              <w:adjustRightInd w:val="0"/>
              <w:snapToGrid w:val="0"/>
              <w:spacing w:afterAutospacing="0" w:line="360" w:lineRule="auto"/>
              <w:ind w:left="-153"/>
              <w:textAlignment w:val="auto"/>
              <w:rPr>
                <w:rFonts w:hint="eastAsia" w:ascii="宋体" w:hAnsi="宋体" w:eastAsia="宋体" w:cs="宋体"/>
                <w:color w:val="auto"/>
                <w:sz w:val="24"/>
                <w:szCs w:val="24"/>
                <w:highlight w:val="none"/>
              </w:rPr>
            </w:pPr>
          </w:p>
          <w:p>
            <w:pPr>
              <w:pageBreakBefore w:val="0"/>
              <w:kinsoku/>
              <w:wordWrap/>
              <w:topLinePunct w:val="0"/>
              <w:autoSpaceDE w:val="0"/>
              <w:autoSpaceDN w:val="0"/>
              <w:bidi w:val="0"/>
              <w:adjustRightInd w:val="0"/>
              <w:snapToGrid w:val="0"/>
              <w:spacing w:afterAutospacing="0" w:line="360" w:lineRule="auto"/>
              <w:jc w:val="righ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（副本）</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 xml:space="preserve">报价文件 </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名称（公章）：</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 系 人：</w:t>
            </w:r>
          </w:p>
        </w:tc>
      </w:tr>
    </w:tbl>
    <w:p>
      <w:pPr>
        <w:pageBreakBefore w:val="0"/>
        <w:kinsoku/>
        <w:wordWrap/>
        <w:topLinePunct w:val="0"/>
        <w:bidi w:val="0"/>
        <w:adjustRightInd w:val="0"/>
        <w:snapToGrid w:val="0"/>
        <w:spacing w:afterAutospacing="0" w:line="360" w:lineRule="auto"/>
        <w:ind w:firstLine="723" w:firstLineChars="300"/>
        <w:jc w:val="center"/>
        <w:textAlignment w:val="auto"/>
        <w:rPr>
          <w:rFonts w:hint="eastAsia" w:ascii="宋体" w:hAnsi="宋体" w:eastAsia="宋体" w:cs="宋体"/>
          <w:b/>
          <w:bCs/>
          <w:color w:val="auto"/>
          <w:sz w:val="24"/>
          <w:szCs w:val="24"/>
          <w:highlight w:val="none"/>
        </w:rPr>
      </w:pPr>
    </w:p>
    <w:tbl>
      <w:tblPr>
        <w:tblStyle w:val="37"/>
        <w:tblW w:w="91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90"/>
        <w:gridCol w:w="45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5" w:hRule="atLeast"/>
          <w:jc w:val="center"/>
        </w:trPr>
        <w:tc>
          <w:tcPr>
            <w:tcW w:w="4590" w:type="dxa"/>
          </w:tcPr>
          <w:p>
            <w:pPr>
              <w:pageBreakBefore w:val="0"/>
              <w:kinsoku/>
              <w:wordWrap/>
              <w:topLinePunct w:val="0"/>
              <w:bidi w:val="0"/>
              <w:adjustRightInd w:val="0"/>
              <w:snapToGrid w:val="0"/>
              <w:spacing w:afterAutospacing="0" w:line="360" w:lineRule="auto"/>
              <w:ind w:left="-153"/>
              <w:textAlignment w:val="auto"/>
              <w:rPr>
                <w:rFonts w:hint="eastAsia" w:ascii="宋体" w:hAnsi="宋体" w:eastAsia="宋体" w:cs="宋体"/>
                <w:color w:val="auto"/>
                <w:sz w:val="24"/>
                <w:szCs w:val="24"/>
                <w:highlight w:val="none"/>
              </w:rPr>
            </w:pP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报价</w:t>
            </w:r>
            <w:r>
              <w:rPr>
                <w:rFonts w:hint="eastAsia" w:ascii="宋体" w:hAnsi="宋体" w:cs="宋体"/>
                <w:color w:val="auto"/>
                <w:sz w:val="24"/>
                <w:szCs w:val="24"/>
                <w:highlight w:val="none"/>
                <w:lang w:val="zh-CN"/>
              </w:rPr>
              <w:t>一览表</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名称（公章）：</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 系 人：</w:t>
            </w:r>
          </w:p>
        </w:tc>
        <w:tc>
          <w:tcPr>
            <w:tcW w:w="4591" w:type="dxa"/>
          </w:tcPr>
          <w:p>
            <w:pPr>
              <w:pageBreakBefore w:val="0"/>
              <w:kinsoku/>
              <w:wordWrap/>
              <w:topLinePunct w:val="0"/>
              <w:bidi w:val="0"/>
              <w:adjustRightInd w:val="0"/>
              <w:snapToGrid w:val="0"/>
              <w:spacing w:afterAutospacing="0" w:line="360" w:lineRule="auto"/>
              <w:ind w:left="-153"/>
              <w:textAlignment w:val="auto"/>
              <w:rPr>
                <w:rFonts w:hint="eastAsia" w:ascii="宋体" w:hAnsi="宋体" w:eastAsia="宋体" w:cs="宋体"/>
                <w:color w:val="auto"/>
                <w:sz w:val="24"/>
                <w:szCs w:val="24"/>
                <w:highlight w:val="none"/>
              </w:rPr>
            </w:pPr>
          </w:p>
          <w:p>
            <w:pPr>
              <w:pageBreakBefore w:val="0"/>
              <w:kinsoku/>
              <w:wordWrap/>
              <w:topLinePunct w:val="0"/>
              <w:bidi w:val="0"/>
              <w:adjustRightInd w:val="0"/>
              <w:snapToGrid w:val="0"/>
              <w:spacing w:afterAutospacing="0" w:line="360" w:lineRule="auto"/>
              <w:jc w:val="center"/>
              <w:textAlignment w:val="auto"/>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资格审查文件</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名称（公章）：</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 系 人：</w:t>
            </w:r>
          </w:p>
        </w:tc>
      </w:tr>
    </w:tbl>
    <w:p>
      <w:pPr>
        <w:pageBreakBefore w:val="0"/>
        <w:kinsoku/>
        <w:wordWrap/>
        <w:topLinePunct w:val="0"/>
        <w:bidi w:val="0"/>
        <w:adjustRightInd w:val="0"/>
        <w:snapToGrid w:val="0"/>
        <w:spacing w:afterAutospacing="0" w:line="360" w:lineRule="auto"/>
        <w:ind w:firstLine="723" w:firstLineChars="300"/>
        <w:jc w:val="center"/>
        <w:textAlignment w:val="auto"/>
        <w:rPr>
          <w:rFonts w:hint="eastAsia" w:ascii="宋体" w:hAnsi="宋体" w:eastAsia="宋体" w:cs="宋体"/>
          <w:b/>
          <w:bCs/>
          <w:color w:val="auto"/>
          <w:sz w:val="24"/>
          <w:szCs w:val="24"/>
          <w:highlight w:val="none"/>
        </w:rPr>
      </w:pP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b/>
          <w:bCs/>
          <w:color w:val="auto"/>
          <w:sz w:val="24"/>
          <w:szCs w:val="24"/>
          <w:highlight w:val="none"/>
        </w:rPr>
      </w:pPr>
    </w:p>
    <w:p>
      <w:pPr>
        <w:pageBreakBefore w:val="0"/>
        <w:kinsoku/>
        <w:wordWrap/>
        <w:topLinePunct w:val="0"/>
        <w:bidi w:val="0"/>
        <w:adjustRightInd w:val="0"/>
        <w:snapToGrid w:val="0"/>
        <w:spacing w:afterAutospacing="0" w:line="360" w:lineRule="auto"/>
        <w:ind w:firstLine="723" w:firstLineChars="30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封口格式：</w:t>
      </w:r>
    </w:p>
    <w:tbl>
      <w:tblPr>
        <w:tblStyle w:val="37"/>
        <w:tblW w:w="9162"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9162" w:type="dxa"/>
            <w:vAlign w:val="center"/>
          </w:tcPr>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于     年   月    日    之前不准启封（公章）</w:t>
            </w:r>
            <w:r>
              <w:rPr>
                <w:rFonts w:hint="eastAsia" w:ascii="宋体" w:hAnsi="宋体" w:eastAsia="宋体" w:cs="宋体"/>
                <w:b/>
                <w:bCs/>
                <w:color w:val="auto"/>
                <w:sz w:val="24"/>
                <w:szCs w:val="24"/>
                <w:highlight w:val="none"/>
              </w:rPr>
              <w:t>......</w:t>
            </w:r>
          </w:p>
        </w:tc>
      </w:tr>
    </w:tbl>
    <w:p>
      <w:pPr>
        <w:pStyle w:val="64"/>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b/>
          <w:color w:val="auto"/>
          <w:sz w:val="24"/>
          <w:szCs w:val="24"/>
          <w:highlight w:val="none"/>
        </w:rPr>
      </w:pPr>
    </w:p>
    <w:p>
      <w:pP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br w:type="page"/>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各</w:t>
      </w:r>
      <w:r>
        <w:rPr>
          <w:rFonts w:hint="eastAsia" w:ascii="宋体" w:hAnsi="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，书脊内容请按照以下格式填写。（见附件）</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kern w:val="2"/>
          <w:sz w:val="24"/>
          <w:szCs w:val="24"/>
          <w:highlight w:val="none"/>
        </w:rPr>
      </w:pP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附件：</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lang w:eastAsia="zh-CN"/>
        </w:rPr>
        <w:t>报价文件</w:t>
      </w:r>
      <w:r>
        <w:rPr>
          <w:rFonts w:hint="eastAsia" w:ascii="宋体" w:hAnsi="宋体" w:eastAsia="宋体" w:cs="宋体"/>
          <w:b/>
          <w:bCs/>
          <w:color w:val="auto"/>
          <w:kern w:val="2"/>
          <w:sz w:val="24"/>
          <w:szCs w:val="24"/>
          <w:highlight w:val="none"/>
        </w:rPr>
        <w:t>书脊</w:t>
      </w:r>
    </w:p>
    <w:p>
      <w:pPr>
        <w:pStyle w:val="94"/>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cr/>
      </w:r>
    </w:p>
    <w:tbl>
      <w:tblPr>
        <w:tblStyle w:val="3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42"/>
        <w:gridCol w:w="885"/>
        <w:gridCol w:w="3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1" w:hRule="atLeast"/>
        </w:trPr>
        <w:tc>
          <w:tcPr>
            <w:tcW w:w="3842" w:type="dxa"/>
          </w:tcPr>
          <w:p>
            <w:pPr>
              <w:pStyle w:val="94"/>
              <w:pageBreakBefore w:val="0"/>
              <w:widowControl w:val="0"/>
              <w:kinsoku/>
              <w:wordWrap/>
              <w:topLinePunct w:val="0"/>
              <w:bidi w:val="0"/>
              <w:adjustRightInd w:val="0"/>
              <w:snapToGrid w:val="0"/>
              <w:spacing w:before="0" w:after="0" w:afterAutospacing="0" w:line="36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       </w:t>
            </w:r>
          </w:p>
          <w:p>
            <w:pPr>
              <w:pStyle w:val="94"/>
              <w:pageBreakBefore w:val="0"/>
              <w:widowControl w:val="0"/>
              <w:kinsoku/>
              <w:wordWrap/>
              <w:topLinePunct w:val="0"/>
              <w:bidi w:val="0"/>
              <w:adjustRightInd w:val="0"/>
              <w:snapToGrid w:val="0"/>
              <w:spacing w:before="0" w:after="0" w:afterAutospacing="0" w:line="360" w:lineRule="auto"/>
              <w:ind w:firstLine="1680" w:firstLineChars="7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标书背面</w:t>
            </w:r>
          </w:p>
        </w:tc>
        <w:tc>
          <w:tcPr>
            <w:tcW w:w="885" w:type="dxa"/>
          </w:tcPr>
          <w:p>
            <w:pPr>
              <w:pStyle w:val="94"/>
              <w:pageBreakBefore w:val="0"/>
              <w:widowControl w:val="0"/>
              <w:kinsoku/>
              <w:wordWrap/>
              <w:topLinePunct w:val="0"/>
              <w:bidi w:val="0"/>
              <w:adjustRightInd w:val="0"/>
              <w:snapToGrid w:val="0"/>
              <w:spacing w:before="0" w:after="0" w:afterAutospacing="0" w:line="360" w:lineRule="auto"/>
              <w:ind w:firstLine="240" w:firstLineChars="1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正本（副本）     </w:t>
            </w:r>
          </w:p>
          <w:p>
            <w:pPr>
              <w:pStyle w:val="94"/>
              <w:pageBreakBefore w:val="0"/>
              <w:widowControl w:val="0"/>
              <w:kinsoku/>
              <w:wordWrap/>
              <w:topLinePunct w:val="0"/>
              <w:bidi w:val="0"/>
              <w:adjustRightInd w:val="0"/>
              <w:snapToGrid w:val="0"/>
              <w:spacing w:before="0" w:after="0" w:afterAutospacing="0" w:line="360" w:lineRule="auto"/>
              <w:ind w:left="200" w:leftChars="100"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 项  目   名  称     </w:t>
            </w:r>
          </w:p>
          <w:p>
            <w:pPr>
              <w:pStyle w:val="94"/>
              <w:pageBreakBefore w:val="0"/>
              <w:widowControl w:val="0"/>
              <w:kinsoku/>
              <w:wordWrap/>
              <w:topLinePunct w:val="0"/>
              <w:bidi w:val="0"/>
              <w:adjustRightInd w:val="0"/>
              <w:snapToGrid w:val="0"/>
              <w:spacing w:before="0" w:after="0" w:afterAutospacing="0" w:line="360" w:lineRule="auto"/>
              <w:ind w:left="200" w:leftChars="1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投  标  单  位  名  称                           </w:t>
            </w:r>
          </w:p>
        </w:tc>
        <w:tc>
          <w:tcPr>
            <w:tcW w:w="3795" w:type="dxa"/>
          </w:tcPr>
          <w:p>
            <w:pPr>
              <w:pStyle w:val="94"/>
              <w:pageBreakBefore w:val="0"/>
              <w:widowControl w:val="0"/>
              <w:kinsoku/>
              <w:wordWrap/>
              <w:topLinePunct w:val="0"/>
              <w:bidi w:val="0"/>
              <w:adjustRightInd w:val="0"/>
              <w:snapToGrid w:val="0"/>
              <w:spacing w:before="0" w:after="0" w:afterAutospacing="0" w:line="36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    </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 xml:space="preserve">报价文件 </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名称（公章）：</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w:t>
            </w:r>
          </w:p>
          <w:p>
            <w:pPr>
              <w:pStyle w:val="94"/>
              <w:pageBreakBefore w:val="0"/>
              <w:widowControl w:val="0"/>
              <w:kinsoku/>
              <w:wordWrap/>
              <w:topLinePunct w:val="0"/>
              <w:bidi w:val="0"/>
              <w:adjustRightInd w:val="0"/>
              <w:snapToGrid w:val="0"/>
              <w:spacing w:before="0" w:after="0" w:afterAutospacing="0" w:line="360" w:lineRule="auto"/>
              <w:ind w:firstLine="1920" w:firstLineChars="8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 系 人：</w:t>
            </w:r>
          </w:p>
        </w:tc>
      </w:tr>
    </w:tbl>
    <w:p>
      <w:pPr>
        <w:pStyle w:val="94"/>
        <w:pageBreakBefore w:val="0"/>
        <w:kinsoku/>
        <w:wordWrap/>
        <w:topLinePunct w:val="0"/>
        <w:bidi w:val="0"/>
        <w:adjustRightInd w:val="0"/>
        <w:snapToGrid w:val="0"/>
        <w:spacing w:before="0" w:after="0" w:afterAutospacing="0" w:line="360" w:lineRule="auto"/>
        <w:jc w:val="left"/>
        <w:textAlignment w:val="auto"/>
        <w:rPr>
          <w:rFonts w:hint="eastAsia" w:ascii="宋体" w:hAnsi="宋体" w:eastAsia="宋体" w:cs="宋体"/>
          <w:color w:val="auto"/>
          <w:sz w:val="24"/>
          <w:szCs w:val="24"/>
          <w:highlight w:val="none"/>
          <w:lang w:eastAsia="zh-CN"/>
        </w:rPr>
      </w:pPr>
    </w:p>
    <w:p>
      <w:pPr>
        <w:pStyle w:val="94"/>
        <w:pageBreakBefore w:val="0"/>
        <w:kinsoku/>
        <w:wordWrap/>
        <w:topLinePunct w:val="0"/>
        <w:bidi w:val="0"/>
        <w:adjustRightInd w:val="0"/>
        <w:snapToGrid w:val="0"/>
        <w:spacing w:before="0" w:after="0" w:afterAutospacing="0" w:line="360" w:lineRule="auto"/>
        <w:jc w:val="left"/>
        <w:textAlignment w:val="auto"/>
        <w:rPr>
          <w:rFonts w:hint="eastAsia" w:ascii="宋体" w:hAnsi="宋体" w:eastAsia="宋体" w:cs="宋体"/>
          <w:b/>
          <w:bCs/>
          <w:color w:val="auto"/>
          <w:kern w:val="2"/>
          <w:sz w:val="24"/>
          <w:szCs w:val="24"/>
          <w:highlight w:val="none"/>
          <w:lang w:eastAsia="zh-CN"/>
        </w:rPr>
      </w:pPr>
      <w:r>
        <w:rPr>
          <w:rFonts w:hint="eastAsia" w:ascii="宋体" w:hAnsi="宋体" w:eastAsia="宋体" w:cs="宋体"/>
          <w:b/>
          <w:bCs/>
          <w:color w:val="auto"/>
          <w:kern w:val="2"/>
          <w:sz w:val="24"/>
          <w:szCs w:val="24"/>
          <w:highlight w:val="none"/>
          <w:lang w:eastAsia="zh-CN"/>
        </w:rPr>
        <w:t>注：书脊内容从上到下分别是：正（副）本、项目名称、供应商名称。</w:t>
      </w:r>
    </w:p>
    <w:p>
      <w:pPr>
        <w:rPr>
          <w:rFonts w:hint="eastAsia" w:ascii="宋体" w:hAnsi="宋体" w:eastAsia="宋体" w:cs="宋体"/>
          <w:b/>
          <w:bCs/>
          <w:color w:val="auto"/>
          <w:kern w:val="2"/>
          <w:sz w:val="24"/>
          <w:szCs w:val="24"/>
          <w:highlight w:val="none"/>
          <w:lang w:eastAsia="zh-CN"/>
        </w:rPr>
      </w:pPr>
      <w:r>
        <w:rPr>
          <w:rFonts w:hint="eastAsia" w:ascii="宋体" w:hAnsi="宋体" w:eastAsia="宋体" w:cs="宋体"/>
          <w:b/>
          <w:bCs/>
          <w:color w:val="auto"/>
          <w:kern w:val="2"/>
          <w:sz w:val="24"/>
          <w:szCs w:val="24"/>
          <w:highlight w:val="none"/>
          <w:lang w:eastAsia="zh-CN"/>
        </w:rPr>
        <w:br w:type="page"/>
      </w:r>
    </w:p>
    <w:p>
      <w:pPr>
        <w:pStyle w:val="4"/>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color w:val="auto"/>
          <w:szCs w:val="36"/>
          <w:highlight w:val="none"/>
        </w:rPr>
      </w:pPr>
      <w:bookmarkStart w:id="302" w:name="_Toc19483"/>
      <w:bookmarkStart w:id="303" w:name="_Toc5034"/>
      <w:bookmarkStart w:id="304" w:name="_Toc6016"/>
      <w:bookmarkStart w:id="305" w:name="_Toc17698"/>
      <w:bookmarkStart w:id="306" w:name="_Toc17773"/>
      <w:bookmarkStart w:id="307" w:name="_Toc32376"/>
      <w:bookmarkStart w:id="308" w:name="_Toc22216"/>
      <w:bookmarkStart w:id="309" w:name="_Toc27874"/>
      <w:bookmarkStart w:id="310" w:name="_Toc16024"/>
      <w:bookmarkStart w:id="311" w:name="_Toc1734"/>
      <w:bookmarkStart w:id="312" w:name="_Toc21835"/>
      <w:bookmarkStart w:id="313" w:name="_Toc18013"/>
      <w:bookmarkStart w:id="314" w:name="_Toc11827"/>
      <w:bookmarkStart w:id="315" w:name="_Toc31804"/>
      <w:bookmarkStart w:id="316" w:name="_Toc25544"/>
      <w:bookmarkStart w:id="317" w:name="_Toc19567"/>
      <w:bookmarkStart w:id="318" w:name="_Toc31143"/>
      <w:bookmarkStart w:id="319" w:name="_Toc22648"/>
      <w:bookmarkStart w:id="320" w:name="_Toc3983"/>
      <w:bookmarkStart w:id="321" w:name="_Toc9814"/>
      <w:r>
        <w:rPr>
          <w:rFonts w:hint="eastAsia" w:ascii="宋体" w:hAnsi="宋体" w:eastAsia="宋体" w:cs="宋体"/>
          <w:color w:val="auto"/>
          <w:highlight w:val="none"/>
        </w:rPr>
        <w:t>第八部分  报价文件商务部分格式</w:t>
      </w:r>
      <w:bookmarkEnd w:id="302"/>
      <w:bookmarkEnd w:id="303"/>
      <w:bookmarkEnd w:id="304"/>
      <w:bookmarkEnd w:id="305"/>
      <w:bookmarkEnd w:id="306"/>
      <w:bookmarkEnd w:id="307"/>
      <w:bookmarkEnd w:id="308"/>
      <w:bookmarkEnd w:id="309"/>
      <w:bookmarkEnd w:id="310"/>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highlight w:val="none"/>
          <w:u w:val="single"/>
        </w:rPr>
      </w:pPr>
      <w:r>
        <w:rPr>
          <w:rFonts w:hint="eastAsia" w:ascii="宋体" w:hAnsi="宋体" w:eastAsia="宋体" w:cs="宋体"/>
          <w:b/>
          <w:color w:val="auto"/>
          <w:sz w:val="36"/>
          <w:szCs w:val="36"/>
          <w:highlight w:val="none"/>
        </w:rPr>
        <w:t>目  录</w:t>
      </w:r>
    </w:p>
    <w:p>
      <w:pPr>
        <w:pageBreakBefore w:val="0"/>
        <w:kinsoku/>
        <w:wordWrap/>
        <w:topLinePunct w:val="0"/>
        <w:bidi w:val="0"/>
        <w:adjustRightInd w:val="0"/>
        <w:snapToGrid w:val="0"/>
        <w:spacing w:afterAutospacing="0" w:line="360" w:lineRule="auto"/>
        <w:ind w:firstLine="499" w:firstLineChars="20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1、总说明</w:t>
      </w:r>
    </w:p>
    <w:p>
      <w:pPr>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工程量清单与</w:t>
      </w:r>
      <w:r>
        <w:rPr>
          <w:rFonts w:hint="eastAsia" w:ascii="宋体" w:hAnsi="宋体" w:eastAsia="宋体" w:cs="宋体"/>
          <w:color w:val="auto"/>
          <w:sz w:val="24"/>
          <w:szCs w:val="24"/>
          <w:highlight w:val="none"/>
        </w:rPr>
        <w:t>计价表</w:t>
      </w:r>
    </w:p>
    <w:p>
      <w:pPr>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、近三年完成同类业绩一览表（后附业绩合同）</w:t>
      </w:r>
    </w:p>
    <w:p>
      <w:pPr>
        <w:pageBreakBefore w:val="0"/>
        <w:kinsoku/>
        <w:wordWrap/>
        <w:topLinePunct w:val="0"/>
        <w:bidi w:val="0"/>
        <w:adjustRightInd w:val="0"/>
        <w:snapToGrid w:val="0"/>
        <w:spacing w:afterAutospacing="0" w:line="360" w:lineRule="auto"/>
        <w:ind w:firstLine="504"/>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eastAsia="zh-CN"/>
        </w:rPr>
        <w:t>、商务条款偏离表；</w:t>
      </w:r>
    </w:p>
    <w:p>
      <w:pPr>
        <w:pageBreakBefore w:val="0"/>
        <w:numPr>
          <w:ilvl w:val="0"/>
          <w:numId w:val="0"/>
        </w:numPr>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认为有必要提供的其他表格及资料</w:t>
      </w:r>
    </w:p>
    <w:p>
      <w:pPr>
        <w:pStyle w:val="13"/>
        <w:numPr>
          <w:ilvl w:val="0"/>
          <w:numId w:val="0"/>
        </w:numPr>
        <w:rPr>
          <w:rFonts w:hint="eastAsia"/>
        </w:rPr>
      </w:pPr>
    </w:p>
    <w:p>
      <w:pP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br w:type="page"/>
      </w:r>
    </w:p>
    <w:p>
      <w:pPr>
        <w:pStyle w:val="13"/>
        <w:rPr>
          <w:rFonts w:hint="eastAsia"/>
        </w:rPr>
      </w:pP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 xml:space="preserve"> 工程量清单计价表格</w:t>
      </w:r>
    </w:p>
    <w:p>
      <w:pPr>
        <w:pageBreakBefore w:val="0"/>
        <w:tabs>
          <w:tab w:val="left" w:pos="3780"/>
        </w:tabs>
        <w:kinsoku/>
        <w:wordWrap/>
        <w:topLinePunct w:val="0"/>
        <w:bidi w:val="0"/>
        <w:adjustRightInd w:val="0"/>
        <w:snapToGrid w:val="0"/>
        <w:spacing w:afterAutospacing="0" w:line="360" w:lineRule="auto"/>
        <w:ind w:firstLine="482" w:firstLineChars="200"/>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1、计价表格使用规定</w:t>
      </w:r>
    </w:p>
    <w:p>
      <w:pPr>
        <w:pageBreakBefore w:val="0"/>
        <w:kinsoku/>
        <w:wordWrap/>
        <w:topLinePunct w:val="0"/>
        <w:bidi w:val="0"/>
        <w:adjustRightInd w:val="0"/>
        <w:snapToGrid w:val="0"/>
        <w:spacing w:afterAutospacing="0"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1、封面应按规定的内容填写、造价员签字并盖章。</w:t>
      </w:r>
    </w:p>
    <w:p>
      <w:pPr>
        <w:pageBreakBefore w:val="0"/>
        <w:kinsoku/>
        <w:wordWrap/>
        <w:topLinePunct w:val="0"/>
        <w:bidi w:val="0"/>
        <w:adjustRightInd w:val="0"/>
        <w:snapToGrid w:val="0"/>
        <w:spacing w:afterAutospacing="0" w:line="360" w:lineRule="auto"/>
        <w:ind w:left="342" w:leftChars="171" w:firstLine="120" w:firstLine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2、总说明应按下列内容填写：</w:t>
      </w:r>
    </w:p>
    <w:p>
      <w:pPr>
        <w:pageBreakBefore w:val="0"/>
        <w:widowControl w:val="0"/>
        <w:kinsoku/>
        <w:wordWrap/>
        <w:topLinePunct w:val="0"/>
        <w:bidi w:val="0"/>
        <w:adjustRightInd w:val="0"/>
        <w:snapToGrid w:val="0"/>
        <w:spacing w:afterAutospacing="0" w:line="360" w:lineRule="auto"/>
        <w:ind w:left="78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（1）工程概况：建设规模、工程特征、计划工期、合同工期、实际工期、施工现场及变化情况、施工组织设计的特点、自然地理条件、环境保护要求等。</w:t>
      </w:r>
    </w:p>
    <w:p>
      <w:pPr>
        <w:pageBreakBefore w:val="0"/>
        <w:widowControl w:val="0"/>
        <w:kinsoku/>
        <w:wordWrap/>
        <w:topLinePunct w:val="0"/>
        <w:bidi w:val="0"/>
        <w:adjustRightInd w:val="0"/>
        <w:snapToGrid w:val="0"/>
        <w:spacing w:afterAutospacing="0" w:line="360" w:lineRule="auto"/>
        <w:ind w:left="78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（2）编制依据等。</w:t>
      </w:r>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3、工程量清单与计价表中列明的所有需要填写的单价和合价，</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均应填写，未填写的单价和合价，视为此项费用已包含在工程量清单的其他单价和合价中。</w:t>
      </w:r>
    </w:p>
    <w:p>
      <w:pP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br w:type="page"/>
      </w:r>
    </w:p>
    <w:p>
      <w:pPr>
        <w:pStyle w:val="13"/>
        <w:rPr>
          <w:rFonts w:hint="eastAsia" w:ascii="宋体" w:hAnsi="宋体" w:eastAsia="宋体" w:cs="宋体"/>
        </w:rPr>
      </w:pPr>
    </w:p>
    <w:tbl>
      <w:tblPr>
        <w:tblStyle w:val="37"/>
        <w:tblW w:w="9134" w:type="dxa"/>
        <w:tblInd w:w="0" w:type="dxa"/>
        <w:shd w:val="clear" w:color="auto" w:fill="auto"/>
        <w:tblLayout w:type="fixed"/>
        <w:tblCellMar>
          <w:top w:w="0" w:type="dxa"/>
          <w:left w:w="0" w:type="dxa"/>
          <w:bottom w:w="0" w:type="dxa"/>
          <w:right w:w="0" w:type="dxa"/>
        </w:tblCellMar>
      </w:tblPr>
      <w:tblGrid>
        <w:gridCol w:w="2000"/>
        <w:gridCol w:w="112"/>
        <w:gridCol w:w="240"/>
        <w:gridCol w:w="5889"/>
        <w:gridCol w:w="893"/>
      </w:tblGrid>
      <w:tr>
        <w:tblPrEx>
          <w:shd w:val="clear" w:color="auto" w:fill="auto"/>
          <w:tblCellMar>
            <w:top w:w="0" w:type="dxa"/>
            <w:left w:w="0" w:type="dxa"/>
            <w:bottom w:w="0" w:type="dxa"/>
            <w:right w:w="0" w:type="dxa"/>
          </w:tblCellMar>
        </w:tblPrEx>
        <w:trPr>
          <w:gridAfter w:val="1"/>
          <w:wAfter w:w="893" w:type="dxa"/>
          <w:trHeight w:val="810" w:hRule="atLeast"/>
        </w:trPr>
        <w:tc>
          <w:tcPr>
            <w:tcW w:w="2000" w:type="dxa"/>
            <w:tcBorders>
              <w:top w:val="nil"/>
              <w:left w:val="nil"/>
              <w:bottom w:val="nil"/>
              <w:right w:val="nil"/>
            </w:tcBorders>
            <w:shd w:val="clear" w:color="FFFFFF" w:fill="FFFFFF"/>
            <w:tcMar>
              <w:top w:w="12" w:type="dxa"/>
              <w:left w:w="12" w:type="dxa"/>
              <w:right w:w="12" w:type="dxa"/>
            </w:tcMar>
            <w:vAlign w:val="center"/>
          </w:tcPr>
          <w:p>
            <w:pPr>
              <w:jc w:val="left"/>
              <w:rPr>
                <w:rFonts w:hint="eastAsia" w:ascii="宋体" w:hAnsi="宋体" w:eastAsia="宋体" w:cs="宋体"/>
                <w:b/>
                <w:i w:val="0"/>
                <w:color w:val="000000"/>
                <w:sz w:val="36"/>
                <w:szCs w:val="36"/>
                <w:u w:val="none"/>
              </w:rPr>
            </w:pPr>
          </w:p>
        </w:tc>
        <w:tc>
          <w:tcPr>
            <w:tcW w:w="6241" w:type="dxa"/>
            <w:gridSpan w:val="3"/>
            <w:tcBorders>
              <w:top w:val="nil"/>
              <w:left w:val="nil"/>
              <w:bottom w:val="nil"/>
              <w:right w:val="nil"/>
            </w:tcBorders>
            <w:shd w:val="clear" w:color="FFFFFF" w:fill="FFFFFF"/>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投  标  报  价</w:t>
            </w:r>
          </w:p>
        </w:tc>
      </w:tr>
      <w:tr>
        <w:tblPrEx>
          <w:tblCellMar>
            <w:top w:w="0" w:type="dxa"/>
            <w:left w:w="0" w:type="dxa"/>
            <w:bottom w:w="0" w:type="dxa"/>
            <w:right w:w="0" w:type="dxa"/>
          </w:tblCellMar>
        </w:tblPrEx>
        <w:trPr>
          <w:trHeight w:val="1155"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     标    人：</w:t>
            </w:r>
          </w:p>
        </w:tc>
        <w:tc>
          <w:tcPr>
            <w:tcW w:w="7022" w:type="dxa"/>
            <w:gridSpan w:val="3"/>
            <w:tcBorders>
              <w:top w:val="nil"/>
              <w:left w:val="nil"/>
              <w:bottom w:val="single" w:color="000000" w:sz="4" w:space="0"/>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600"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  程   名  称：</w:t>
            </w:r>
          </w:p>
        </w:tc>
        <w:tc>
          <w:tcPr>
            <w:tcW w:w="7022" w:type="dxa"/>
            <w:gridSpan w:val="3"/>
            <w:tcBorders>
              <w:top w:val="single" w:color="000000" w:sz="4" w:space="0"/>
              <w:left w:val="nil"/>
              <w:bottom w:val="single" w:color="000000" w:sz="4" w:space="0"/>
              <w:right w:val="nil"/>
            </w:tcBorders>
            <w:shd w:val="clear" w:color="FFFFFF" w:fill="FFFFFF"/>
            <w:tcMar>
              <w:top w:w="12" w:type="dxa"/>
              <w:left w:w="12" w:type="dxa"/>
              <w:right w:w="12" w:type="dxa"/>
            </w:tcM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 </w:t>
            </w:r>
          </w:p>
        </w:tc>
      </w:tr>
      <w:tr>
        <w:tblPrEx>
          <w:tblCellMar>
            <w:top w:w="0" w:type="dxa"/>
            <w:left w:w="0" w:type="dxa"/>
            <w:bottom w:w="0" w:type="dxa"/>
            <w:right w:w="0" w:type="dxa"/>
          </w:tblCellMar>
        </w:tblPrEx>
        <w:trPr>
          <w:trHeight w:val="600"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报价（小写）：</w:t>
            </w:r>
          </w:p>
        </w:tc>
        <w:tc>
          <w:tcPr>
            <w:tcW w:w="7022" w:type="dxa"/>
            <w:gridSpan w:val="3"/>
            <w:tcBorders>
              <w:top w:val="single" w:color="000000" w:sz="4" w:space="0"/>
              <w:left w:val="nil"/>
              <w:bottom w:val="single" w:color="000000" w:sz="4" w:space="0"/>
              <w:right w:val="nil"/>
            </w:tcBorders>
            <w:shd w:val="clear" w:color="FFFFFF" w:fill="FFFFFF"/>
            <w:tcMar>
              <w:top w:w="12" w:type="dxa"/>
              <w:left w:w="12" w:type="dxa"/>
              <w:right w:w="12" w:type="dxa"/>
            </w:tcM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 </w:t>
            </w:r>
          </w:p>
        </w:tc>
      </w:tr>
      <w:tr>
        <w:tblPrEx>
          <w:tblCellMar>
            <w:top w:w="0" w:type="dxa"/>
            <w:left w:w="0" w:type="dxa"/>
            <w:bottom w:w="0" w:type="dxa"/>
            <w:right w:w="0" w:type="dxa"/>
          </w:tblCellMar>
        </w:tblPrEx>
        <w:trPr>
          <w:trHeight w:val="645"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（大写）：</w:t>
            </w:r>
          </w:p>
        </w:tc>
        <w:tc>
          <w:tcPr>
            <w:tcW w:w="7022" w:type="dxa"/>
            <w:gridSpan w:val="3"/>
            <w:tcBorders>
              <w:top w:val="single" w:color="000000" w:sz="4" w:space="0"/>
              <w:left w:val="nil"/>
              <w:bottom w:val="single" w:color="000000" w:sz="4" w:space="0"/>
              <w:right w:val="nil"/>
            </w:tcBorders>
            <w:shd w:val="clear" w:color="FFFFFF" w:fill="FFFFFF"/>
            <w:tcMar>
              <w:top w:w="12" w:type="dxa"/>
              <w:left w:w="12" w:type="dxa"/>
              <w:right w:w="12" w:type="dxa"/>
            </w:tcM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 </w:t>
            </w:r>
          </w:p>
        </w:tc>
      </w:tr>
      <w:tr>
        <w:tblPrEx>
          <w:tblCellMar>
            <w:top w:w="0" w:type="dxa"/>
            <w:left w:w="0" w:type="dxa"/>
            <w:bottom w:w="0" w:type="dxa"/>
            <w:right w:w="0" w:type="dxa"/>
          </w:tblCellMar>
        </w:tblPrEx>
        <w:trPr>
          <w:trHeight w:val="1155"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投  标  人：</w:t>
            </w:r>
          </w:p>
        </w:tc>
        <w:tc>
          <w:tcPr>
            <w:tcW w:w="240" w:type="dxa"/>
            <w:tcBorders>
              <w:top w:val="nil"/>
              <w:left w:val="nil"/>
              <w:bottom w:val="single" w:color="000000" w:sz="4" w:space="0"/>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c>
          <w:tcPr>
            <w:tcW w:w="6782" w:type="dxa"/>
            <w:gridSpan w:val="2"/>
            <w:tcBorders>
              <w:top w:val="nil"/>
              <w:left w:val="nil"/>
              <w:bottom w:val="single" w:color="000000" w:sz="4" w:space="0"/>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jc w:val="center"/>
              <w:rPr>
                <w:rFonts w:hint="eastAsia" w:ascii="宋体" w:hAnsi="宋体" w:eastAsia="宋体" w:cs="宋体"/>
                <w:i w:val="0"/>
                <w:color w:val="000000"/>
                <w:sz w:val="24"/>
                <w:szCs w:val="24"/>
                <w:u w:val="none"/>
              </w:rPr>
            </w:pPr>
          </w:p>
        </w:tc>
        <w:tc>
          <w:tcPr>
            <w:tcW w:w="240" w:type="dxa"/>
            <w:tcBorders>
              <w:top w:val="single" w:color="000000" w:sz="4" w:space="0"/>
              <w:left w:val="nil"/>
              <w:bottom w:val="nil"/>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c>
          <w:tcPr>
            <w:tcW w:w="6782" w:type="dxa"/>
            <w:gridSpan w:val="2"/>
            <w:tcBorders>
              <w:top w:val="single" w:color="000000" w:sz="4" w:space="0"/>
              <w:left w:val="nil"/>
              <w:bottom w:val="nil"/>
              <w:right w:val="nil"/>
            </w:tcBorders>
            <w:shd w:val="clear" w:color="FFFFFF" w:fill="FFFFFF"/>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(单位盖章)</w:t>
            </w:r>
          </w:p>
        </w:tc>
      </w:tr>
      <w:tr>
        <w:tblPrEx>
          <w:tblCellMar>
            <w:top w:w="0" w:type="dxa"/>
            <w:left w:w="0" w:type="dxa"/>
            <w:bottom w:w="0" w:type="dxa"/>
            <w:right w:w="0" w:type="dxa"/>
          </w:tblCellMar>
        </w:tblPrEx>
        <w:trPr>
          <w:trHeight w:val="1515"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keepNext w:val="0"/>
              <w:keepLines w:val="0"/>
              <w:widowControl/>
              <w:suppressLineNumbers w:val="0"/>
              <w:jc w:val="center"/>
              <w:textAlignment w:val="bottom"/>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法定代表人</w:t>
            </w:r>
          </w:p>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或其授权人：</w:t>
            </w:r>
          </w:p>
        </w:tc>
        <w:tc>
          <w:tcPr>
            <w:tcW w:w="240" w:type="dxa"/>
            <w:tcBorders>
              <w:top w:val="nil"/>
              <w:left w:val="nil"/>
              <w:bottom w:val="single" w:color="000000" w:sz="4" w:space="0"/>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c>
          <w:tcPr>
            <w:tcW w:w="6782" w:type="dxa"/>
            <w:gridSpan w:val="2"/>
            <w:tcBorders>
              <w:top w:val="nil"/>
              <w:left w:val="nil"/>
              <w:bottom w:val="single" w:color="000000" w:sz="4" w:space="0"/>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jc w:val="center"/>
              <w:rPr>
                <w:rFonts w:hint="eastAsia" w:ascii="宋体" w:hAnsi="宋体" w:eastAsia="宋体" w:cs="宋体"/>
                <w:i w:val="0"/>
                <w:color w:val="000000"/>
                <w:sz w:val="24"/>
                <w:szCs w:val="24"/>
                <w:u w:val="none"/>
              </w:rPr>
            </w:pPr>
          </w:p>
        </w:tc>
        <w:tc>
          <w:tcPr>
            <w:tcW w:w="240" w:type="dxa"/>
            <w:tcBorders>
              <w:top w:val="single" w:color="000000" w:sz="4" w:space="0"/>
              <w:left w:val="nil"/>
              <w:bottom w:val="nil"/>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c>
          <w:tcPr>
            <w:tcW w:w="6782" w:type="dxa"/>
            <w:gridSpan w:val="2"/>
            <w:tcBorders>
              <w:top w:val="single" w:color="000000" w:sz="4" w:space="0"/>
              <w:left w:val="nil"/>
              <w:bottom w:val="nil"/>
              <w:right w:val="nil"/>
            </w:tcBorders>
            <w:shd w:val="clear" w:color="FFFFFF" w:fill="FFFFFF"/>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(签字或盖章)</w:t>
            </w:r>
          </w:p>
        </w:tc>
      </w:tr>
      <w:tr>
        <w:tblPrEx>
          <w:tblCellMar>
            <w:top w:w="0" w:type="dxa"/>
            <w:left w:w="0" w:type="dxa"/>
            <w:bottom w:w="0" w:type="dxa"/>
            <w:right w:w="0" w:type="dxa"/>
          </w:tblCellMar>
        </w:tblPrEx>
        <w:trPr>
          <w:trHeight w:val="1515"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编  制  人：</w:t>
            </w:r>
          </w:p>
        </w:tc>
        <w:tc>
          <w:tcPr>
            <w:tcW w:w="240" w:type="dxa"/>
            <w:tcBorders>
              <w:top w:val="nil"/>
              <w:left w:val="nil"/>
              <w:bottom w:val="single" w:color="000000" w:sz="4" w:space="0"/>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c>
          <w:tcPr>
            <w:tcW w:w="6782" w:type="dxa"/>
            <w:gridSpan w:val="2"/>
            <w:tcBorders>
              <w:top w:val="nil"/>
              <w:left w:val="nil"/>
              <w:bottom w:val="single" w:color="000000" w:sz="4" w:space="0"/>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90"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jc w:val="center"/>
              <w:rPr>
                <w:rFonts w:hint="eastAsia" w:ascii="宋体" w:hAnsi="宋体" w:eastAsia="宋体" w:cs="宋体"/>
                <w:i w:val="0"/>
                <w:color w:val="000000"/>
                <w:sz w:val="24"/>
                <w:szCs w:val="24"/>
                <w:u w:val="none"/>
              </w:rPr>
            </w:pPr>
          </w:p>
        </w:tc>
        <w:tc>
          <w:tcPr>
            <w:tcW w:w="240" w:type="dxa"/>
            <w:tcBorders>
              <w:top w:val="single" w:color="000000" w:sz="4" w:space="0"/>
              <w:left w:val="nil"/>
              <w:bottom w:val="nil"/>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c>
          <w:tcPr>
            <w:tcW w:w="6782" w:type="dxa"/>
            <w:gridSpan w:val="2"/>
            <w:tcBorders>
              <w:top w:val="single" w:color="000000" w:sz="4" w:space="0"/>
              <w:left w:val="nil"/>
              <w:bottom w:val="nil"/>
              <w:right w:val="nil"/>
            </w:tcBorders>
            <w:shd w:val="clear" w:color="FFFFFF" w:fill="FFFFFF"/>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(造价人员签字盖专用章)</w:t>
            </w:r>
          </w:p>
        </w:tc>
      </w:tr>
      <w:tr>
        <w:tblPrEx>
          <w:tblCellMar>
            <w:top w:w="0" w:type="dxa"/>
            <w:left w:w="0" w:type="dxa"/>
            <w:bottom w:w="0" w:type="dxa"/>
            <w:right w:w="0" w:type="dxa"/>
          </w:tblCellMar>
        </w:tblPrEx>
        <w:trPr>
          <w:trHeight w:val="1515" w:hRule="atLeast"/>
        </w:trPr>
        <w:tc>
          <w:tcPr>
            <w:tcW w:w="2112" w:type="dxa"/>
            <w:gridSpan w:val="2"/>
            <w:tcBorders>
              <w:top w:val="nil"/>
              <w:left w:val="nil"/>
              <w:bottom w:val="nil"/>
              <w:right w:val="nil"/>
            </w:tcBorders>
            <w:shd w:val="clear" w:color="FFFFFF" w:fill="FFFFFF"/>
            <w:tcMar>
              <w:top w:w="12" w:type="dxa"/>
              <w:left w:w="12" w:type="dxa"/>
              <w:right w:w="12" w:type="dxa"/>
            </w:tcM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编 制 时 间：</w:t>
            </w:r>
          </w:p>
        </w:tc>
        <w:tc>
          <w:tcPr>
            <w:tcW w:w="240" w:type="dxa"/>
            <w:tcBorders>
              <w:top w:val="nil"/>
              <w:left w:val="nil"/>
              <w:bottom w:val="single" w:color="000000" w:sz="4" w:space="0"/>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c>
          <w:tcPr>
            <w:tcW w:w="6782" w:type="dxa"/>
            <w:gridSpan w:val="2"/>
            <w:tcBorders>
              <w:top w:val="nil"/>
              <w:left w:val="nil"/>
              <w:bottom w:val="single" w:color="000000" w:sz="4" w:space="0"/>
              <w:right w:val="nil"/>
            </w:tcBorders>
            <w:shd w:val="clear" w:color="FFFFFF" w:fill="FFFFFF"/>
            <w:tcMar>
              <w:top w:w="12" w:type="dxa"/>
              <w:left w:w="12" w:type="dxa"/>
              <w:right w:w="12" w:type="dxa"/>
            </w:tcMar>
            <w:vAlign w:val="bottom"/>
          </w:tcPr>
          <w:p>
            <w:pPr>
              <w:jc w:val="lef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216" w:hRule="atLeast"/>
        </w:trPr>
        <w:tc>
          <w:tcPr>
            <w:tcW w:w="2000" w:type="dxa"/>
            <w:tcBorders>
              <w:top w:val="nil"/>
              <w:left w:val="nil"/>
              <w:bottom w:val="single" w:color="FFFFFF" w:sz="4" w:space="0"/>
              <w:right w:val="single" w:color="FFFFFF" w:sz="4" w:space="0"/>
            </w:tcBorders>
            <w:shd w:val="clear" w:color="auto" w:fill="auto"/>
            <w:noWrap/>
            <w:tcMar>
              <w:top w:w="12" w:type="dxa"/>
              <w:left w:w="12" w:type="dxa"/>
              <w:right w:w="12" w:type="dxa"/>
            </w:tcMar>
            <w:vAlign w:val="bottom"/>
          </w:tcPr>
          <w:p>
            <w:pPr>
              <w:rPr>
                <w:rFonts w:hint="eastAsia" w:ascii="宋体" w:hAnsi="宋体" w:eastAsia="宋体" w:cs="宋体"/>
                <w:i w:val="0"/>
                <w:color w:val="000000"/>
                <w:sz w:val="18"/>
                <w:szCs w:val="18"/>
                <w:u w:val="none"/>
              </w:rPr>
            </w:pPr>
          </w:p>
        </w:tc>
        <w:tc>
          <w:tcPr>
            <w:tcW w:w="112" w:type="dxa"/>
            <w:tcBorders>
              <w:top w:val="nil"/>
              <w:left w:val="nil"/>
              <w:bottom w:val="single" w:color="FFFFFF" w:sz="4" w:space="0"/>
              <w:right w:val="single" w:color="FFFFFF" w:sz="4" w:space="0"/>
            </w:tcBorders>
            <w:shd w:val="clear" w:color="auto" w:fill="auto"/>
            <w:noWrap/>
            <w:tcMar>
              <w:top w:w="12" w:type="dxa"/>
              <w:left w:w="12" w:type="dxa"/>
              <w:right w:w="12" w:type="dxa"/>
            </w:tcMar>
            <w:vAlign w:val="bottom"/>
          </w:tcPr>
          <w:p>
            <w:pPr>
              <w:rPr>
                <w:rFonts w:hint="eastAsia" w:ascii="宋体" w:hAnsi="宋体" w:eastAsia="宋体" w:cs="宋体"/>
                <w:i w:val="0"/>
                <w:color w:val="000000"/>
                <w:sz w:val="18"/>
                <w:szCs w:val="18"/>
                <w:u w:val="none"/>
              </w:rPr>
            </w:pPr>
          </w:p>
        </w:tc>
        <w:tc>
          <w:tcPr>
            <w:tcW w:w="240" w:type="dxa"/>
            <w:tcBorders>
              <w:top w:val="nil"/>
              <w:left w:val="nil"/>
              <w:bottom w:val="single" w:color="FFFFFF" w:sz="4" w:space="0"/>
              <w:right w:val="single" w:color="FFFFFF" w:sz="4" w:space="0"/>
            </w:tcBorders>
            <w:shd w:val="clear" w:color="auto" w:fill="auto"/>
            <w:noWrap/>
            <w:tcMar>
              <w:top w:w="12" w:type="dxa"/>
              <w:left w:w="12" w:type="dxa"/>
              <w:right w:w="12" w:type="dxa"/>
            </w:tcMar>
            <w:vAlign w:val="bottom"/>
          </w:tcPr>
          <w:p>
            <w:pPr>
              <w:rPr>
                <w:rFonts w:hint="eastAsia" w:ascii="宋体" w:hAnsi="宋体" w:eastAsia="宋体" w:cs="宋体"/>
                <w:i w:val="0"/>
                <w:color w:val="000000"/>
                <w:sz w:val="18"/>
                <w:szCs w:val="18"/>
                <w:u w:val="none"/>
              </w:rPr>
            </w:pPr>
          </w:p>
        </w:tc>
        <w:tc>
          <w:tcPr>
            <w:tcW w:w="5889" w:type="dxa"/>
            <w:tcBorders>
              <w:top w:val="nil"/>
              <w:left w:val="nil"/>
              <w:bottom w:val="single" w:color="FFFFFF" w:sz="4" w:space="0"/>
              <w:right w:val="single" w:color="FFFFFF" w:sz="4" w:space="0"/>
            </w:tcBorders>
            <w:shd w:val="clear" w:color="auto" w:fill="auto"/>
            <w:noWrap/>
            <w:tcMar>
              <w:top w:w="12" w:type="dxa"/>
              <w:left w:w="12" w:type="dxa"/>
              <w:right w:w="12" w:type="dxa"/>
            </w:tcMar>
            <w:vAlign w:val="bottom"/>
          </w:tcPr>
          <w:p>
            <w:pPr>
              <w:rPr>
                <w:rFonts w:hint="eastAsia" w:ascii="宋体" w:hAnsi="宋体" w:eastAsia="宋体" w:cs="宋体"/>
                <w:i w:val="0"/>
                <w:color w:val="000000"/>
                <w:sz w:val="18"/>
                <w:szCs w:val="18"/>
                <w:u w:val="none"/>
              </w:rPr>
            </w:pPr>
          </w:p>
        </w:tc>
        <w:tc>
          <w:tcPr>
            <w:tcW w:w="893" w:type="dxa"/>
            <w:tcBorders>
              <w:top w:val="nil"/>
              <w:left w:val="nil"/>
              <w:bottom w:val="single" w:color="FFFFFF" w:sz="4" w:space="0"/>
              <w:right w:val="single" w:color="FFFFFF" w:sz="4" w:space="0"/>
            </w:tcBorders>
            <w:shd w:val="clear" w:color="auto" w:fill="auto"/>
            <w:noWrap/>
            <w:tcMar>
              <w:top w:w="12" w:type="dxa"/>
              <w:left w:w="12" w:type="dxa"/>
              <w:right w:w="12" w:type="dxa"/>
            </w:tcMar>
            <w:vAlign w:val="bottom"/>
          </w:tcPr>
          <w:p>
            <w:pPr>
              <w:rPr>
                <w:rFonts w:hint="eastAsia" w:ascii="宋体" w:hAnsi="宋体" w:eastAsia="宋体" w:cs="宋体"/>
                <w:i w:val="0"/>
                <w:color w:val="000000"/>
                <w:sz w:val="18"/>
                <w:szCs w:val="18"/>
                <w:u w:val="none"/>
              </w:rPr>
            </w:pPr>
          </w:p>
        </w:tc>
      </w:tr>
    </w:tbl>
    <w:p>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br w:type="page"/>
      </w:r>
    </w:p>
    <w:p>
      <w:pPr>
        <w:pStyle w:val="13"/>
        <w:rPr>
          <w:rFonts w:hint="eastAsia" w:ascii="宋体" w:hAnsi="宋体" w:eastAsia="宋体" w:cs="宋体"/>
        </w:rPr>
      </w:pP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u w:val="single"/>
        </w:rPr>
        <mc:AlternateContent>
          <mc:Choice Requires="wps">
            <w:drawing>
              <wp:anchor distT="0" distB="0" distL="114300" distR="114300" simplePos="0" relativeHeight="251658240" behindDoc="0" locked="0" layoutInCell="1" allowOverlap="1">
                <wp:simplePos x="0" y="0"/>
                <wp:positionH relativeFrom="column">
                  <wp:posOffset>5029200</wp:posOffset>
                </wp:positionH>
                <wp:positionV relativeFrom="paragraph">
                  <wp:posOffset>0</wp:posOffset>
                </wp:positionV>
                <wp:extent cx="571500" cy="297180"/>
                <wp:effectExtent l="0" t="0" r="0" b="0"/>
                <wp:wrapNone/>
                <wp:docPr id="4" name="Text Box 2"/>
                <wp:cNvGraphicFramePr/>
                <a:graphic xmlns:a="http://schemas.openxmlformats.org/drawingml/2006/main">
                  <a:graphicData uri="http://schemas.microsoft.com/office/word/2010/wordprocessingShape">
                    <wps:wsp>
                      <wps:cNvSpPr txBox="1"/>
                      <wps:spPr>
                        <a:xfrm>
                          <a:off x="0" y="0"/>
                          <a:ext cx="571500" cy="297180"/>
                        </a:xfrm>
                        <a:prstGeom prst="rect">
                          <a:avLst/>
                        </a:prstGeom>
                        <a:noFill/>
                        <a:ln w="9525">
                          <a:noFill/>
                          <a:miter/>
                        </a:ln>
                        <a:effectLst/>
                      </wps:spPr>
                      <wps:txbx>
                        <w:txbxContent>
                          <w:p>
                            <w:pPr>
                              <w:rPr>
                                <w:rFonts w:ascii="仿宋_GB2312" w:hAnsi="楷体" w:eastAsia="仿宋_GB2312"/>
                              </w:rPr>
                            </w:pPr>
                            <w:r>
                              <w:rPr>
                                <w:rFonts w:hint="eastAsia" w:ascii="仿宋_GB2312" w:hAnsi="楷体" w:eastAsia="仿宋_GB2312"/>
                              </w:rPr>
                              <w:t>封—1</w:t>
                            </w:r>
                          </w:p>
                        </w:txbxContent>
                      </wps:txbx>
                      <wps:bodyPr upright="1"/>
                    </wps:wsp>
                  </a:graphicData>
                </a:graphic>
              </wp:anchor>
            </w:drawing>
          </mc:Choice>
          <mc:Fallback>
            <w:pict>
              <v:shape id="Text Box 2" o:spid="_x0000_s1026" o:spt="202" type="#_x0000_t202" style="position:absolute;left:0pt;margin-left:396pt;margin-top:0pt;height:23.4pt;width:45pt;z-index:251658240;mso-width-relative:page;mso-height-relative:page;" filled="f" stroked="f" coordsize="21600,21600" o:gfxdata="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iCxp9UAAAAHAQAADwAAAAAAAAABACAAAAAiAAAAZHJzL2Rv&#10;d25yZXYueG1sUEsBAhQAFAAAAAgAh07iQLy2dDuSAQAAHwMAAA4AAAAAAAAAAQAgAAAAJAEAAGRy&#10;cy9lMm9Eb2MueG1sUEsFBgAAAAAGAAYAWQEAACgFAAAAAA==&#10;">
                <v:fill on="f" focussize="0,0"/>
                <v:stroke on="f" joinstyle="miter"/>
                <v:imagedata o:title=""/>
                <o:lock v:ext="edit" aspectratio="f"/>
                <v:textbox>
                  <w:txbxContent>
                    <w:p>
                      <w:pPr>
                        <w:rPr>
                          <w:rFonts w:ascii="仿宋_GB2312" w:hAnsi="楷体" w:eastAsia="仿宋_GB2312"/>
                        </w:rPr>
                      </w:pPr>
                      <w:r>
                        <w:rPr>
                          <w:rFonts w:hint="eastAsia" w:ascii="仿宋_GB2312" w:hAnsi="楷体" w:eastAsia="仿宋_GB2312"/>
                        </w:rPr>
                        <w:t>封—1</w:t>
                      </w:r>
                    </w:p>
                  </w:txbxContent>
                </v:textbox>
              </v:shape>
            </w:pict>
          </mc:Fallback>
        </mc:AlternateContent>
      </w:r>
      <w:r>
        <w:rPr>
          <w:rFonts w:hint="eastAsia" w:ascii="宋体" w:hAnsi="宋体" w:eastAsia="宋体" w:cs="宋体"/>
          <w:color w:val="auto"/>
          <w:sz w:val="32"/>
          <w:szCs w:val="32"/>
          <w:highlight w:val="none"/>
        </w:rPr>
        <w:t>总  说  明</w:t>
      </w:r>
    </w:p>
    <w:p>
      <w:pPr>
        <w:pageBreakBefore w:val="0"/>
        <w:tabs>
          <w:tab w:val="left" w:pos="3780"/>
        </w:tabs>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工程名称：                                         第   页 共   页    </w:t>
      </w:r>
    </w:p>
    <w:tbl>
      <w:tblPr>
        <w:tblStyle w:val="37"/>
        <w:tblW w:w="9823"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823"/>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803" w:hRule="atLeast"/>
          <w:jc w:val="center"/>
        </w:trPr>
        <w:tc>
          <w:tcPr>
            <w:tcW w:w="9823" w:type="dxa"/>
          </w:tcPr>
          <w:p>
            <w:pPr>
              <w:pageBreakBefore w:val="0"/>
              <w:tabs>
                <w:tab w:val="left" w:pos="3780"/>
              </w:tabs>
              <w:kinsoku/>
              <w:wordWrap/>
              <w:topLinePunct w:val="0"/>
              <w:bidi w:val="0"/>
              <w:adjustRightInd w:val="0"/>
              <w:snapToGrid w:val="0"/>
              <w:spacing w:afterAutospacing="0" w:line="360" w:lineRule="auto"/>
              <w:textAlignment w:val="auto"/>
              <w:rPr>
                <w:rFonts w:hint="eastAsia" w:ascii="宋体" w:hAnsi="宋体" w:eastAsia="宋体" w:cs="宋体"/>
                <w:color w:val="auto"/>
                <w:highlight w:val="none"/>
              </w:rPr>
            </w:pPr>
          </w:p>
        </w:tc>
      </w:tr>
    </w:tbl>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32"/>
          <w:szCs w:val="32"/>
          <w:highlight w:val="none"/>
        </w:rPr>
      </w:pPr>
    </w:p>
    <w:p>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br w:type="page"/>
      </w:r>
    </w:p>
    <w:p>
      <w:pPr>
        <w:pStyle w:val="13"/>
        <w:rPr>
          <w:rFonts w:hint="eastAsia" w:ascii="宋体" w:hAnsi="宋体" w:eastAsia="宋体" w:cs="宋体"/>
        </w:rPr>
      </w:pPr>
    </w:p>
    <w:p>
      <w:pPr>
        <w:pStyle w:val="4"/>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color w:val="auto"/>
          <w:highlight w:val="none"/>
          <w:lang w:eastAsia="zh-CN"/>
        </w:rPr>
      </w:pPr>
      <w:bookmarkStart w:id="322" w:name="_Toc16801"/>
      <w:bookmarkStart w:id="323" w:name="_Toc3863"/>
      <w:bookmarkStart w:id="324" w:name="_Toc16247"/>
      <w:bookmarkStart w:id="325" w:name="_Toc28558"/>
      <w:bookmarkStart w:id="326" w:name="_Toc29014"/>
      <w:bookmarkStart w:id="327" w:name="_Toc9836"/>
      <w:bookmarkStart w:id="328" w:name="_Toc30916"/>
      <w:bookmarkStart w:id="329" w:name="_Toc17578"/>
      <w:r>
        <w:rPr>
          <w:rFonts w:hint="eastAsia" w:ascii="宋体" w:hAnsi="宋体" w:eastAsia="宋体" w:cs="宋体"/>
          <w:color w:val="auto"/>
          <w:highlight w:val="none"/>
        </w:rPr>
        <w:t>第九部分  报价文件技术部分</w:t>
      </w:r>
      <w:bookmarkEnd w:id="322"/>
      <w:bookmarkEnd w:id="323"/>
      <w:bookmarkEnd w:id="324"/>
      <w:bookmarkEnd w:id="325"/>
      <w:bookmarkEnd w:id="326"/>
      <w:bookmarkEnd w:id="327"/>
      <w:bookmarkEnd w:id="328"/>
      <w:bookmarkEnd w:id="329"/>
      <w:r>
        <w:rPr>
          <w:rFonts w:hint="eastAsia" w:ascii="宋体" w:hAnsi="宋体" w:cs="宋体"/>
          <w:color w:val="auto"/>
          <w:highlight w:val="none"/>
          <w:lang w:eastAsia="zh-CN"/>
        </w:rPr>
        <w:t>格式</w:t>
      </w:r>
    </w:p>
    <w:p>
      <w:pPr>
        <w:pageBreakBefore w:val="0"/>
        <w:kinsoku/>
        <w:wordWrap/>
        <w:overflowPunct w:val="0"/>
        <w:topLinePunct w:val="0"/>
        <w:autoSpaceDE w:val="0"/>
        <w:autoSpaceDN w:val="0"/>
        <w:bidi w:val="0"/>
        <w:adjustRightInd w:val="0"/>
        <w:snapToGrid w:val="0"/>
        <w:spacing w:afterAutospacing="0" w:line="360" w:lineRule="auto"/>
        <w:ind w:firstLine="567"/>
        <w:jc w:val="center"/>
        <w:textAlignment w:val="auto"/>
        <w:rPr>
          <w:rFonts w:hint="eastAsia" w:ascii="宋体" w:hAnsi="宋体" w:eastAsia="宋体" w:cs="宋体"/>
          <w:b/>
          <w:bCs/>
          <w:color w:val="auto"/>
          <w:sz w:val="36"/>
          <w:highlight w:val="none"/>
        </w:rPr>
      </w:pPr>
      <w:r>
        <w:rPr>
          <w:rFonts w:hint="eastAsia" w:ascii="宋体" w:hAnsi="宋体" w:eastAsia="宋体" w:cs="宋体"/>
          <w:b/>
          <w:bCs/>
          <w:color w:val="auto"/>
          <w:sz w:val="36"/>
          <w:highlight w:val="none"/>
        </w:rPr>
        <w:t>目  录</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一、施工组织设计；</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（1）施工方案及技术措施；</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（2）质量保证措施和创优计划；</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（3）施工总进度计划及保证措施（包括以横道图或标明关键线路的网络进度计划、保障进度计划需要的主要施工机械设备、劳动力需求计划及保证措施、材料设备进场计划及其他保证措施等）；</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（4）施工管理措施计划；</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（5）安全文明施工措施计划及安全保证措施；</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（6）季节施工措施计划；</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（7）施工环保措施计划；</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（8）减少噪音、降低环境污染、管线设施的保护加固措施等；</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（9）成品保护和工程保修工作的管理措施和承诺；</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（10）任何可能的紧急情况的处理措施、预案以及抵抗风险（包括工程施工过程中可能遇到的各种风险）的措施；</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（11）材料的质量保证措施；</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（12）施工机具配备及设备的质量保证措施；</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（13）质量通病的防治措施；</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对自身承建本工程的施工的有利条件和优势说明，有关质量、工期、文明施工、服务等方面对业主的承诺、合理化建议及优惠条件；（</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自行列报）</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的服务及承诺；</w:t>
      </w:r>
    </w:p>
    <w:p>
      <w:pPr>
        <w:keepNext w:val="0"/>
        <w:keepLines w:val="0"/>
        <w:pageBreakBefore w:val="0"/>
        <w:widowControl/>
        <w:tabs>
          <w:tab w:val="left" w:pos="3920"/>
        </w:tabs>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（16）</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认为有必要说明的其他内容。（</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自行列报）</w:t>
      </w:r>
    </w:p>
    <w:p>
      <w:pPr>
        <w:keepNext w:val="0"/>
        <w:keepLines w:val="0"/>
        <w:pageBreakBefore w:val="0"/>
        <w:widowControl/>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二、</w:t>
      </w:r>
      <w:r>
        <w:rPr>
          <w:rFonts w:hint="eastAsia" w:ascii="宋体" w:hAnsi="宋体" w:eastAsia="宋体" w:cs="宋体"/>
          <w:color w:val="auto"/>
          <w:sz w:val="24"/>
          <w:szCs w:val="24"/>
          <w:highlight w:val="none"/>
        </w:rPr>
        <w:t xml:space="preserve"> 项目管理班子配备：</w:t>
      </w:r>
    </w:p>
    <w:p>
      <w:pPr>
        <w:keepNext w:val="0"/>
        <w:keepLines w:val="0"/>
        <w:pageBreakBefore w:val="0"/>
        <w:widowControl/>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（1）项目管理班子配备情况表、组织机构图；</w:t>
      </w:r>
    </w:p>
    <w:p>
      <w:pPr>
        <w:keepNext w:val="0"/>
        <w:keepLines w:val="0"/>
        <w:pageBreakBefore w:val="0"/>
        <w:widowControl/>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（2）项目经理简历表、近三年（201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年1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月1日至今）负责的类似工程和规模相当的工程项目情况介绍，后附项目合同；</w:t>
      </w:r>
    </w:p>
    <w:p>
      <w:pPr>
        <w:keepNext w:val="0"/>
        <w:keepLines w:val="0"/>
        <w:pageBreakBefore w:val="0"/>
        <w:widowControl/>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（3）项目技术负责人简历表、近三年（201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年1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月1日至今）负责的类似工程和规模相当的工程项目情况介绍，后附项目合同；</w:t>
      </w:r>
    </w:p>
    <w:p>
      <w:pPr>
        <w:keepNext w:val="0"/>
        <w:keepLines w:val="0"/>
        <w:pageBreakBefore w:val="0"/>
        <w:widowControl/>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（4）拟投入本工程的主要人员及承建类似工程情况介绍；</w:t>
      </w:r>
    </w:p>
    <w:p>
      <w:pPr>
        <w:keepNext w:val="0"/>
        <w:keepLines w:val="0"/>
        <w:pageBreakBefore w:val="0"/>
        <w:widowControl/>
        <w:kinsoku/>
        <w:wordWrap/>
        <w:overflowPunct/>
        <w:topLinePunct w:val="0"/>
        <w:autoSpaceDE/>
        <w:autoSpaceDN/>
        <w:bidi w:val="0"/>
        <w:adjustRightInd w:val="0"/>
        <w:snapToGrid w:val="0"/>
        <w:spacing w:afterAutospacing="0"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（5）项目管理班子配备情况及其它辅助说明资料、施工力量部署。</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（6）技术偏离表</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一、施工组织设计</w:t>
      </w:r>
    </w:p>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编制递交完整的施工组织设计，施工组织设计应包括磋商文件规定的施工组织设计基本内容．编制具体要求是：编制时应采用文字并结合图表阐述说明各分部分项工程的施工方法；主要材料、施工机械设备、劳动力、采购、运输、使用、计划安排；结合工程特点提出切实可行的工程质量、安全生产、文明施工、工程进度技术组织措施，同时应对关键工序、复杂环节重点提出相应技术措施，如季节性施工技术措施、减少扰民噪音、降低环境污染技术措施、地上地下设施的保护加固措施等。</w:t>
      </w:r>
    </w:p>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2、施工组织设计除采用文字表述外应附下列图表，图表及格式要求附后。</w:t>
      </w:r>
    </w:p>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（1）拟投入的主要施工机械设备表；</w:t>
      </w:r>
    </w:p>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（2）劳动力计划表；</w:t>
      </w:r>
    </w:p>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（3）计划开、竣工日期和施工进度网络图；</w:t>
      </w:r>
    </w:p>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（4）施工总平面布置图及临时用地表</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(一)拟投入的主要施工机械设备表</w:t>
      </w:r>
    </w:p>
    <w:tbl>
      <w:tblPr>
        <w:tblStyle w:val="37"/>
        <w:tblW w:w="89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776"/>
        <w:gridCol w:w="1052"/>
        <w:gridCol w:w="1052"/>
        <w:gridCol w:w="1052"/>
        <w:gridCol w:w="1061"/>
        <w:gridCol w:w="1065"/>
        <w:gridCol w:w="1052"/>
        <w:gridCol w:w="10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序号</w:t>
            </w:r>
          </w:p>
        </w:tc>
        <w:tc>
          <w:tcPr>
            <w:tcW w:w="77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机械设备名称</w:t>
            </w:r>
          </w:p>
        </w:tc>
        <w:tc>
          <w:tcPr>
            <w:tcW w:w="105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型号</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规格</w:t>
            </w:r>
          </w:p>
        </w:tc>
        <w:tc>
          <w:tcPr>
            <w:tcW w:w="105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数量</w:t>
            </w:r>
          </w:p>
        </w:tc>
        <w:tc>
          <w:tcPr>
            <w:tcW w:w="105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国别</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产地</w:t>
            </w:r>
          </w:p>
        </w:tc>
        <w:tc>
          <w:tcPr>
            <w:tcW w:w="1061"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制造</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年份</w:t>
            </w:r>
          </w:p>
        </w:tc>
        <w:tc>
          <w:tcPr>
            <w:tcW w:w="1065"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额定</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功率</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(KW)</w:t>
            </w:r>
          </w:p>
        </w:tc>
        <w:tc>
          <w:tcPr>
            <w:tcW w:w="105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生产</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能力</w:t>
            </w:r>
          </w:p>
        </w:tc>
        <w:tc>
          <w:tcPr>
            <w:tcW w:w="105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自有/租赁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7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77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65"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c>
          <w:tcPr>
            <w:tcW w:w="105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tc>
      </w:tr>
    </w:tbl>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r>
        <w:rPr>
          <w:rFonts w:hint="eastAsia" w:ascii="宋体" w:hAnsi="宋体" w:eastAsia="宋体" w:cs="宋体"/>
          <w:b/>
          <w:bCs/>
          <w:color w:val="auto"/>
          <w:sz w:val="24"/>
          <w:szCs w:val="24"/>
          <w:highlight w:val="none"/>
        </w:rPr>
        <w:t>(二)劳动力计划表</w:t>
      </w:r>
    </w:p>
    <w:p>
      <w:pPr>
        <w:pageBreakBefore w:val="0"/>
        <w:kinsoku/>
        <w:wordWrap/>
        <w:topLinePunct w:val="0"/>
        <w:autoSpaceDE w:val="0"/>
        <w:autoSpaceDN w:val="0"/>
        <w:bidi w:val="0"/>
        <w:adjustRightInd w:val="0"/>
        <w:snapToGrid w:val="0"/>
        <w:spacing w:afterAutospacing="0" w:line="360" w:lineRule="auto"/>
        <w:ind w:firstLine="5586" w:firstLineChars="1995"/>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8"/>
          <w:highlight w:val="non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bCs/>
          <w:color w:val="auto"/>
          <w:sz w:val="24"/>
          <w:szCs w:val="24"/>
          <w:highlight w:val="none"/>
        </w:rPr>
        <w:t>单位</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人</w:t>
      </w:r>
    </w:p>
    <w:tbl>
      <w:tblPr>
        <w:tblStyle w:val="37"/>
        <w:tblW w:w="86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0"/>
        <w:gridCol w:w="821"/>
        <w:gridCol w:w="822"/>
        <w:gridCol w:w="822"/>
        <w:gridCol w:w="822"/>
        <w:gridCol w:w="821"/>
        <w:gridCol w:w="822"/>
        <w:gridCol w:w="822"/>
        <w:gridCol w:w="6"/>
        <w:gridCol w:w="1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540" w:type="dxa"/>
            <w:vMerge w:val="restart"/>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工种级别</w:t>
            </w:r>
          </w:p>
        </w:tc>
        <w:tc>
          <w:tcPr>
            <w:tcW w:w="7084" w:type="dxa"/>
            <w:gridSpan w:val="9"/>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0" w:hRule="atLeast"/>
          <w:jc w:val="center"/>
        </w:trPr>
        <w:tc>
          <w:tcPr>
            <w:tcW w:w="1540" w:type="dxa"/>
            <w:vMerge w:val="continue"/>
            <w:vAlign w:val="center"/>
          </w:tcPr>
          <w:p>
            <w:pPr>
              <w:pageBreakBefore w:val="0"/>
              <w:kinsoku/>
              <w:wordWrap/>
              <w:topLinePunct w:val="0"/>
              <w:autoSpaceDE w:val="0"/>
              <w:autoSpaceDN w:val="0"/>
              <w:bidi w:val="0"/>
              <w:adjustRightInd w:val="0"/>
              <w:snapToGrid w:val="0"/>
              <w:spacing w:afterAutospacing="0" w:line="360" w:lineRule="auto"/>
              <w:ind w:firstLine="567"/>
              <w:jc w:val="center"/>
              <w:textAlignment w:val="auto"/>
              <w:rPr>
                <w:rFonts w:hint="eastAsia" w:ascii="宋体" w:hAnsi="宋体" w:eastAsia="宋体" w:cs="宋体"/>
                <w:bCs/>
                <w:color w:val="auto"/>
                <w:sz w:val="28"/>
                <w:highlight w:val="none"/>
              </w:rPr>
            </w:pPr>
          </w:p>
        </w:tc>
        <w:tc>
          <w:tcPr>
            <w:tcW w:w="821" w:type="dxa"/>
            <w:vAlign w:val="center"/>
          </w:tcPr>
          <w:p>
            <w:pPr>
              <w:pageBreakBefore w:val="0"/>
              <w:kinsoku/>
              <w:wordWrap/>
              <w:topLinePunct w:val="0"/>
              <w:autoSpaceDE w:val="0"/>
              <w:autoSpaceDN w:val="0"/>
              <w:bidi w:val="0"/>
              <w:adjustRightInd w:val="0"/>
              <w:snapToGrid w:val="0"/>
              <w:spacing w:afterAutospacing="0" w:line="360" w:lineRule="auto"/>
              <w:ind w:firstLine="567"/>
              <w:jc w:val="center"/>
              <w:textAlignment w:val="auto"/>
              <w:rPr>
                <w:rFonts w:hint="eastAsia" w:ascii="宋体" w:hAnsi="宋体" w:eastAsia="宋体" w:cs="宋体"/>
                <w:bCs/>
                <w:color w:val="auto"/>
                <w:sz w:val="28"/>
                <w:highlight w:val="none"/>
              </w:rPr>
            </w:pPr>
          </w:p>
        </w:tc>
        <w:tc>
          <w:tcPr>
            <w:tcW w:w="822" w:type="dxa"/>
            <w:vAlign w:val="center"/>
          </w:tcPr>
          <w:p>
            <w:pPr>
              <w:pageBreakBefore w:val="0"/>
              <w:kinsoku/>
              <w:wordWrap/>
              <w:topLinePunct w:val="0"/>
              <w:autoSpaceDE w:val="0"/>
              <w:autoSpaceDN w:val="0"/>
              <w:bidi w:val="0"/>
              <w:adjustRightInd w:val="0"/>
              <w:snapToGrid w:val="0"/>
              <w:spacing w:afterAutospacing="0" w:line="360" w:lineRule="auto"/>
              <w:ind w:firstLine="567"/>
              <w:jc w:val="center"/>
              <w:textAlignment w:val="auto"/>
              <w:rPr>
                <w:rFonts w:hint="eastAsia" w:ascii="宋体" w:hAnsi="宋体" w:eastAsia="宋体" w:cs="宋体"/>
                <w:bCs/>
                <w:color w:val="auto"/>
                <w:sz w:val="28"/>
                <w:highlight w:val="none"/>
              </w:rPr>
            </w:pPr>
          </w:p>
        </w:tc>
        <w:tc>
          <w:tcPr>
            <w:tcW w:w="822" w:type="dxa"/>
            <w:vAlign w:val="center"/>
          </w:tcPr>
          <w:p>
            <w:pPr>
              <w:pageBreakBefore w:val="0"/>
              <w:kinsoku/>
              <w:wordWrap/>
              <w:topLinePunct w:val="0"/>
              <w:autoSpaceDE w:val="0"/>
              <w:autoSpaceDN w:val="0"/>
              <w:bidi w:val="0"/>
              <w:adjustRightInd w:val="0"/>
              <w:snapToGrid w:val="0"/>
              <w:spacing w:afterAutospacing="0" w:line="360" w:lineRule="auto"/>
              <w:ind w:firstLine="567"/>
              <w:jc w:val="center"/>
              <w:textAlignment w:val="auto"/>
              <w:rPr>
                <w:rFonts w:hint="eastAsia" w:ascii="宋体" w:hAnsi="宋体" w:eastAsia="宋体" w:cs="宋体"/>
                <w:bCs/>
                <w:color w:val="auto"/>
                <w:sz w:val="28"/>
                <w:highlight w:val="none"/>
              </w:rPr>
            </w:pPr>
          </w:p>
        </w:tc>
        <w:tc>
          <w:tcPr>
            <w:tcW w:w="822" w:type="dxa"/>
            <w:vAlign w:val="center"/>
          </w:tcPr>
          <w:p>
            <w:pPr>
              <w:pageBreakBefore w:val="0"/>
              <w:kinsoku/>
              <w:wordWrap/>
              <w:topLinePunct w:val="0"/>
              <w:autoSpaceDE w:val="0"/>
              <w:autoSpaceDN w:val="0"/>
              <w:bidi w:val="0"/>
              <w:adjustRightInd w:val="0"/>
              <w:snapToGrid w:val="0"/>
              <w:spacing w:afterAutospacing="0" w:line="360" w:lineRule="auto"/>
              <w:ind w:firstLine="567"/>
              <w:jc w:val="center"/>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1332"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1540"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1"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2"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828" w:type="dxa"/>
            <w:gridSpan w:val="2"/>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c>
          <w:tcPr>
            <w:tcW w:w="1326" w:type="dxa"/>
          </w:tcPr>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8"/>
                <w:highlight w:val="none"/>
              </w:rPr>
            </w:pPr>
          </w:p>
        </w:tc>
      </w:tr>
    </w:tbl>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应按所列格式提交包括分包人在内的估计的劳动力计划表。</w:t>
      </w:r>
    </w:p>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 xml:space="preserve">    本计划表是以每班八小时工作制为基础的。</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(三)计划开、竣工日期和施工进度网络图</w:t>
      </w:r>
    </w:p>
    <w:p>
      <w:pPr>
        <w:pageBreakBefore w:val="0"/>
        <w:kinsoku/>
        <w:wordWrap/>
        <w:overflowPunct w:val="0"/>
        <w:topLinePunct w:val="0"/>
        <w:autoSpaceDE w:val="0"/>
        <w:autoSpaceDN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应提交的施工进度网络图或施工进度表，说明按磋商文件要求的工期进行施工的各个关键日期。</w:t>
      </w:r>
    </w:p>
    <w:p>
      <w:pPr>
        <w:pageBreakBefore w:val="0"/>
        <w:kinsoku/>
        <w:wordWrap/>
        <w:overflowPunct w:val="0"/>
        <w:topLinePunct w:val="0"/>
        <w:autoSpaceDE w:val="0"/>
        <w:autoSpaceDN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施工进度表可采用关键线路网络图表示，说明计划开工日期和各分项工程各阶段的完工日期。</w:t>
      </w:r>
    </w:p>
    <w:p>
      <w:pPr>
        <w:pageBreakBefore w:val="0"/>
        <w:kinsoku/>
        <w:wordWrap/>
        <w:overflowPunct w:val="0"/>
        <w:topLinePunct w:val="0"/>
        <w:autoSpaceDE w:val="0"/>
        <w:autoSpaceDN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施工进度计划应与施工组织设计或施工方案相适应。</w:t>
      </w:r>
    </w:p>
    <w:p>
      <w:pPr>
        <w:pageBreakBefore w:val="0"/>
        <w:kinsoku/>
        <w:wordWrap/>
        <w:topLinePunct w:val="0"/>
        <w:autoSpaceDE w:val="0"/>
        <w:autoSpaceDN w:val="0"/>
        <w:bidi w:val="0"/>
        <w:adjustRightInd w:val="0"/>
        <w:snapToGrid w:val="0"/>
        <w:spacing w:afterAutospacing="0" w:line="360" w:lineRule="auto"/>
        <w:ind w:firstLine="567"/>
        <w:textAlignment w:val="auto"/>
        <w:rPr>
          <w:rFonts w:hint="eastAsia" w:ascii="宋体" w:hAnsi="宋体" w:eastAsia="宋体" w:cs="宋体"/>
          <w:color w:val="auto"/>
          <w:highlight w:val="none"/>
        </w:rPr>
      </w:pP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(四)施工总平面布置图及临时用地表</w:t>
      </w:r>
    </w:p>
    <w:p>
      <w:pPr>
        <w:pageBreakBefore w:val="0"/>
        <w:kinsoku/>
        <w:wordWrap/>
        <w:topLinePunct w:val="0"/>
        <w:autoSpaceDE w:val="0"/>
        <w:autoSpaceDN w:val="0"/>
        <w:bidi w:val="0"/>
        <w:adjustRightInd w:val="0"/>
        <w:snapToGrid w:val="0"/>
        <w:spacing w:afterAutospacing="0"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1、施工总平面布置图</w:t>
      </w:r>
    </w:p>
    <w:p>
      <w:pPr>
        <w:pageBreakBefore w:val="0"/>
        <w:kinsoku/>
        <w:wordWrap/>
        <w:topLinePunct w:val="0"/>
        <w:autoSpaceDE w:val="0"/>
        <w:autoSpaceDN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应提交一份施工总平面图，给出现场临时设施布置图表并附文字说明，说明临时设施、加工车间、现场办公、设备及仓储、供电、供水、卫生、生活等设施的情况和布置。</w:t>
      </w:r>
    </w:p>
    <w:p>
      <w:pPr>
        <w:pageBreakBefore w:val="0"/>
        <w:kinsoku/>
        <w:wordWrap/>
        <w:topLinePunct w:val="0"/>
        <w:autoSpaceDE w:val="0"/>
        <w:autoSpaceDN w:val="0"/>
        <w:bidi w:val="0"/>
        <w:adjustRightInd w:val="0"/>
        <w:snapToGrid w:val="0"/>
        <w:spacing w:afterAutospacing="0"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2、临时用地表</w:t>
      </w:r>
    </w:p>
    <w:tbl>
      <w:tblPr>
        <w:tblStyle w:val="37"/>
        <w:tblW w:w="9246" w:type="dxa"/>
        <w:tblInd w:w="2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2"/>
        <w:gridCol w:w="2246"/>
        <w:gridCol w:w="2530"/>
        <w:gridCol w:w="3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用途</w:t>
            </w:r>
          </w:p>
        </w:tc>
        <w:tc>
          <w:tcPr>
            <w:tcW w:w="224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面积（平方米）</w:t>
            </w:r>
          </w:p>
        </w:tc>
        <w:tc>
          <w:tcPr>
            <w:tcW w:w="253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位置</w:t>
            </w:r>
          </w:p>
        </w:tc>
        <w:tc>
          <w:tcPr>
            <w:tcW w:w="326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trPr>
        <w:tc>
          <w:tcPr>
            <w:tcW w:w="120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24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53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326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trPr>
        <w:tc>
          <w:tcPr>
            <w:tcW w:w="120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24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53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326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trPr>
        <w:tc>
          <w:tcPr>
            <w:tcW w:w="120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24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253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c>
          <w:tcPr>
            <w:tcW w:w="326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trPr>
        <w:tc>
          <w:tcPr>
            <w:tcW w:w="120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
                <w:bCs/>
                <w:color w:val="auto"/>
                <w:sz w:val="24"/>
                <w:szCs w:val="24"/>
                <w:highlight w:val="none"/>
              </w:rPr>
            </w:pPr>
          </w:p>
        </w:tc>
        <w:tc>
          <w:tcPr>
            <w:tcW w:w="224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
                <w:bCs/>
                <w:color w:val="auto"/>
                <w:sz w:val="24"/>
                <w:szCs w:val="24"/>
                <w:highlight w:val="none"/>
              </w:rPr>
            </w:pPr>
          </w:p>
        </w:tc>
        <w:tc>
          <w:tcPr>
            <w:tcW w:w="253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
                <w:bCs/>
                <w:color w:val="auto"/>
                <w:sz w:val="24"/>
                <w:szCs w:val="24"/>
                <w:highlight w:val="none"/>
              </w:rPr>
            </w:pPr>
          </w:p>
        </w:tc>
        <w:tc>
          <w:tcPr>
            <w:tcW w:w="326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trPr>
        <w:tc>
          <w:tcPr>
            <w:tcW w:w="120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合计</w:t>
            </w:r>
          </w:p>
        </w:tc>
        <w:tc>
          <w:tcPr>
            <w:tcW w:w="224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253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326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bl>
    <w:p>
      <w:pPr>
        <w:pageBreakBefore w:val="0"/>
        <w:kinsoku/>
        <w:wordWrap/>
        <w:topLinePunct w:val="0"/>
        <w:autoSpaceDE w:val="0"/>
        <w:autoSpaceDN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应逐项填写本表，指出全部临时设施用地面积及详细用途。</w:t>
      </w:r>
    </w:p>
    <w:p>
      <w:pPr>
        <w:pageBreakBefore w:val="0"/>
        <w:kinsoku/>
        <w:wordWrap/>
        <w:topLinePunct w:val="0"/>
        <w:autoSpaceDE w:val="0"/>
        <w:autoSpaceDN w:val="0"/>
        <w:bidi w:val="0"/>
        <w:adjustRightInd w:val="0"/>
        <w:snapToGrid w:val="0"/>
        <w:spacing w:afterAutospacing="0" w:line="360" w:lineRule="auto"/>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（2）若本表不够，可加附页。</w:t>
      </w:r>
    </w:p>
    <w:p>
      <w:pPr>
        <w:pStyle w:val="6"/>
        <w:pageBreakBefore w:val="0"/>
        <w:kinsoku/>
        <w:wordWrap/>
        <w:topLinePunct w:val="0"/>
        <w:bidi w:val="0"/>
        <w:adjustRightInd w:val="0"/>
        <w:snapToGrid w:val="0"/>
        <w:spacing w:before="0" w:after="0"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color w:val="auto"/>
          <w:sz w:val="24"/>
          <w:szCs w:val="24"/>
          <w:highlight w:val="none"/>
        </w:rPr>
        <w:t>二、项目管理机构配备情况</w:t>
      </w:r>
    </w:p>
    <w:p>
      <w:pPr>
        <w:pageBreakBefore w:val="0"/>
        <w:kinsoku/>
        <w:wordWrap/>
        <w:overflowPunct w:val="0"/>
        <w:topLinePunct w:val="0"/>
        <w:autoSpaceDE w:val="0"/>
        <w:autoSpaceDN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（1）项目管理班子配备情况表</w:t>
      </w:r>
    </w:p>
    <w:p>
      <w:pPr>
        <w:pageBreakBefore w:val="0"/>
        <w:kinsoku/>
        <w:wordWrap/>
        <w:overflowPunct w:val="0"/>
        <w:topLinePunct w:val="0"/>
        <w:autoSpaceDE w:val="0"/>
        <w:autoSpaceDN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（2）项目经理简历表</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近三年（201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年1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月1日至今）负责的类似工程和规模相当的工程项目情况介绍，后附项目合同；</w:t>
      </w:r>
    </w:p>
    <w:p>
      <w:pPr>
        <w:pageBreakBefore w:val="0"/>
        <w:kinsoku/>
        <w:wordWrap/>
        <w:overflowPunct w:val="0"/>
        <w:topLinePunct w:val="0"/>
        <w:autoSpaceDE w:val="0"/>
        <w:autoSpaceDN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（3）项目技术负责人简历表，近三年（201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年1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月1日至今）负责的类似工程和规模相当的工程项目情况介绍，后附项目合同；</w:t>
      </w:r>
    </w:p>
    <w:p>
      <w:pPr>
        <w:pageBreakBefore w:val="0"/>
        <w:kinsoku/>
        <w:wordWrap/>
        <w:overflowPunct w:val="0"/>
        <w:topLinePunct w:val="0"/>
        <w:autoSpaceDE w:val="0"/>
        <w:autoSpaceDN w:val="0"/>
        <w:bidi w:val="0"/>
        <w:adjustRightInd w:val="0"/>
        <w:snapToGrid w:val="0"/>
        <w:spacing w:after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（4）项目管理机构配备情况辅助说明资料</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bCs/>
          <w:color w:val="auto"/>
          <w:sz w:val="24"/>
          <w:szCs w:val="24"/>
          <w:highlight w:val="none"/>
        </w:rPr>
        <w:t>(一)项目管理机构配备情况表</w:t>
      </w:r>
    </w:p>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p>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none"/>
        </w:rPr>
        <w:t>：</w:t>
      </w:r>
    </w:p>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u w:val="single"/>
        </w:rPr>
      </w:pPr>
    </w:p>
    <w:tbl>
      <w:tblPr>
        <w:tblStyle w:val="37"/>
        <w:tblW w:w="95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017"/>
        <w:gridCol w:w="720"/>
        <w:gridCol w:w="900"/>
        <w:gridCol w:w="720"/>
        <w:gridCol w:w="990"/>
        <w:gridCol w:w="990"/>
        <w:gridCol w:w="1440"/>
        <w:gridCol w:w="1080"/>
        <w:gridCol w:w="10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atLeast"/>
          <w:jc w:val="center"/>
        </w:trPr>
        <w:tc>
          <w:tcPr>
            <w:tcW w:w="720" w:type="dxa"/>
            <w:vMerge w:val="restart"/>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职</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务</w:t>
            </w:r>
          </w:p>
        </w:tc>
        <w:tc>
          <w:tcPr>
            <w:tcW w:w="1017" w:type="dxa"/>
            <w:vMerge w:val="restart"/>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姓</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名</w:t>
            </w:r>
          </w:p>
        </w:tc>
        <w:tc>
          <w:tcPr>
            <w:tcW w:w="720" w:type="dxa"/>
            <w:vMerge w:val="restart"/>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职</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称</w:t>
            </w:r>
          </w:p>
        </w:tc>
        <w:tc>
          <w:tcPr>
            <w:tcW w:w="5040" w:type="dxa"/>
            <w:gridSpan w:val="5"/>
            <w:vAlign w:val="center"/>
          </w:tcPr>
          <w:p>
            <w:pPr>
              <w:pageBreakBefore w:val="0"/>
              <w:kinsoku/>
              <w:wordWrap/>
              <w:topLinePunct w:val="0"/>
              <w:autoSpaceDE w:val="0"/>
              <w:autoSpaceDN w:val="0"/>
              <w:bidi w:val="0"/>
              <w:adjustRightInd w:val="0"/>
              <w:snapToGrid w:val="0"/>
              <w:spacing w:afterAutospacing="0" w:line="360" w:lineRule="auto"/>
              <w:ind w:firstLine="1432" w:firstLineChars="597"/>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上岗资格证明</w:t>
            </w:r>
          </w:p>
        </w:tc>
        <w:tc>
          <w:tcPr>
            <w:tcW w:w="2092"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已承担</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在建工程情况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atLeast"/>
          <w:jc w:val="center"/>
        </w:trPr>
        <w:tc>
          <w:tcPr>
            <w:tcW w:w="720" w:type="dxa"/>
            <w:vMerge w:val="continue"/>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017" w:type="dxa"/>
            <w:vMerge w:val="continue"/>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720" w:type="dxa"/>
            <w:vMerge w:val="continue"/>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90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证书</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名称</w:t>
            </w:r>
          </w:p>
        </w:tc>
        <w:tc>
          <w:tcPr>
            <w:tcW w:w="72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级</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别</w:t>
            </w:r>
          </w:p>
        </w:tc>
        <w:tc>
          <w:tcPr>
            <w:tcW w:w="99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证号</w:t>
            </w:r>
          </w:p>
        </w:tc>
        <w:tc>
          <w:tcPr>
            <w:tcW w:w="99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专业</w:t>
            </w:r>
          </w:p>
        </w:tc>
        <w:tc>
          <w:tcPr>
            <w:tcW w:w="14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原服务</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单位</w:t>
            </w:r>
          </w:p>
        </w:tc>
        <w:tc>
          <w:tcPr>
            <w:tcW w:w="108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项目数</w:t>
            </w:r>
          </w:p>
        </w:tc>
        <w:tc>
          <w:tcPr>
            <w:tcW w:w="101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5" w:hRule="atLeast"/>
          <w:jc w:val="center"/>
        </w:trPr>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17"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0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9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9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44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8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1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5" w:hRule="atLeast"/>
          <w:jc w:val="center"/>
        </w:trPr>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17"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0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9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9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44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8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1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5" w:hRule="atLeast"/>
          <w:jc w:val="center"/>
        </w:trPr>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17"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0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9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9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44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8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1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5" w:hRule="atLeast"/>
          <w:jc w:val="center"/>
        </w:trPr>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17"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0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9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9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44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8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1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5" w:hRule="atLeast"/>
          <w:jc w:val="center"/>
        </w:trPr>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17"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0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72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9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99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44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8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c>
          <w:tcPr>
            <w:tcW w:w="101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5" w:hRule="atLeast"/>
          <w:jc w:val="center"/>
        </w:trPr>
        <w:tc>
          <w:tcPr>
            <w:tcW w:w="9589" w:type="dxa"/>
            <w:gridSpan w:val="10"/>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本工程一旦我单位中标，将实行项目经理负责制，并配备上述项目管理班子。上述填报内容真实，若不真实，愿按有关规定接受处理。项目管理班子机构设置、职责分工等情况另附资料说明。</w:t>
            </w:r>
          </w:p>
        </w:tc>
      </w:tr>
    </w:tbl>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highlight w:val="none"/>
        </w:rPr>
      </w:pPr>
    </w:p>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highlight w:val="none"/>
        </w:rPr>
      </w:pPr>
    </w:p>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color w:val="auto"/>
          <w:sz w:val="24"/>
          <w:szCs w:val="24"/>
          <w:highlight w:val="none"/>
        </w:rPr>
        <w:t xml:space="preserve">                      年   月   日</w:t>
      </w:r>
    </w:p>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highlight w:val="none"/>
        </w:rPr>
      </w:pP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30"/>
          <w:highlight w:val="none"/>
        </w:rPr>
      </w:pPr>
      <w:r>
        <w:rPr>
          <w:rFonts w:hint="eastAsia" w:ascii="宋体" w:hAnsi="宋体" w:eastAsia="宋体" w:cs="宋体"/>
          <w:color w:val="auto"/>
          <w:highlight w:val="none"/>
        </w:rPr>
        <w:br w:type="page"/>
      </w:r>
      <w:r>
        <w:rPr>
          <w:rFonts w:hint="eastAsia" w:ascii="宋体" w:hAnsi="宋体" w:eastAsia="宋体" w:cs="宋体"/>
          <w:b/>
          <w:bCs/>
          <w:color w:val="auto"/>
          <w:sz w:val="24"/>
          <w:szCs w:val="24"/>
          <w:highlight w:val="none"/>
        </w:rPr>
        <w:t>(二)项目经理简历表</w:t>
      </w:r>
    </w:p>
    <w:tbl>
      <w:tblPr>
        <w:tblStyle w:val="37"/>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666"/>
        <w:gridCol w:w="1540"/>
        <w:gridCol w:w="1232"/>
        <w:gridCol w:w="164"/>
        <w:gridCol w:w="1684"/>
        <w:gridCol w:w="1386"/>
        <w:gridCol w:w="17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2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姓名</w:t>
            </w:r>
          </w:p>
        </w:tc>
        <w:tc>
          <w:tcPr>
            <w:tcW w:w="220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23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性别</w:t>
            </w:r>
          </w:p>
        </w:tc>
        <w:tc>
          <w:tcPr>
            <w:tcW w:w="1848"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年龄</w:t>
            </w: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2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职务</w:t>
            </w:r>
          </w:p>
        </w:tc>
        <w:tc>
          <w:tcPr>
            <w:tcW w:w="220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23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职称</w:t>
            </w:r>
          </w:p>
        </w:tc>
        <w:tc>
          <w:tcPr>
            <w:tcW w:w="1848"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学历</w:t>
            </w: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3034" w:type="dxa"/>
            <w:gridSpan w:val="3"/>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参加工作时间</w:t>
            </w:r>
          </w:p>
        </w:tc>
        <w:tc>
          <w:tcPr>
            <w:tcW w:w="123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3234" w:type="dxa"/>
            <w:gridSpan w:val="3"/>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从事项目经理年限</w:t>
            </w: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9" w:hRule="exact"/>
        </w:trPr>
        <w:tc>
          <w:tcPr>
            <w:tcW w:w="3034" w:type="dxa"/>
            <w:gridSpan w:val="3"/>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建造师资格证书编号/专业</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及级别</w:t>
            </w:r>
          </w:p>
        </w:tc>
        <w:tc>
          <w:tcPr>
            <w:tcW w:w="6254" w:type="dxa"/>
            <w:gridSpan w:val="5"/>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288" w:type="dxa"/>
            <w:gridSpan w:val="8"/>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9"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建设单位</w:t>
            </w: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项目名称</w:t>
            </w: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建设规模</w:t>
            </w: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开、竣工</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日期</w:t>
            </w: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在建或</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已完</w:t>
            </w: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54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9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684"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8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788"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54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96"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84"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6"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788"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94"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54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96"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84"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6"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788"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bl>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注：可另附承建类似工程情况介绍。</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bCs/>
          <w:color w:val="auto"/>
          <w:sz w:val="24"/>
          <w:szCs w:val="24"/>
          <w:highlight w:val="none"/>
        </w:rPr>
        <w:t>(三)项目技术负责人简历表</w:t>
      </w:r>
    </w:p>
    <w:tbl>
      <w:tblPr>
        <w:tblStyle w:val="37"/>
        <w:tblW w:w="95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3"/>
        <w:gridCol w:w="444"/>
        <w:gridCol w:w="1492"/>
        <w:gridCol w:w="1460"/>
        <w:gridCol w:w="1536"/>
        <w:gridCol w:w="114"/>
        <w:gridCol w:w="1232"/>
        <w:gridCol w:w="148"/>
        <w:gridCol w:w="20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003"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姓名</w:t>
            </w:r>
          </w:p>
        </w:tc>
        <w:tc>
          <w:tcPr>
            <w:tcW w:w="193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46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性别</w:t>
            </w:r>
          </w:p>
        </w:tc>
        <w:tc>
          <w:tcPr>
            <w:tcW w:w="153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4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年龄</w:t>
            </w:r>
          </w:p>
        </w:tc>
        <w:tc>
          <w:tcPr>
            <w:tcW w:w="2227"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003"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职务</w:t>
            </w:r>
          </w:p>
        </w:tc>
        <w:tc>
          <w:tcPr>
            <w:tcW w:w="193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46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职称</w:t>
            </w:r>
          </w:p>
        </w:tc>
        <w:tc>
          <w:tcPr>
            <w:tcW w:w="1536"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1346"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学历</w:t>
            </w:r>
          </w:p>
        </w:tc>
        <w:tc>
          <w:tcPr>
            <w:tcW w:w="2227"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939" w:type="dxa"/>
            <w:gridSpan w:val="3"/>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参加工作时间</w:t>
            </w:r>
          </w:p>
        </w:tc>
        <w:tc>
          <w:tcPr>
            <w:tcW w:w="146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c>
          <w:tcPr>
            <w:tcW w:w="2882" w:type="dxa"/>
            <w:gridSpan w:val="3"/>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从事技术负责人年限</w:t>
            </w:r>
          </w:p>
        </w:tc>
        <w:tc>
          <w:tcPr>
            <w:tcW w:w="2227"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508" w:type="dxa"/>
            <w:gridSpan w:val="9"/>
            <w:tcBorders>
              <w:bottom w:val="single" w:color="auto" w:sz="4" w:space="0"/>
            </w:tcBorders>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1447"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建设单位</w:t>
            </w:r>
          </w:p>
        </w:tc>
        <w:tc>
          <w:tcPr>
            <w:tcW w:w="1492"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项目名称</w:t>
            </w:r>
          </w:p>
        </w:tc>
        <w:tc>
          <w:tcPr>
            <w:tcW w:w="1460"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建设规模</w:t>
            </w:r>
          </w:p>
        </w:tc>
        <w:tc>
          <w:tcPr>
            <w:tcW w:w="1650" w:type="dxa"/>
            <w:gridSpan w:val="2"/>
            <w:vAlign w:val="center"/>
          </w:tcPr>
          <w:p>
            <w:pPr>
              <w:pageBreakBefore w:val="0"/>
              <w:kinsoku/>
              <w:wordWrap/>
              <w:topLinePunct w:val="0"/>
              <w:autoSpaceDE w:val="0"/>
              <w:autoSpaceDN w:val="0"/>
              <w:bidi w:val="0"/>
              <w:adjustRightInd w:val="0"/>
              <w:snapToGrid w:val="0"/>
              <w:spacing w:afterAutospacing="0" w:line="360" w:lineRule="auto"/>
              <w:jc w:val="both"/>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开、竣工日期</w:t>
            </w:r>
          </w:p>
        </w:tc>
        <w:tc>
          <w:tcPr>
            <w:tcW w:w="1380" w:type="dxa"/>
            <w:gridSpan w:val="2"/>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在建或</w:t>
            </w:r>
          </w:p>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已完</w:t>
            </w:r>
          </w:p>
        </w:tc>
        <w:tc>
          <w:tcPr>
            <w:tcW w:w="2079" w:type="dxa"/>
            <w:vAlign w:val="center"/>
          </w:tcPr>
          <w:p>
            <w:pPr>
              <w:pageBreakBefore w:val="0"/>
              <w:kinsoku/>
              <w:wordWrap/>
              <w:topLinePunct w:val="0"/>
              <w:autoSpaceDE w:val="0"/>
              <w:autoSpaceDN w:val="0"/>
              <w:bidi w:val="0"/>
              <w:adjustRightInd w:val="0"/>
              <w:snapToGrid w:val="0"/>
              <w:spacing w:afterAutospacing="0"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447"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92"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460"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65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1380" w:type="dxa"/>
            <w:gridSpan w:val="2"/>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c>
          <w:tcPr>
            <w:tcW w:w="2079" w:type="dxa"/>
          </w:tcPr>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p>
        </w:tc>
      </w:tr>
    </w:tbl>
    <w:p>
      <w:pPr>
        <w:pageBreakBefore w:val="0"/>
        <w:kinsoku/>
        <w:wordWrap/>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8"/>
          <w:highlight w:val="none"/>
        </w:rPr>
        <w:t xml:space="preserve">   </w:t>
      </w:r>
      <w:r>
        <w:rPr>
          <w:rFonts w:hint="eastAsia" w:ascii="宋体" w:hAnsi="宋体" w:eastAsia="宋体" w:cs="宋体"/>
          <w:bCs/>
          <w:color w:val="auto"/>
          <w:sz w:val="24"/>
          <w:szCs w:val="24"/>
          <w:highlight w:val="none"/>
        </w:rPr>
        <w:t>注：可另附承建类似工程情况介绍。</w:t>
      </w:r>
    </w:p>
    <w:p>
      <w:pPr>
        <w:pageBreakBefore w:val="0"/>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color w:val="auto"/>
          <w:sz w:val="24"/>
          <w:szCs w:val="24"/>
          <w:highlight w:val="none"/>
        </w:rPr>
        <w:t>(四)项目管理机构配备情况辅助说明资料</w:t>
      </w:r>
    </w:p>
    <w:tbl>
      <w:tblPr>
        <w:tblStyle w:val="37"/>
        <w:tblW w:w="9154" w:type="dxa"/>
        <w:tblInd w:w="-4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9" w:hRule="atLeast"/>
        </w:trPr>
        <w:tc>
          <w:tcPr>
            <w:tcW w:w="9154" w:type="dxa"/>
          </w:tcPr>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bCs/>
                <w:color w:val="auto"/>
                <w:sz w:val="28"/>
                <w:highlight w:val="none"/>
              </w:rPr>
            </w:pPr>
          </w:p>
        </w:tc>
      </w:tr>
    </w:tbl>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注：1、辅助说明资料主要包括管理班子机构设置、职责分工、有关复印证明资料以及</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认为有必要提供的资料。辅助说明资料格式不做统一规定，由</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自行设计。</w:t>
      </w:r>
    </w:p>
    <w:p>
      <w:pPr>
        <w:pageBreakBefore w:val="0"/>
        <w:kinsoku/>
        <w:wordWrap/>
        <w:overflowPunct w:val="0"/>
        <w:topLinePunct w:val="0"/>
        <w:autoSpaceDE w:val="0"/>
        <w:autoSpaceDN w:val="0"/>
        <w:bidi w:val="0"/>
        <w:adjustRightInd w:val="0"/>
        <w:snapToGrid w:val="0"/>
        <w:spacing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2、项目管理班子配备情况辅助说明资料另附(与本</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一起装订)。</w:t>
      </w:r>
    </w:p>
    <w:p>
      <w:pP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br w:type="page"/>
      </w:r>
    </w:p>
    <w:p>
      <w:pPr>
        <w:pStyle w:val="13"/>
        <w:rPr>
          <w:rFonts w:hint="eastAsia" w:ascii="宋体" w:hAnsi="宋体" w:eastAsia="宋体" w:cs="宋体"/>
        </w:rPr>
      </w:pPr>
    </w:p>
    <w:p>
      <w:pPr>
        <w:pStyle w:val="4"/>
        <w:pageBreakBefore w:val="0"/>
        <w:numPr>
          <w:ilvl w:val="0"/>
          <w:numId w:val="3"/>
        </w:numPr>
        <w:kinsoku/>
        <w:wordWrap/>
        <w:topLinePunct w:val="0"/>
        <w:bidi w:val="0"/>
        <w:adjustRightInd w:val="0"/>
        <w:snapToGrid w:val="0"/>
        <w:spacing w:before="0" w:after="0" w:afterAutospacing="0" w:line="360" w:lineRule="auto"/>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bookmarkStart w:id="330" w:name="_Toc10522"/>
      <w:r>
        <w:rPr>
          <w:rFonts w:hint="eastAsia" w:ascii="宋体" w:hAnsi="宋体" w:eastAsia="宋体" w:cs="宋体"/>
          <w:color w:val="auto"/>
          <w:highlight w:val="none"/>
        </w:rPr>
        <w:t>评分办法</w:t>
      </w:r>
      <w:bookmarkEnd w:id="311"/>
      <w:bookmarkEnd w:id="312"/>
      <w:bookmarkEnd w:id="313"/>
      <w:bookmarkEnd w:id="314"/>
      <w:bookmarkEnd w:id="315"/>
      <w:bookmarkEnd w:id="316"/>
      <w:bookmarkEnd w:id="317"/>
      <w:bookmarkEnd w:id="318"/>
      <w:bookmarkEnd w:id="319"/>
      <w:bookmarkEnd w:id="320"/>
      <w:bookmarkEnd w:id="321"/>
      <w:bookmarkEnd w:id="330"/>
    </w:p>
    <w:p>
      <w:pPr>
        <w:pageBreakBefore w:val="0"/>
        <w:kinsoku/>
        <w:wordWrap/>
        <w:topLinePunct w:val="0"/>
        <w:bidi w:val="0"/>
        <w:adjustRightInd w:val="0"/>
        <w:snapToGrid w:val="0"/>
        <w:spacing w:afterAutospacing="0"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本次评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采用综合评分法，</w:t>
      </w:r>
      <w:r>
        <w:rPr>
          <w:rFonts w:hint="eastAsia" w:ascii="宋体" w:hAnsi="宋体" w:cs="宋体"/>
          <w:color w:val="auto"/>
          <w:sz w:val="24"/>
          <w:szCs w:val="24"/>
          <w:highlight w:val="none"/>
          <w:lang w:eastAsia="zh-CN"/>
        </w:rPr>
        <w:t>磋商小组</w:t>
      </w:r>
      <w:r>
        <w:rPr>
          <w:rFonts w:hint="eastAsia" w:ascii="宋体" w:hAnsi="宋体" w:eastAsia="宋体" w:cs="宋体"/>
          <w:color w:val="auto"/>
          <w:sz w:val="24"/>
          <w:szCs w:val="24"/>
          <w:highlight w:val="none"/>
        </w:rPr>
        <w:t>根据竞争性磋商文件中确定的评分办法综合评定各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提交的</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w:t>
      </w:r>
      <w:r>
        <w:rPr>
          <w:rFonts w:hint="eastAsia" w:ascii="宋体" w:hAnsi="宋体" w:eastAsia="宋体" w:cs="宋体"/>
          <w:color w:val="auto"/>
          <w:sz w:val="24"/>
          <w:highlight w:val="none"/>
        </w:rPr>
        <w:t>本项目分为商务标、技术标</w:t>
      </w:r>
      <w:r>
        <w:rPr>
          <w:rFonts w:hint="eastAsia" w:ascii="宋体" w:hAnsi="宋体" w:eastAsia="宋体" w:cs="宋体"/>
          <w:color w:val="auto"/>
          <w:sz w:val="24"/>
          <w:highlight w:val="none"/>
          <w:lang w:eastAsia="zh-CN"/>
        </w:rPr>
        <w:t>两</w:t>
      </w:r>
      <w:r>
        <w:rPr>
          <w:rFonts w:hint="eastAsia" w:ascii="宋体" w:hAnsi="宋体" w:eastAsia="宋体" w:cs="宋体"/>
          <w:color w:val="auto"/>
          <w:sz w:val="24"/>
          <w:highlight w:val="none"/>
        </w:rPr>
        <w:t>部分进行评审。</w:t>
      </w:r>
    </w:p>
    <w:tbl>
      <w:tblPr>
        <w:tblStyle w:val="37"/>
        <w:tblW w:w="914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70"/>
        <w:gridCol w:w="1462"/>
        <w:gridCol w:w="65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2" w:hRule="atLeast"/>
        </w:trPr>
        <w:tc>
          <w:tcPr>
            <w:tcW w:w="2632" w:type="dxa"/>
            <w:gridSpan w:val="2"/>
            <w:tcBorders>
              <w:bottom w:val="single" w:color="auto" w:sz="4" w:space="0"/>
              <w:right w:val="single" w:color="auto" w:sz="4" w:space="0"/>
            </w:tcBorders>
            <w:noWrap w:val="0"/>
            <w:vAlign w:val="center"/>
          </w:tcPr>
          <w:p>
            <w:pPr>
              <w:adjustRightInd w:val="0"/>
              <w:snapToGrid w:val="0"/>
              <w:spacing w:line="240" w:lineRule="auto"/>
              <w:jc w:val="center"/>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评分项</w:t>
            </w:r>
          </w:p>
        </w:tc>
        <w:tc>
          <w:tcPr>
            <w:tcW w:w="6513"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40" w:lineRule="auto"/>
              <w:jc w:val="center"/>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2" w:hRule="atLeast"/>
        </w:trPr>
        <w:tc>
          <w:tcPr>
            <w:tcW w:w="2632" w:type="dxa"/>
            <w:gridSpan w:val="2"/>
            <w:tcBorders>
              <w:top w:val="single" w:color="auto" w:sz="4" w:space="0"/>
              <w:bottom w:val="single" w:color="auto" w:sz="4" w:space="0"/>
              <w:right w:val="single" w:color="auto" w:sz="4" w:space="0"/>
            </w:tcBorders>
            <w:noWrap w:val="0"/>
            <w:vAlign w:val="center"/>
          </w:tcPr>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报价部分</w:t>
            </w:r>
            <w:r>
              <w:rPr>
                <w:rFonts w:hint="eastAsia" w:ascii="宋体" w:hAnsi="宋体" w:eastAsia="宋体" w:cs="宋体"/>
                <w:color w:val="auto"/>
                <w:sz w:val="24"/>
                <w:szCs w:val="24"/>
                <w:highlight w:val="none"/>
                <w:lang w:val="en-US" w:eastAsia="zh-CN"/>
              </w:rPr>
              <w:t>（30分）</w:t>
            </w:r>
          </w:p>
        </w:tc>
        <w:tc>
          <w:tcPr>
            <w:tcW w:w="6513" w:type="dxa"/>
            <w:tcBorders>
              <w:top w:val="single" w:color="auto" w:sz="4" w:space="0"/>
              <w:left w:val="single" w:color="auto" w:sz="4" w:space="0"/>
              <w:bottom w:val="single" w:color="auto" w:sz="4" w:space="0"/>
              <w:right w:val="single" w:color="auto" w:sz="4" w:space="0"/>
            </w:tcBorders>
            <w:noWrap w:val="0"/>
            <w:vAlign w:val="center"/>
          </w:tcPr>
          <w:p>
            <w:pPr>
              <w:pageBreakBefore w:val="0"/>
              <w:tabs>
                <w:tab w:val="left" w:pos="2745"/>
              </w:tabs>
              <w:kinsoku/>
              <w:wordWrap/>
              <w:topLinePunct w:val="0"/>
              <w:bidi w:val="0"/>
              <w:adjustRightInd w:val="0"/>
              <w:snapToGrid w:val="0"/>
              <w:spacing w:afterAutospacing="0" w:line="360" w:lineRule="auto"/>
              <w:ind w:firstLine="48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价格分采用低价优先法，即满足采购文件要求且最终有效报价最低的报价为评标基准价，其价格分为满分。其他供应商的价格分统一按照下列公式计算：报价得分＝（评标基准价/报价）×30%×100。最终计算分值保留小数报价分点后两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6" w:hRule="atLeast"/>
        </w:trPr>
        <w:tc>
          <w:tcPr>
            <w:tcW w:w="1170" w:type="dxa"/>
            <w:vMerge w:val="restart"/>
            <w:tcBorders>
              <w:top w:val="single" w:color="auto" w:sz="4" w:space="0"/>
              <w:right w:val="single" w:color="auto" w:sz="4" w:space="0"/>
            </w:tcBorders>
            <w:noWrap w:val="0"/>
            <w:vAlign w:val="center"/>
          </w:tcPr>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w:t>
            </w:r>
          </w:p>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术</w:t>
            </w:r>
          </w:p>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w:t>
            </w:r>
          </w:p>
        </w:tc>
        <w:tc>
          <w:tcPr>
            <w:tcW w:w="1462" w:type="dxa"/>
            <w:tcBorders>
              <w:top w:val="single" w:color="auto" w:sz="4" w:space="0"/>
              <w:left w:val="single" w:color="auto" w:sz="4" w:space="0"/>
              <w:bottom w:val="single" w:color="auto" w:sz="4" w:space="0"/>
              <w:right w:val="single" w:color="auto" w:sz="4" w:space="0"/>
            </w:tcBorders>
            <w:noWrap w:val="0"/>
            <w:vAlign w:val="center"/>
          </w:tcPr>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施工组织</w:t>
            </w:r>
          </w:p>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设计方案</w:t>
            </w:r>
          </w:p>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分）</w:t>
            </w:r>
          </w:p>
        </w:tc>
        <w:tc>
          <w:tcPr>
            <w:tcW w:w="651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1、主要施工</w:t>
            </w:r>
            <w:r>
              <w:rPr>
                <w:rFonts w:hint="eastAsia" w:ascii="宋体" w:hAnsi="宋体" w:eastAsia="宋体" w:cs="宋体"/>
                <w:color w:val="auto"/>
                <w:sz w:val="24"/>
                <w:szCs w:val="24"/>
                <w:highlight w:val="none"/>
                <w:lang w:eastAsia="zh-CN"/>
              </w:rPr>
              <w:t>方案</w:t>
            </w:r>
            <w:r>
              <w:rPr>
                <w:rFonts w:hint="eastAsia" w:ascii="宋体" w:hAnsi="宋体" w:eastAsia="宋体" w:cs="宋体"/>
                <w:color w:val="auto"/>
                <w:sz w:val="24"/>
                <w:szCs w:val="24"/>
                <w:highlight w:val="none"/>
              </w:rPr>
              <w:t>及技术措施，</w:t>
            </w:r>
            <w:r>
              <w:rPr>
                <w:rFonts w:hint="eastAsia" w:ascii="宋体" w:hAnsi="宋体" w:eastAsia="宋体" w:cs="宋体"/>
                <w:color w:val="auto"/>
                <w:sz w:val="24"/>
                <w:szCs w:val="24"/>
                <w:highlight w:val="none"/>
                <w:lang w:eastAsia="zh-CN"/>
              </w:rPr>
              <w:t>满分</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000000"/>
                <w:sz w:val="24"/>
                <w:szCs w:val="24"/>
              </w:rPr>
              <w:t>表述不完善或者可行性较低减 0.5 分，减完为止；无此项内容不得分</w:t>
            </w:r>
            <w:r>
              <w:rPr>
                <w:rFonts w:hint="eastAsia" w:ascii="宋体" w:hAnsi="宋体" w:eastAsia="宋体" w:cs="宋体"/>
                <w:color w:val="auto"/>
                <w:sz w:val="24"/>
                <w:szCs w:val="24"/>
                <w:highlight w:val="none"/>
              </w:rPr>
              <w:t>；</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施工现场平面布置图。</w:t>
            </w:r>
            <w:r>
              <w:rPr>
                <w:rFonts w:hint="eastAsia" w:ascii="宋体" w:hAnsi="宋体" w:eastAsia="宋体" w:cs="宋体"/>
                <w:color w:val="auto"/>
                <w:sz w:val="24"/>
                <w:szCs w:val="24"/>
                <w:highlight w:val="none"/>
                <w:lang w:eastAsia="zh-CN"/>
              </w:rPr>
              <w:t>满分</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000000"/>
                <w:sz w:val="24"/>
                <w:szCs w:val="24"/>
              </w:rPr>
              <w:t>表述不完善</w:t>
            </w:r>
            <w:r>
              <w:rPr>
                <w:rFonts w:hint="eastAsia" w:ascii="宋体" w:hAnsi="宋体" w:eastAsia="宋体" w:cs="宋体"/>
                <w:color w:val="000000"/>
                <w:sz w:val="24"/>
                <w:szCs w:val="24"/>
                <w:lang w:eastAsia="zh-CN"/>
              </w:rPr>
              <w:t>、不合理</w:t>
            </w:r>
            <w:r>
              <w:rPr>
                <w:rFonts w:hint="eastAsia" w:ascii="宋体" w:hAnsi="宋体" w:eastAsia="宋体" w:cs="宋体"/>
                <w:color w:val="000000"/>
                <w:sz w:val="24"/>
                <w:szCs w:val="24"/>
              </w:rPr>
              <w:t>或者可行性较低减 0.5 分，减完为止；无此项内容不得分</w:t>
            </w:r>
            <w:r>
              <w:rPr>
                <w:rFonts w:hint="eastAsia" w:ascii="宋体" w:hAnsi="宋体" w:eastAsia="宋体" w:cs="宋体"/>
                <w:color w:val="auto"/>
                <w:sz w:val="24"/>
                <w:szCs w:val="24"/>
                <w:highlight w:val="none"/>
                <w:lang w:eastAsia="zh-CN"/>
              </w:rPr>
              <w:t>；</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主要施工</w:t>
            </w:r>
            <w:r>
              <w:rPr>
                <w:rFonts w:hint="eastAsia" w:ascii="宋体" w:hAnsi="宋体" w:eastAsia="宋体" w:cs="宋体"/>
                <w:color w:val="auto"/>
                <w:sz w:val="24"/>
                <w:szCs w:val="24"/>
                <w:highlight w:val="none"/>
                <w:lang w:val="en-US" w:eastAsia="zh-CN"/>
              </w:rPr>
              <w:t>方法</w:t>
            </w:r>
            <w:r>
              <w:rPr>
                <w:rFonts w:hint="eastAsia" w:ascii="宋体" w:hAnsi="宋体" w:eastAsia="宋体" w:cs="宋体"/>
                <w:color w:val="auto"/>
                <w:sz w:val="24"/>
                <w:szCs w:val="24"/>
                <w:highlight w:val="none"/>
                <w:lang w:eastAsia="zh-CN"/>
              </w:rPr>
              <w:t>及质量保证</w:t>
            </w:r>
            <w:r>
              <w:rPr>
                <w:rFonts w:hint="eastAsia" w:ascii="宋体" w:hAnsi="宋体" w:eastAsia="宋体" w:cs="宋体"/>
                <w:color w:val="auto"/>
                <w:sz w:val="24"/>
                <w:szCs w:val="24"/>
                <w:highlight w:val="none"/>
              </w:rPr>
              <w:t>措施，</w:t>
            </w:r>
            <w:r>
              <w:rPr>
                <w:rFonts w:hint="eastAsia" w:ascii="宋体" w:hAnsi="宋体" w:eastAsia="宋体" w:cs="宋体"/>
                <w:color w:val="auto"/>
                <w:sz w:val="24"/>
                <w:szCs w:val="24"/>
                <w:highlight w:val="none"/>
                <w:lang w:eastAsia="zh-CN"/>
              </w:rPr>
              <w:t>满分</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000000"/>
                <w:sz w:val="24"/>
                <w:szCs w:val="24"/>
              </w:rPr>
              <w:t>表述不完善或者可行性较低减 0.5 分，减完为止；无此项内容不得分</w:t>
            </w:r>
            <w:r>
              <w:rPr>
                <w:rFonts w:hint="eastAsia" w:ascii="宋体" w:hAnsi="宋体" w:eastAsia="宋体" w:cs="宋体"/>
                <w:color w:val="auto"/>
                <w:sz w:val="24"/>
                <w:szCs w:val="24"/>
                <w:highlight w:val="none"/>
              </w:rPr>
              <w:t>；</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、安全</w:t>
            </w:r>
            <w:r>
              <w:rPr>
                <w:rFonts w:hint="eastAsia" w:ascii="宋体" w:hAnsi="宋体" w:eastAsia="宋体" w:cs="宋体"/>
                <w:color w:val="auto"/>
                <w:sz w:val="24"/>
                <w:szCs w:val="24"/>
                <w:highlight w:val="none"/>
                <w:lang w:eastAsia="zh-CN"/>
              </w:rPr>
              <w:t>保证</w:t>
            </w:r>
            <w:r>
              <w:rPr>
                <w:rFonts w:hint="eastAsia" w:ascii="宋体" w:hAnsi="宋体" w:eastAsia="宋体" w:cs="宋体"/>
                <w:color w:val="auto"/>
                <w:sz w:val="24"/>
                <w:szCs w:val="24"/>
                <w:highlight w:val="none"/>
              </w:rPr>
              <w:t>施工措施，</w:t>
            </w:r>
            <w:r>
              <w:rPr>
                <w:rFonts w:hint="eastAsia" w:ascii="宋体" w:hAnsi="宋体" w:eastAsia="宋体" w:cs="宋体"/>
                <w:color w:val="auto"/>
                <w:sz w:val="24"/>
                <w:szCs w:val="24"/>
                <w:highlight w:val="none"/>
                <w:lang w:eastAsia="zh-CN"/>
              </w:rPr>
              <w:t>满分</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000000"/>
                <w:sz w:val="24"/>
                <w:szCs w:val="24"/>
              </w:rPr>
              <w:t>表述不完善或者可行性较低减 0.5 分，减完为止；无此项内容不得分</w:t>
            </w:r>
            <w:r>
              <w:rPr>
                <w:rFonts w:hint="eastAsia" w:ascii="宋体" w:hAnsi="宋体" w:eastAsia="宋体" w:cs="宋体"/>
                <w:color w:val="auto"/>
                <w:sz w:val="24"/>
                <w:szCs w:val="24"/>
                <w:highlight w:val="none"/>
              </w:rPr>
              <w:t>；</w:t>
            </w:r>
          </w:p>
          <w:p>
            <w:pPr>
              <w:pStyle w:val="96"/>
              <w:keepNext w:val="0"/>
              <w:keepLines w:val="0"/>
              <w:pageBreakBefore w:val="0"/>
              <w:widowControl/>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lang w:val="en-US" w:eastAsia="zh-CN"/>
              </w:rPr>
              <w:t>5、水电计划用量，</w:t>
            </w:r>
            <w:r>
              <w:rPr>
                <w:rFonts w:hint="eastAsia" w:ascii="宋体" w:hAnsi="宋体" w:eastAsia="宋体" w:cs="宋体"/>
                <w:color w:val="auto"/>
                <w:sz w:val="24"/>
                <w:szCs w:val="24"/>
                <w:highlight w:val="none"/>
                <w:lang w:eastAsia="zh-CN"/>
              </w:rPr>
              <w:t>满分</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000000"/>
                <w:sz w:val="24"/>
                <w:szCs w:val="24"/>
              </w:rPr>
              <w:t>表述不</w:t>
            </w:r>
            <w:r>
              <w:rPr>
                <w:rFonts w:hint="eastAsia" w:ascii="宋体" w:hAnsi="宋体" w:eastAsia="宋体" w:cs="宋体"/>
                <w:color w:val="000000"/>
                <w:sz w:val="24"/>
                <w:szCs w:val="24"/>
                <w:lang w:eastAsia="zh-CN"/>
              </w:rPr>
              <w:t>合理</w:t>
            </w:r>
            <w:r>
              <w:rPr>
                <w:rFonts w:hint="eastAsia" w:ascii="宋体" w:hAnsi="宋体" w:eastAsia="宋体" w:cs="宋体"/>
                <w:color w:val="000000"/>
                <w:sz w:val="24"/>
                <w:szCs w:val="24"/>
              </w:rPr>
              <w:t>或者可行性较低减 0.5 分，减完为止；无此项内容不得分</w:t>
            </w:r>
            <w:r>
              <w:rPr>
                <w:rFonts w:hint="eastAsia" w:ascii="宋体" w:hAnsi="宋体" w:eastAsia="宋体" w:cs="宋体"/>
                <w:color w:val="auto"/>
                <w:sz w:val="24"/>
                <w:szCs w:val="24"/>
                <w:highlight w:val="none"/>
              </w:rPr>
              <w:t>；</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6、现场文明施工的保障措施，</w:t>
            </w:r>
            <w:r>
              <w:rPr>
                <w:rFonts w:hint="eastAsia" w:ascii="宋体" w:hAnsi="宋体" w:eastAsia="宋体" w:cs="宋体"/>
                <w:color w:val="000000"/>
                <w:sz w:val="24"/>
                <w:szCs w:val="24"/>
                <w:lang w:eastAsia="zh-CN"/>
              </w:rPr>
              <w:t>满分</w:t>
            </w: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rPr>
              <w:t>分</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表述不完善或者可行性较低减 0.5 分，减完为止；无此项内容不得分；</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7、劳动力安排保证措施，</w:t>
            </w:r>
            <w:r>
              <w:rPr>
                <w:rFonts w:hint="eastAsia" w:ascii="宋体" w:hAnsi="宋体" w:eastAsia="宋体" w:cs="宋体"/>
                <w:color w:val="000000"/>
                <w:sz w:val="24"/>
                <w:szCs w:val="24"/>
                <w:lang w:eastAsia="zh-CN"/>
              </w:rPr>
              <w:t>满分</w:t>
            </w:r>
            <w:r>
              <w:rPr>
                <w:rFonts w:hint="eastAsia" w:ascii="宋体" w:hAnsi="宋体" w:eastAsia="宋体" w:cs="宋体"/>
                <w:color w:val="000000"/>
                <w:sz w:val="24"/>
                <w:szCs w:val="24"/>
                <w:lang w:val="en-US" w:eastAsia="zh-CN"/>
              </w:rPr>
              <w:t>5</w:t>
            </w:r>
            <w:r>
              <w:rPr>
                <w:rFonts w:hint="eastAsia" w:ascii="宋体" w:hAnsi="宋体" w:eastAsia="宋体" w:cs="宋体"/>
                <w:color w:val="000000"/>
                <w:sz w:val="24"/>
                <w:szCs w:val="24"/>
              </w:rPr>
              <w:t>分</w:t>
            </w:r>
            <w:r>
              <w:rPr>
                <w:rFonts w:hint="eastAsia" w:ascii="宋体" w:hAnsi="宋体" w:eastAsia="宋体" w:cs="宋体"/>
                <w:color w:val="000000"/>
                <w:sz w:val="24"/>
                <w:szCs w:val="24"/>
                <w:lang w:eastAsia="zh-CN"/>
              </w:rPr>
              <w:t>，安排不合理</w:t>
            </w:r>
            <w:r>
              <w:rPr>
                <w:rFonts w:hint="eastAsia" w:ascii="宋体" w:hAnsi="宋体" w:eastAsia="宋体" w:cs="宋体"/>
                <w:color w:val="000000"/>
                <w:sz w:val="24"/>
                <w:szCs w:val="24"/>
              </w:rPr>
              <w:t>或者</w:t>
            </w:r>
            <w:r>
              <w:rPr>
                <w:rFonts w:hint="eastAsia" w:ascii="宋体" w:hAnsi="宋体" w:eastAsia="宋体" w:cs="宋体"/>
                <w:color w:val="000000"/>
                <w:sz w:val="24"/>
                <w:szCs w:val="24"/>
                <w:lang w:eastAsia="zh-CN"/>
              </w:rPr>
              <w:t>岗位责任不明确</w:t>
            </w:r>
            <w:r>
              <w:rPr>
                <w:rFonts w:hint="eastAsia" w:ascii="宋体" w:hAnsi="宋体" w:eastAsia="宋体" w:cs="宋体"/>
                <w:color w:val="000000"/>
                <w:sz w:val="24"/>
                <w:szCs w:val="24"/>
              </w:rPr>
              <w:t>减 0.5 分，减完为止；无此项内容不得分；</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机械设备选用</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保证措施，满分</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分，机械设备选用</w:t>
            </w:r>
            <w:r>
              <w:rPr>
                <w:rFonts w:hint="eastAsia" w:ascii="宋体" w:hAnsi="宋体" w:eastAsia="宋体" w:cs="宋体"/>
                <w:color w:val="auto"/>
                <w:sz w:val="24"/>
                <w:szCs w:val="24"/>
                <w:highlight w:val="none"/>
                <w:lang w:eastAsia="zh-CN"/>
              </w:rPr>
              <w:t>不合理、不科学等</w:t>
            </w:r>
            <w:r>
              <w:rPr>
                <w:rFonts w:hint="eastAsia" w:ascii="宋体" w:hAnsi="宋体" w:eastAsia="宋体" w:cs="宋体"/>
                <w:color w:val="auto"/>
                <w:sz w:val="24"/>
                <w:szCs w:val="24"/>
                <w:highlight w:val="none"/>
              </w:rPr>
              <w:t>减 0.5 分，减完为止；无此项内容不得分；</w:t>
            </w:r>
          </w:p>
          <w:p>
            <w:pPr>
              <w:spacing w:line="360" w:lineRule="auto"/>
              <w:rPr>
                <w:rFonts w:hint="eastAsia" w:ascii="宋体" w:hAnsi="宋体" w:eastAsia="宋体" w:cs="宋体"/>
                <w:lang w:eastAsia="zh-CN"/>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施工总进度计划及保证措施（包括以横道图或标明关键线路的网络进度计划、</w:t>
            </w:r>
            <w:r>
              <w:rPr>
                <w:rFonts w:hint="eastAsia" w:ascii="宋体" w:hAnsi="宋体" w:eastAsia="宋体" w:cs="宋体"/>
                <w:color w:val="auto"/>
                <w:sz w:val="24"/>
                <w:szCs w:val="24"/>
                <w:highlight w:val="none"/>
                <w:lang w:eastAsia="zh-CN"/>
              </w:rPr>
              <w:t>施工进度表</w:t>
            </w:r>
            <w:r>
              <w:rPr>
                <w:rFonts w:hint="eastAsia" w:ascii="宋体" w:hAnsi="宋体" w:eastAsia="宋体" w:cs="宋体"/>
                <w:color w:val="auto"/>
                <w:sz w:val="24"/>
                <w:szCs w:val="24"/>
                <w:highlight w:val="none"/>
              </w:rPr>
              <w:t>、材料设备进场计划及其他保证措施等）</w:t>
            </w:r>
            <w:r>
              <w:rPr>
                <w:rFonts w:hint="eastAsia" w:ascii="宋体" w:hAnsi="宋体" w:eastAsia="宋体" w:cs="宋体"/>
                <w:sz w:val="24"/>
                <w:szCs w:val="24"/>
                <w:lang w:eastAsia="zh-CN"/>
              </w:rPr>
              <w:t>合理、科学有效等切实可行为第一档满分</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 xml:space="preserve"> 分；</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施工总进度计划及保证措施基本合理、科学有效为第二档满分3 分；</w:t>
            </w:r>
          </w:p>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专家针对同档次响应文件横向比较，依次扣减 0.</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分，</w:t>
            </w:r>
            <w:r>
              <w:rPr>
                <w:rFonts w:hint="eastAsia" w:ascii="宋体" w:hAnsi="宋体" w:eastAsia="宋体" w:cs="宋体"/>
                <w:color w:val="auto"/>
                <w:sz w:val="24"/>
                <w:szCs w:val="24"/>
                <w:highlight w:val="none"/>
                <w:lang w:eastAsia="zh-CN"/>
              </w:rPr>
              <w:t>无此项内容</w:t>
            </w:r>
            <w:r>
              <w:rPr>
                <w:rFonts w:hint="eastAsia" w:ascii="宋体" w:hAnsi="宋体" w:eastAsia="宋体" w:cs="宋体"/>
                <w:color w:val="auto"/>
                <w:sz w:val="24"/>
                <w:szCs w:val="24"/>
                <w:highlight w:val="none"/>
              </w:rPr>
              <w:t>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70" w:type="dxa"/>
            <w:vMerge w:val="continue"/>
            <w:tcBorders>
              <w:right w:val="single" w:color="auto" w:sz="4" w:space="0"/>
            </w:tcBorders>
            <w:noWrap w:val="0"/>
            <w:vAlign w:val="center"/>
          </w:tcPr>
          <w:p>
            <w:pPr>
              <w:pageBreakBefore w:val="0"/>
              <w:tabs>
                <w:tab w:val="left" w:pos="2745"/>
              </w:tabs>
              <w:kinsoku/>
              <w:wordWrap/>
              <w:topLinePunct w:val="0"/>
              <w:bidi w:val="0"/>
              <w:adjustRightInd w:val="0"/>
              <w:snapToGrid w:val="0"/>
              <w:spacing w:afterAutospacing="0" w:line="360" w:lineRule="auto"/>
              <w:ind w:firstLine="480"/>
              <w:jc w:val="both"/>
              <w:textAlignment w:val="auto"/>
              <w:rPr>
                <w:rFonts w:hint="eastAsia" w:ascii="宋体" w:hAnsi="宋体" w:eastAsia="宋体" w:cs="宋体"/>
                <w:color w:val="auto"/>
                <w:sz w:val="24"/>
                <w:szCs w:val="24"/>
                <w:highlight w:val="none"/>
                <w:lang w:val="en-US" w:eastAsia="zh-CN"/>
              </w:rPr>
            </w:pPr>
          </w:p>
        </w:tc>
        <w:tc>
          <w:tcPr>
            <w:tcW w:w="1462"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主要材料质量（</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w:t>
            </w:r>
          </w:p>
        </w:tc>
        <w:tc>
          <w:tcPr>
            <w:tcW w:w="651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topLinePunct w:val="0"/>
              <w:bidi w:val="0"/>
              <w:adjustRightInd w:val="0"/>
              <w:snapToGrid w:val="0"/>
              <w:spacing w:afterAutospacing="0" w:line="36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专家对</w:t>
            </w:r>
            <w:r>
              <w:rPr>
                <w:rFonts w:hint="eastAsia" w:ascii="宋体" w:hAnsi="宋体" w:eastAsia="宋体" w:cs="宋体"/>
                <w:color w:val="auto"/>
                <w:sz w:val="24"/>
                <w:szCs w:val="24"/>
                <w:highlight w:val="none"/>
                <w:lang w:val="en-US" w:eastAsia="zh-CN"/>
              </w:rPr>
              <w:t>各供应商所提供的主材表，综合考虑各主材的市场知名度</w:t>
            </w:r>
            <w:r>
              <w:rPr>
                <w:rFonts w:hint="eastAsia" w:ascii="宋体" w:hAnsi="宋体" w:cs="宋体"/>
                <w:color w:val="auto"/>
                <w:sz w:val="24"/>
                <w:szCs w:val="24"/>
                <w:highlight w:val="none"/>
                <w:lang w:val="en-US" w:eastAsia="zh-CN"/>
              </w:rPr>
              <w:t>打分，满分5</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市场占有率及材料质量等相关证明材料综</w:t>
            </w:r>
            <w:r>
              <w:rPr>
                <w:rFonts w:hint="eastAsia" w:ascii="宋体" w:hAnsi="宋体" w:cs="宋体"/>
                <w:color w:val="auto"/>
                <w:sz w:val="24"/>
                <w:szCs w:val="24"/>
                <w:highlight w:val="none"/>
                <w:lang w:val="en-US" w:eastAsia="zh-CN"/>
              </w:rPr>
              <w:t>不完善、不科学减0.2分，减完为止。</w:t>
            </w:r>
            <w:r>
              <w:rPr>
                <w:rFonts w:hint="eastAsia" w:ascii="宋体" w:hAnsi="宋体" w:eastAsia="宋体" w:cs="宋体"/>
                <w:color w:val="auto"/>
                <w:sz w:val="24"/>
                <w:szCs w:val="24"/>
                <w:highlight w:val="none"/>
                <w:lang w:val="en-US" w:eastAsia="zh-CN"/>
              </w:rPr>
              <w:t>此条缺项不得分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24" w:hRule="atLeast"/>
        </w:trPr>
        <w:tc>
          <w:tcPr>
            <w:tcW w:w="1170" w:type="dxa"/>
            <w:vMerge w:val="continue"/>
            <w:tcBorders>
              <w:bottom w:val="single" w:color="auto" w:sz="4" w:space="0"/>
              <w:right w:val="single" w:color="auto" w:sz="4" w:space="0"/>
            </w:tcBorders>
            <w:noWrap w:val="0"/>
            <w:vAlign w:val="center"/>
          </w:tcPr>
          <w:p>
            <w:pPr>
              <w:pageBreakBefore w:val="0"/>
              <w:tabs>
                <w:tab w:val="left" w:pos="2745"/>
              </w:tabs>
              <w:kinsoku/>
              <w:wordWrap/>
              <w:topLinePunct w:val="0"/>
              <w:bidi w:val="0"/>
              <w:adjustRightInd w:val="0"/>
              <w:snapToGrid w:val="0"/>
              <w:spacing w:afterAutospacing="0" w:line="360" w:lineRule="auto"/>
              <w:ind w:firstLine="480"/>
              <w:jc w:val="both"/>
              <w:textAlignment w:val="auto"/>
              <w:rPr>
                <w:rFonts w:hint="eastAsia" w:ascii="宋体" w:hAnsi="宋体" w:eastAsia="宋体" w:cs="宋体"/>
                <w:color w:val="auto"/>
                <w:sz w:val="24"/>
                <w:szCs w:val="24"/>
                <w:highlight w:val="none"/>
                <w:lang w:val="en-US" w:eastAsia="zh-CN"/>
              </w:rPr>
            </w:pPr>
          </w:p>
        </w:tc>
        <w:tc>
          <w:tcPr>
            <w:tcW w:w="1462" w:type="dxa"/>
            <w:tcBorders>
              <w:top w:val="single" w:color="auto" w:sz="4" w:space="0"/>
              <w:left w:val="single" w:color="auto" w:sz="4" w:space="0"/>
              <w:bottom w:val="single" w:color="auto" w:sz="4" w:space="0"/>
              <w:right w:val="single" w:color="auto" w:sz="4" w:space="0"/>
            </w:tcBorders>
            <w:noWrap w:val="0"/>
            <w:vAlign w:val="center"/>
          </w:tcPr>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项目管理班子配备</w:t>
            </w:r>
          </w:p>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tc>
        <w:tc>
          <w:tcPr>
            <w:tcW w:w="6513" w:type="dxa"/>
            <w:tcBorders>
              <w:top w:val="single" w:color="auto" w:sz="4" w:space="0"/>
              <w:left w:val="single" w:color="auto" w:sz="4" w:space="0"/>
              <w:bottom w:val="single" w:color="auto" w:sz="4" w:space="0"/>
              <w:right w:val="single" w:color="auto" w:sz="4" w:space="0"/>
            </w:tcBorders>
            <w:noWrap w:val="0"/>
            <w:vAlign w:val="center"/>
          </w:tcPr>
          <w:p>
            <w:pPr>
              <w:pageBreakBefore w:val="0"/>
              <w:tabs>
                <w:tab w:val="left" w:pos="2745"/>
              </w:tabs>
              <w:kinsoku/>
              <w:wordWrap/>
              <w:topLinePunct w:val="0"/>
              <w:bidi w:val="0"/>
              <w:adjustRightInd w:val="0"/>
              <w:snapToGrid w:val="0"/>
              <w:spacing w:afterAutospacing="0" w:line="360" w:lineRule="auto"/>
              <w:jc w:val="left"/>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项目班子人员配备齐全</w:t>
            </w:r>
            <w:r>
              <w:rPr>
                <w:rFonts w:hint="eastAsia" w:ascii="宋体" w:hAnsi="宋体" w:cs="宋体"/>
                <w:color w:val="auto"/>
                <w:sz w:val="24"/>
                <w:szCs w:val="24"/>
                <w:highlight w:val="none"/>
                <w:lang w:val="en-US" w:eastAsia="zh-CN"/>
              </w:rPr>
              <w:t>、完善</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，专家根据供应商所提供的</w:t>
            </w:r>
            <w:r>
              <w:rPr>
                <w:rFonts w:hint="eastAsia" w:ascii="宋体" w:hAnsi="宋体" w:eastAsia="宋体" w:cs="宋体"/>
                <w:color w:val="auto"/>
                <w:sz w:val="24"/>
                <w:szCs w:val="24"/>
                <w:highlight w:val="none"/>
                <w:lang w:val="en-US" w:eastAsia="zh-CN"/>
              </w:rPr>
              <w:t>项目管理班子配备</w:t>
            </w:r>
            <w:r>
              <w:rPr>
                <w:rFonts w:hint="eastAsia" w:ascii="宋体" w:hAnsi="宋体" w:cs="宋体"/>
                <w:color w:val="auto"/>
                <w:sz w:val="24"/>
                <w:szCs w:val="24"/>
                <w:highlight w:val="none"/>
                <w:lang w:val="en-US" w:eastAsia="zh-CN"/>
              </w:rPr>
              <w:t>进行横向比较，</w:t>
            </w:r>
            <w:r>
              <w:rPr>
                <w:rFonts w:hint="eastAsia" w:ascii="宋体" w:hAnsi="宋体" w:eastAsia="宋体" w:cs="宋体"/>
                <w:color w:val="auto"/>
                <w:sz w:val="24"/>
                <w:szCs w:val="24"/>
                <w:highlight w:val="none"/>
              </w:rPr>
              <w:t>依次扣减 0.</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分，</w:t>
            </w:r>
            <w:r>
              <w:rPr>
                <w:rFonts w:hint="eastAsia" w:ascii="宋体" w:hAnsi="宋体" w:eastAsia="宋体" w:cs="宋体"/>
                <w:color w:val="auto"/>
                <w:sz w:val="24"/>
                <w:szCs w:val="24"/>
                <w:highlight w:val="none"/>
                <w:lang w:eastAsia="zh-CN"/>
              </w:rPr>
              <w:t>无此项内容</w:t>
            </w:r>
            <w:r>
              <w:rPr>
                <w:rFonts w:hint="eastAsia" w:ascii="宋体" w:hAnsi="宋体" w:eastAsia="宋体" w:cs="宋体"/>
                <w:color w:val="auto"/>
                <w:sz w:val="24"/>
                <w:szCs w:val="24"/>
                <w:highlight w:val="none"/>
              </w:rPr>
              <w:t>不得分；</w:t>
            </w:r>
            <w:r>
              <w:rPr>
                <w:rFonts w:hint="eastAsia" w:ascii="宋体" w:hAnsi="宋体" w:eastAsia="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39" w:hRule="atLeast"/>
        </w:trPr>
        <w:tc>
          <w:tcPr>
            <w:tcW w:w="1170" w:type="dxa"/>
            <w:tcBorders>
              <w:top w:val="single" w:color="auto" w:sz="4" w:space="0"/>
              <w:bottom w:val="single" w:color="auto" w:sz="4" w:space="0"/>
              <w:right w:val="single" w:color="auto" w:sz="4" w:space="0"/>
            </w:tcBorders>
            <w:noWrap w:val="0"/>
            <w:vAlign w:val="center"/>
          </w:tcPr>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bidi="ar-SA"/>
              </w:rPr>
            </w:pPr>
            <w:r>
              <w:rPr>
                <w:rFonts w:hint="eastAsia" w:ascii="宋体" w:hAnsi="宋体" w:cs="宋体"/>
                <w:color w:val="auto"/>
                <w:sz w:val="24"/>
                <w:szCs w:val="24"/>
                <w:highlight w:val="none"/>
                <w:lang w:val="en-US" w:eastAsia="zh-CN" w:bidi="ar-SA"/>
              </w:rPr>
              <w:t>商务部分</w:t>
            </w:r>
          </w:p>
        </w:tc>
        <w:tc>
          <w:tcPr>
            <w:tcW w:w="1462" w:type="dxa"/>
            <w:tcBorders>
              <w:top w:val="single" w:color="auto" w:sz="4" w:space="0"/>
              <w:left w:val="single" w:color="auto" w:sz="4" w:space="0"/>
              <w:bottom w:val="single" w:color="auto" w:sz="4" w:space="0"/>
              <w:right w:val="single" w:color="auto" w:sz="4" w:space="0"/>
            </w:tcBorders>
            <w:noWrap w:val="0"/>
            <w:vAlign w:val="center"/>
          </w:tcPr>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类似业绩及企业信誉</w:t>
            </w:r>
          </w:p>
          <w:p>
            <w:pPr>
              <w:pageBreakBefore w:val="0"/>
              <w:tabs>
                <w:tab w:val="left" w:pos="2745"/>
              </w:tabs>
              <w:kinsoku/>
              <w:wordWrap/>
              <w:topLinePunct w:val="0"/>
              <w:bidi w:val="0"/>
              <w:adjustRightInd w:val="0"/>
              <w:snapToGrid w:val="0"/>
              <w:spacing w:afterAutospacing="0"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lang w:val="en-US" w:eastAsia="zh-CN"/>
              </w:rPr>
              <w:t>分）</w:t>
            </w:r>
          </w:p>
        </w:tc>
        <w:tc>
          <w:tcPr>
            <w:tcW w:w="6513" w:type="dxa"/>
            <w:tcBorders>
              <w:top w:val="single" w:color="auto" w:sz="4" w:space="0"/>
              <w:left w:val="single" w:color="auto" w:sz="4" w:space="0"/>
              <w:bottom w:val="single" w:color="auto" w:sz="4" w:space="0"/>
              <w:right w:val="single" w:color="auto" w:sz="4" w:space="0"/>
            </w:tcBorders>
            <w:noWrap w:val="0"/>
            <w:vAlign w:val="center"/>
          </w:tcPr>
          <w:p>
            <w:pPr>
              <w:pageBreakBefore w:val="0"/>
              <w:numPr>
                <w:ilvl w:val="0"/>
                <w:numId w:val="4"/>
              </w:numPr>
              <w:tabs>
                <w:tab w:val="left" w:pos="2745"/>
              </w:tabs>
              <w:kinsoku/>
              <w:wordWrap/>
              <w:topLinePunct w:val="0"/>
              <w:bidi w:val="0"/>
              <w:adjustRightInd w:val="0"/>
              <w:snapToGrid w:val="0"/>
              <w:spacing w:afterAutospacing="0" w:line="360" w:lineRule="auto"/>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供应商近三年（2016年</w:t>
            </w:r>
            <w:r>
              <w:rPr>
                <w:rFonts w:hint="eastAsia" w:ascii="宋体" w:hAnsi="宋体" w:cs="宋体"/>
                <w:b w:val="0"/>
                <w:bCs w:val="0"/>
                <w:color w:val="auto"/>
                <w:sz w:val="24"/>
                <w:szCs w:val="24"/>
                <w:highlight w:val="none"/>
                <w:lang w:val="en-US" w:eastAsia="zh-CN"/>
              </w:rPr>
              <w:t>10</w:t>
            </w:r>
            <w:r>
              <w:rPr>
                <w:rFonts w:hint="eastAsia" w:ascii="宋体" w:hAnsi="宋体" w:eastAsia="宋体" w:cs="宋体"/>
                <w:b w:val="0"/>
                <w:bCs w:val="0"/>
                <w:color w:val="auto"/>
                <w:sz w:val="24"/>
                <w:szCs w:val="24"/>
                <w:highlight w:val="none"/>
                <w:lang w:val="en-US" w:eastAsia="zh-CN"/>
              </w:rPr>
              <w:t>月至今以合同签订时间为准）具类似工程业绩每个得2分，最高得6分。</w:t>
            </w:r>
          </w:p>
          <w:p>
            <w:pPr>
              <w:pageBreakBefore w:val="0"/>
              <w:numPr>
                <w:ilvl w:val="0"/>
                <w:numId w:val="0"/>
              </w:numPr>
              <w:tabs>
                <w:tab w:val="left" w:pos="2745"/>
              </w:tabs>
              <w:kinsoku/>
              <w:wordWrap/>
              <w:topLinePunct w:val="0"/>
              <w:bidi w:val="0"/>
              <w:adjustRightInd w:val="0"/>
              <w:snapToGrid w:val="0"/>
              <w:spacing w:afterAutospacing="0" w:line="360" w:lineRule="auto"/>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（报价文件中需体现合同复印件及中标通知书，均需加盖供应商公章，否则不得分）</w:t>
            </w:r>
          </w:p>
          <w:p>
            <w:pPr>
              <w:pageBreakBefore w:val="0"/>
              <w:numPr>
                <w:ilvl w:val="0"/>
                <w:numId w:val="0"/>
              </w:numPr>
              <w:tabs>
                <w:tab w:val="left" w:pos="2745"/>
              </w:tabs>
              <w:kinsoku/>
              <w:wordWrap/>
              <w:topLinePunct w:val="0"/>
              <w:bidi w:val="0"/>
              <w:adjustRightInd w:val="0"/>
              <w:snapToGrid w:val="0"/>
              <w:spacing w:afterAutospacing="0" w:line="360" w:lineRule="auto"/>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企业近三年获得省级及以上工程质量奖的一个得2分，最多得4分。</w:t>
            </w:r>
          </w:p>
          <w:p>
            <w:pPr>
              <w:pageBreakBefore w:val="0"/>
              <w:numPr>
                <w:ilvl w:val="0"/>
                <w:numId w:val="0"/>
              </w:numPr>
              <w:tabs>
                <w:tab w:val="left" w:pos="2745"/>
              </w:tabs>
              <w:kinsoku/>
              <w:wordWrap/>
              <w:topLinePunct w:val="0"/>
              <w:bidi w:val="0"/>
              <w:adjustRightInd w:val="0"/>
              <w:snapToGrid w:val="0"/>
              <w:spacing w:afterAutospacing="0" w:line="360" w:lineRule="auto"/>
              <w:jc w:val="both"/>
              <w:textAlignment w:val="auto"/>
              <w:rPr>
                <w:rFonts w:hint="eastAsia" w:ascii="宋体" w:hAnsi="宋体" w:eastAsia="宋体" w:cs="宋体"/>
                <w:color w:val="auto"/>
                <w:sz w:val="24"/>
                <w:szCs w:val="24"/>
                <w:highlight w:val="none"/>
                <w:lang w:val="en-US" w:eastAsia="zh-CN" w:bidi="ar-SA"/>
              </w:rPr>
            </w:pP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企业近三年获得AAA信用等级证书的得</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分，最多得</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分</w:t>
            </w:r>
            <w:r>
              <w:rPr>
                <w:rFonts w:hint="eastAsia" w:ascii="宋体" w:hAnsi="宋体" w:cs="宋体"/>
                <w:b w:val="0"/>
                <w:bCs w:val="0"/>
                <w:color w:val="auto"/>
                <w:sz w:val="24"/>
                <w:szCs w:val="24"/>
                <w:highlight w:val="none"/>
                <w:lang w:val="en-US" w:eastAsia="zh-CN"/>
              </w:rPr>
              <w:t>。</w:t>
            </w:r>
          </w:p>
        </w:tc>
      </w:tr>
    </w:tbl>
    <w:p>
      <w:pPr>
        <w:rPr>
          <w:rFonts w:hint="eastAsia" w:ascii="宋体" w:hAnsi="宋体" w:eastAsia="宋体" w:cs="宋体"/>
        </w:rPr>
      </w:pPr>
    </w:p>
    <w:p>
      <w:pPr>
        <w:keepNext w:val="0"/>
        <w:keepLines w:val="0"/>
        <w:pageBreakBefore w:val="0"/>
        <w:kinsoku/>
        <w:wordWrap/>
        <w:overflowPunct/>
        <w:topLinePunct w:val="0"/>
        <w:autoSpaceDE/>
        <w:autoSpaceDN/>
        <w:bidi w:val="0"/>
        <w:adjustRightInd w:val="0"/>
        <w:snapToGrid w:val="0"/>
        <w:spacing w:line="240" w:lineRule="atLeast"/>
        <w:ind w:firstLine="422" w:firstLineChars="200"/>
        <w:jc w:val="left"/>
        <w:textAlignment w:val="auto"/>
        <w:rPr>
          <w:rFonts w:hint="eastAsia" w:ascii="宋体" w:hAnsi="宋体" w:eastAsia="宋体" w:cs="宋体"/>
          <w:b/>
          <w:bCs w:val="0"/>
          <w:color w:val="000000"/>
          <w:spacing w:val="0"/>
          <w:kern w:val="0"/>
          <w:sz w:val="21"/>
          <w:szCs w:val="21"/>
          <w:lang w:val="en-US" w:eastAsia="zh-CN" w:bidi="ar-SA"/>
        </w:rPr>
      </w:pPr>
      <w:r>
        <w:rPr>
          <w:rFonts w:hint="eastAsia" w:ascii="宋体" w:hAnsi="宋体" w:eastAsia="宋体" w:cs="宋体"/>
          <w:b/>
          <w:bCs w:val="0"/>
          <w:color w:val="000000"/>
          <w:spacing w:val="0"/>
          <w:kern w:val="0"/>
          <w:sz w:val="21"/>
          <w:szCs w:val="21"/>
          <w:lang w:val="en-US" w:eastAsia="zh-CN" w:bidi="ar-SA"/>
        </w:rPr>
        <w:t>备注：</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color w:val="000000"/>
          <w:spacing w:val="0"/>
          <w:kern w:val="0"/>
          <w:sz w:val="24"/>
          <w:szCs w:val="24"/>
          <w:lang w:val="en-US" w:eastAsia="zh-CN" w:bidi="ar-SA"/>
        </w:rPr>
      </w:pPr>
      <w:r>
        <w:rPr>
          <w:rFonts w:hint="eastAsia" w:ascii="宋体" w:hAnsi="宋体" w:eastAsia="宋体" w:cs="宋体"/>
          <w:b w:val="0"/>
          <w:bCs/>
          <w:color w:val="000000"/>
          <w:spacing w:val="0"/>
          <w:kern w:val="0"/>
          <w:sz w:val="24"/>
          <w:szCs w:val="24"/>
          <w:lang w:val="en-US" w:eastAsia="zh-CN" w:bidi="ar-SA"/>
        </w:rPr>
        <w:t>1、商务标计算按报价人最终报价计算。本次评</w:t>
      </w:r>
      <w:r>
        <w:rPr>
          <w:rFonts w:hint="eastAsia" w:ascii="宋体" w:hAnsi="宋体" w:cs="宋体"/>
          <w:b w:val="0"/>
          <w:bCs/>
          <w:color w:val="000000"/>
          <w:spacing w:val="0"/>
          <w:kern w:val="0"/>
          <w:sz w:val="24"/>
          <w:szCs w:val="24"/>
          <w:lang w:val="en-US" w:eastAsia="zh-CN" w:bidi="ar-SA"/>
        </w:rPr>
        <w:t>审</w:t>
      </w:r>
      <w:r>
        <w:rPr>
          <w:rFonts w:hint="eastAsia" w:ascii="宋体" w:hAnsi="宋体" w:eastAsia="宋体" w:cs="宋体"/>
          <w:b w:val="0"/>
          <w:bCs/>
          <w:color w:val="000000"/>
          <w:spacing w:val="0"/>
          <w:kern w:val="0"/>
          <w:sz w:val="24"/>
          <w:szCs w:val="24"/>
          <w:lang w:val="en-US" w:eastAsia="zh-CN" w:bidi="ar-SA"/>
        </w:rPr>
        <w:t>采用综合评分法。磋商小组对满足竞争性磋商文件实质性要求的报价文件，按照本章规定的评分标准进行打分，并按得分由高到低顺序推荐候选</w:t>
      </w:r>
      <w:r>
        <w:rPr>
          <w:rFonts w:hint="eastAsia" w:ascii="宋体" w:hAnsi="宋体" w:cs="宋体"/>
          <w:b w:val="0"/>
          <w:bCs/>
          <w:color w:val="000000"/>
          <w:spacing w:val="0"/>
          <w:kern w:val="0"/>
          <w:sz w:val="24"/>
          <w:szCs w:val="24"/>
          <w:lang w:val="en-US" w:eastAsia="zh-CN" w:bidi="ar-SA"/>
        </w:rPr>
        <w:t>成交供应商</w:t>
      </w:r>
      <w:r>
        <w:rPr>
          <w:rFonts w:hint="eastAsia" w:ascii="宋体" w:hAnsi="宋体" w:eastAsia="宋体" w:cs="宋体"/>
          <w:b w:val="0"/>
          <w:bCs/>
          <w:color w:val="000000"/>
          <w:spacing w:val="0"/>
          <w:kern w:val="0"/>
          <w:sz w:val="24"/>
          <w:szCs w:val="24"/>
          <w:lang w:val="en-US" w:eastAsia="zh-CN" w:bidi="ar-SA"/>
        </w:rPr>
        <w:t>，或根据采购人授权直接确定</w:t>
      </w:r>
      <w:r>
        <w:rPr>
          <w:rFonts w:hint="eastAsia" w:ascii="宋体" w:hAnsi="宋体" w:cs="宋体"/>
          <w:b w:val="0"/>
          <w:bCs/>
          <w:color w:val="000000"/>
          <w:spacing w:val="0"/>
          <w:kern w:val="0"/>
          <w:sz w:val="24"/>
          <w:szCs w:val="24"/>
          <w:lang w:val="en-US" w:eastAsia="zh-CN" w:bidi="ar-SA"/>
        </w:rPr>
        <w:t>成交供应商</w:t>
      </w:r>
      <w:r>
        <w:rPr>
          <w:rFonts w:hint="eastAsia" w:ascii="宋体" w:hAnsi="宋体" w:eastAsia="宋体" w:cs="宋体"/>
          <w:b w:val="0"/>
          <w:bCs/>
          <w:color w:val="000000"/>
          <w:spacing w:val="0"/>
          <w:kern w:val="0"/>
          <w:sz w:val="24"/>
          <w:szCs w:val="24"/>
          <w:lang w:val="en-US" w:eastAsia="zh-CN" w:bidi="ar-SA"/>
        </w:rPr>
        <w:t>，但报价低于其成本的除外。评审得分相同的，按照最后报价由低到高的顺序推荐。评审得分且最后报价相同的，按照技术指标优劣顺序推荐。</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Cs/>
          <w:color w:val="000000"/>
          <w:spacing w:val="0"/>
          <w:kern w:val="0"/>
          <w:sz w:val="24"/>
          <w:szCs w:val="24"/>
          <w:lang w:val="en-US" w:eastAsia="zh-CN" w:bidi="ar-SA"/>
        </w:rPr>
      </w:pPr>
      <w:r>
        <w:rPr>
          <w:rFonts w:hint="eastAsia" w:ascii="宋体" w:hAnsi="宋体" w:eastAsia="宋体" w:cs="宋体"/>
          <w:bCs/>
          <w:color w:val="000000"/>
          <w:spacing w:val="0"/>
          <w:kern w:val="0"/>
          <w:sz w:val="24"/>
          <w:szCs w:val="24"/>
          <w:lang w:val="en-US" w:eastAsia="zh-CN" w:bidi="ar-SA"/>
        </w:rPr>
        <w:t>2、供应商的每次报价均不得高于采购人预算，否则按照无效报价处理。</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Cs/>
          <w:color w:val="000000"/>
          <w:spacing w:val="0"/>
          <w:kern w:val="0"/>
          <w:sz w:val="24"/>
          <w:szCs w:val="24"/>
          <w:lang w:val="en-US" w:eastAsia="zh-CN" w:bidi="ar-SA"/>
        </w:rPr>
      </w:pPr>
      <w:r>
        <w:rPr>
          <w:rFonts w:hint="eastAsia" w:ascii="宋体" w:hAnsi="宋体" w:eastAsia="宋体" w:cs="宋体"/>
          <w:bCs/>
          <w:color w:val="000000"/>
          <w:spacing w:val="0"/>
          <w:kern w:val="0"/>
          <w:sz w:val="24"/>
          <w:szCs w:val="24"/>
          <w:lang w:val="en-US" w:eastAsia="zh-CN" w:bidi="ar-SA"/>
        </w:rPr>
        <w:t>3、得分小数点后保留2位有效数字，四舍五入。</w:t>
      </w:r>
    </w:p>
    <w:p>
      <w:pPr>
        <w:pageBreakBefore w:val="0"/>
        <w:kinsoku/>
        <w:wordWrap/>
        <w:topLinePunct w:val="0"/>
        <w:bidi w:val="0"/>
        <w:adjustRightInd w:val="0"/>
        <w:snapToGrid w:val="0"/>
        <w:spacing w:afterAutospacing="0"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br w:type="page"/>
      </w:r>
    </w:p>
    <w:p>
      <w:pPr>
        <w:pStyle w:val="4"/>
        <w:pageBreakBefore w:val="0"/>
        <w:numPr>
          <w:ilvl w:val="0"/>
          <w:numId w:val="3"/>
        </w:numPr>
        <w:kinsoku/>
        <w:wordWrap/>
        <w:topLinePunct w:val="0"/>
        <w:bidi w:val="0"/>
        <w:adjustRightInd w:val="0"/>
        <w:snapToGrid w:val="0"/>
        <w:spacing w:before="0" w:after="0" w:afterAutospacing="0" w:line="360" w:lineRule="auto"/>
        <w:jc w:val="center"/>
        <w:textAlignment w:val="auto"/>
        <w:rPr>
          <w:rFonts w:hint="default" w:ascii="宋体" w:hAnsi="宋体" w:eastAsia="宋体" w:cs="宋体"/>
          <w:lang w:val="en-US" w:eastAsia="zh-CN"/>
        </w:rPr>
      </w:pPr>
      <w:r>
        <w:rPr>
          <w:rFonts w:hint="eastAsia" w:ascii="宋体" w:hAnsi="宋体" w:eastAsia="宋体" w:cs="宋体"/>
          <w:color w:val="auto"/>
          <w:highlight w:val="none"/>
        </w:rPr>
        <w:t xml:space="preserve"> </w:t>
      </w:r>
      <w:bookmarkStart w:id="331" w:name="_Toc19046"/>
      <w:r>
        <w:rPr>
          <w:rFonts w:hint="eastAsia" w:ascii="宋体" w:hAnsi="宋体" w:eastAsia="宋体" w:cs="宋体"/>
          <w:color w:val="auto"/>
          <w:highlight w:val="none"/>
        </w:rPr>
        <w:t>工程量清单</w:t>
      </w:r>
      <w:bookmarkEnd w:id="331"/>
    </w:p>
    <w:p>
      <w:pPr>
        <w:pStyle w:val="4"/>
        <w:pageBreakBefore w:val="0"/>
        <w:numPr>
          <w:ilvl w:val="0"/>
          <w:numId w:val="0"/>
        </w:numPr>
        <w:kinsoku/>
        <w:wordWrap/>
        <w:topLinePunct w:val="0"/>
        <w:bidi w:val="0"/>
        <w:adjustRightInd w:val="0"/>
        <w:snapToGrid w:val="0"/>
        <w:spacing w:before="0" w:after="0" w:afterAutospacing="0" w:line="360" w:lineRule="auto"/>
        <w:jc w:val="both"/>
        <w:textAlignment w:val="auto"/>
        <w:rPr>
          <w:rFonts w:hint="default" w:ascii="宋体" w:hAnsi="宋体" w:eastAsia="宋体" w:cs="宋体"/>
          <w:sz w:val="36"/>
          <w:szCs w:val="16"/>
          <w:lang w:val="en-US" w:eastAsia="zh-CN"/>
        </w:rPr>
      </w:pPr>
      <w:r>
        <w:rPr>
          <w:rFonts w:hint="eastAsia" w:ascii="宋体" w:hAnsi="宋体" w:cs="宋体"/>
          <w:color w:val="auto"/>
          <w:sz w:val="36"/>
          <w:szCs w:val="16"/>
          <w:highlight w:val="none"/>
          <w:lang w:eastAsia="zh-CN"/>
        </w:rPr>
        <w:t>详见附件。</w:t>
      </w:r>
    </w:p>
    <w:sectPr>
      <w:footerReference r:id="rId5" w:type="default"/>
      <w:pgSz w:w="11907" w:h="16840"/>
      <w:pgMar w:top="1304" w:right="1417" w:bottom="1304" w:left="1417" w:header="510" w:footer="720" w:gutter="0"/>
      <w:pgNumType w:fmt="decimal" w:start="1"/>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5F" w:usb2="00000000" w:usb3="00000000" w:csb0="2000019F" w:csb1="00000000"/>
  </w:font>
  <w:font w:name="Microsoft JhengHei">
    <w:panose1 w:val="020B0604030504040204"/>
    <w:charset w:val="88"/>
    <w:family w:val="swiss"/>
    <w:pitch w:val="default"/>
    <w:sig w:usb0="00000087" w:usb1="28AF4000" w:usb2="00000016" w:usb3="00000000" w:csb0="00100009" w:csb1="00000000"/>
  </w:font>
  <w:font w:name="DFKai-SB">
    <w:panose1 w:val="03000509000000000000"/>
    <w:charset w:val="88"/>
    <w:family w:val="script"/>
    <w:pitch w:val="default"/>
    <w:sig w:usb0="00000003" w:usb1="082E0000" w:usb2="00000016" w:usb3="00000000" w:csb0="00100001" w:csb1="00000000"/>
  </w:font>
  <w:font w:name="仿宋_GB2312">
    <w:altName w:val="仿宋"/>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方正大标宋简体">
    <w:altName w:val="宋体"/>
    <w:panose1 w:val="00000000000000000000"/>
    <w:charset w:val="86"/>
    <w:family w:val="auto"/>
    <w:pitch w:val="default"/>
    <w:sig w:usb0="00000000" w:usb1="00000000" w:usb2="00000000"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jc w:val="left"/>
      <w:rPr>
        <w:rFonts w:ascii="仿宋_GB2312" w:eastAsia="仿宋_GB2312"/>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jc w:val="left"/>
      <w:rPr>
        <w:rFonts w:ascii="仿宋_GB2312" w:eastAsia="仿宋_GB2312"/>
        <w:sz w:val="21"/>
        <w:szCs w:val="21"/>
      </w:rPr>
    </w:pPr>
    <w:r>
      <w:rPr>
        <w:sz w:val="21"/>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2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1"/>
      </w:pBdr>
      <w:tabs>
        <w:tab w:val="center" w:pos="4865"/>
      </w:tabs>
      <w:jc w:val="center"/>
      <w:rPr>
        <w:rFonts w:hint="default" w:eastAsia="宋体"/>
        <w:lang w:val="en-US" w:eastAsia="zh-CN"/>
      </w:rPr>
    </w:pPr>
    <w:r>
      <w:rPr>
        <w:rFonts w:hint="eastAsia" w:ascii="仿宋" w:hAnsi="仿宋" w:eastAsia="仿宋" w:cs="仿宋"/>
        <w:b/>
        <w:sz w:val="32"/>
        <w:szCs w:val="32"/>
        <w:u w:val="single"/>
      </w:rPr>
      <w:drawing>
        <wp:inline distT="0" distB="0" distL="0" distR="0">
          <wp:extent cx="336550" cy="319405"/>
          <wp:effectExtent l="0" t="0" r="13970" b="635"/>
          <wp:docPr id="6" name="图片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7" descr="LOGO"/>
                  <pic:cNvPicPr>
                    <a:picLocks noChangeAspect="1" noChangeArrowheads="1"/>
                  </pic:cNvPicPr>
                </pic:nvPicPr>
                <pic:blipFill>
                  <a:blip r:embed="rId1"/>
                  <a:srcRect/>
                  <a:stretch>
                    <a:fillRect/>
                  </a:stretch>
                </pic:blipFill>
                <pic:spPr>
                  <a:xfrm>
                    <a:off x="0" y="0"/>
                    <a:ext cx="336550" cy="319405"/>
                  </a:xfrm>
                  <a:prstGeom prst="rect">
                    <a:avLst/>
                  </a:prstGeom>
                  <a:noFill/>
                  <a:ln w="9525" cmpd="sng">
                    <a:noFill/>
                    <a:miter lim="800000"/>
                    <a:headEnd/>
                    <a:tailEnd/>
                  </a:ln>
                </pic:spPr>
              </pic:pic>
            </a:graphicData>
          </a:graphic>
        </wp:inline>
      </w:drawing>
    </w:r>
    <w:r>
      <w:rPr>
        <w:rFonts w:hint="eastAsia"/>
        <w:u w:val="single"/>
      </w:rPr>
      <w:t>山东蓝盾招标代理有限公司         网址：http://www.sdldzb.com            联系方式：0531-88809762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DE01475"/>
    <w:multiLevelType w:val="singleLevel"/>
    <w:tmpl w:val="DDE01475"/>
    <w:lvl w:ilvl="0" w:tentative="0">
      <w:start w:val="8"/>
      <w:numFmt w:val="chineseCounting"/>
      <w:suff w:val="nothing"/>
      <w:lvlText w:val="%1、"/>
      <w:lvlJc w:val="left"/>
      <w:rPr>
        <w:rFonts w:hint="eastAsia"/>
      </w:rPr>
    </w:lvl>
  </w:abstractNum>
  <w:abstractNum w:abstractNumId="1">
    <w:nsid w:val="58C0A688"/>
    <w:multiLevelType w:val="singleLevel"/>
    <w:tmpl w:val="58C0A688"/>
    <w:lvl w:ilvl="0" w:tentative="0">
      <w:start w:val="2"/>
      <w:numFmt w:val="decimal"/>
      <w:suff w:val="nothing"/>
      <w:lvlText w:val="%1、"/>
      <w:lvlJc w:val="left"/>
    </w:lvl>
  </w:abstractNum>
  <w:abstractNum w:abstractNumId="2">
    <w:nsid w:val="690DE1C2"/>
    <w:multiLevelType w:val="singleLevel"/>
    <w:tmpl w:val="690DE1C2"/>
    <w:lvl w:ilvl="0" w:tentative="0">
      <w:start w:val="1"/>
      <w:numFmt w:val="decimal"/>
      <w:suff w:val="nothing"/>
      <w:lvlText w:val="%1、"/>
      <w:lvlJc w:val="left"/>
    </w:lvl>
  </w:abstractNum>
  <w:abstractNum w:abstractNumId="3">
    <w:nsid w:val="69B58D9C"/>
    <w:multiLevelType w:val="singleLevel"/>
    <w:tmpl w:val="69B58D9C"/>
    <w:lvl w:ilvl="0" w:tentative="0">
      <w:start w:val="10"/>
      <w:numFmt w:val="chineseCounting"/>
      <w:suff w:val="space"/>
      <w:lvlText w:val="第%1部分"/>
      <w:lvlJc w:val="left"/>
      <w:rPr>
        <w:rFonts w:hint="eastAsia"/>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360F"/>
    <w:rsid w:val="00000B32"/>
    <w:rsid w:val="00001FB7"/>
    <w:rsid w:val="0000589E"/>
    <w:rsid w:val="000058F6"/>
    <w:rsid w:val="00006670"/>
    <w:rsid w:val="00012253"/>
    <w:rsid w:val="00012729"/>
    <w:rsid w:val="0001406E"/>
    <w:rsid w:val="0001431C"/>
    <w:rsid w:val="00014F20"/>
    <w:rsid w:val="00016341"/>
    <w:rsid w:val="0001760C"/>
    <w:rsid w:val="00020B1C"/>
    <w:rsid w:val="00023F5F"/>
    <w:rsid w:val="00024278"/>
    <w:rsid w:val="000257AF"/>
    <w:rsid w:val="00027FD1"/>
    <w:rsid w:val="00031FD8"/>
    <w:rsid w:val="000326E2"/>
    <w:rsid w:val="0003349D"/>
    <w:rsid w:val="00034298"/>
    <w:rsid w:val="00036A31"/>
    <w:rsid w:val="00036C95"/>
    <w:rsid w:val="00036D0D"/>
    <w:rsid w:val="0003750F"/>
    <w:rsid w:val="00037D04"/>
    <w:rsid w:val="00040C1D"/>
    <w:rsid w:val="00041478"/>
    <w:rsid w:val="00041BC0"/>
    <w:rsid w:val="00041CCD"/>
    <w:rsid w:val="000431F7"/>
    <w:rsid w:val="0004333A"/>
    <w:rsid w:val="0004428D"/>
    <w:rsid w:val="00045721"/>
    <w:rsid w:val="00046F78"/>
    <w:rsid w:val="00047257"/>
    <w:rsid w:val="00050FD6"/>
    <w:rsid w:val="00051149"/>
    <w:rsid w:val="00051879"/>
    <w:rsid w:val="0005235E"/>
    <w:rsid w:val="000542F7"/>
    <w:rsid w:val="000542FF"/>
    <w:rsid w:val="00056812"/>
    <w:rsid w:val="000568DE"/>
    <w:rsid w:val="00057177"/>
    <w:rsid w:val="00057B71"/>
    <w:rsid w:val="00061120"/>
    <w:rsid w:val="00061943"/>
    <w:rsid w:val="00062F73"/>
    <w:rsid w:val="0006390F"/>
    <w:rsid w:val="00065F54"/>
    <w:rsid w:val="00066567"/>
    <w:rsid w:val="00067330"/>
    <w:rsid w:val="00072C01"/>
    <w:rsid w:val="00075319"/>
    <w:rsid w:val="00075ED0"/>
    <w:rsid w:val="0007606B"/>
    <w:rsid w:val="00077CAC"/>
    <w:rsid w:val="0008036E"/>
    <w:rsid w:val="00083F94"/>
    <w:rsid w:val="0008440F"/>
    <w:rsid w:val="000849A7"/>
    <w:rsid w:val="00085611"/>
    <w:rsid w:val="0008607E"/>
    <w:rsid w:val="00086129"/>
    <w:rsid w:val="00087053"/>
    <w:rsid w:val="00087BA4"/>
    <w:rsid w:val="00091523"/>
    <w:rsid w:val="000930BF"/>
    <w:rsid w:val="000941D3"/>
    <w:rsid w:val="00095A01"/>
    <w:rsid w:val="000A11E3"/>
    <w:rsid w:val="000A1625"/>
    <w:rsid w:val="000A2A5D"/>
    <w:rsid w:val="000A558A"/>
    <w:rsid w:val="000A7816"/>
    <w:rsid w:val="000B0565"/>
    <w:rsid w:val="000B3593"/>
    <w:rsid w:val="000B4D09"/>
    <w:rsid w:val="000B544A"/>
    <w:rsid w:val="000B57C8"/>
    <w:rsid w:val="000B6B87"/>
    <w:rsid w:val="000B75F2"/>
    <w:rsid w:val="000B7EBC"/>
    <w:rsid w:val="000C0A61"/>
    <w:rsid w:val="000C0CC7"/>
    <w:rsid w:val="000C143D"/>
    <w:rsid w:val="000C248E"/>
    <w:rsid w:val="000C269F"/>
    <w:rsid w:val="000C59C7"/>
    <w:rsid w:val="000C6B4A"/>
    <w:rsid w:val="000D0348"/>
    <w:rsid w:val="000D10B2"/>
    <w:rsid w:val="000D18EB"/>
    <w:rsid w:val="000D1D55"/>
    <w:rsid w:val="000D39A4"/>
    <w:rsid w:val="000D3A09"/>
    <w:rsid w:val="000D44C0"/>
    <w:rsid w:val="000D4CC6"/>
    <w:rsid w:val="000D552D"/>
    <w:rsid w:val="000D6CAB"/>
    <w:rsid w:val="000E2568"/>
    <w:rsid w:val="000E3937"/>
    <w:rsid w:val="000E43C8"/>
    <w:rsid w:val="000E70C3"/>
    <w:rsid w:val="000E7770"/>
    <w:rsid w:val="000E780A"/>
    <w:rsid w:val="000E7C9A"/>
    <w:rsid w:val="000F08A9"/>
    <w:rsid w:val="000F0A05"/>
    <w:rsid w:val="000F37E7"/>
    <w:rsid w:val="000F4393"/>
    <w:rsid w:val="000F4812"/>
    <w:rsid w:val="000F4F3C"/>
    <w:rsid w:val="000F626D"/>
    <w:rsid w:val="000F69DC"/>
    <w:rsid w:val="00100882"/>
    <w:rsid w:val="00100CF6"/>
    <w:rsid w:val="00101B8C"/>
    <w:rsid w:val="0010596B"/>
    <w:rsid w:val="00106732"/>
    <w:rsid w:val="00107E23"/>
    <w:rsid w:val="00110999"/>
    <w:rsid w:val="001113B8"/>
    <w:rsid w:val="00117C10"/>
    <w:rsid w:val="0012287A"/>
    <w:rsid w:val="00122CDC"/>
    <w:rsid w:val="00124445"/>
    <w:rsid w:val="00131F31"/>
    <w:rsid w:val="001325B1"/>
    <w:rsid w:val="001342F4"/>
    <w:rsid w:val="001344F5"/>
    <w:rsid w:val="00134531"/>
    <w:rsid w:val="0013579E"/>
    <w:rsid w:val="0013745C"/>
    <w:rsid w:val="00140830"/>
    <w:rsid w:val="00142A22"/>
    <w:rsid w:val="00145050"/>
    <w:rsid w:val="0015061A"/>
    <w:rsid w:val="001506A9"/>
    <w:rsid w:val="001518D7"/>
    <w:rsid w:val="0015213D"/>
    <w:rsid w:val="00152998"/>
    <w:rsid w:val="001546F5"/>
    <w:rsid w:val="001556F3"/>
    <w:rsid w:val="001557EC"/>
    <w:rsid w:val="00156576"/>
    <w:rsid w:val="00160C29"/>
    <w:rsid w:val="001610B3"/>
    <w:rsid w:val="001629DA"/>
    <w:rsid w:val="0016399D"/>
    <w:rsid w:val="00165AE7"/>
    <w:rsid w:val="0016655F"/>
    <w:rsid w:val="00166FB2"/>
    <w:rsid w:val="001711A6"/>
    <w:rsid w:val="0017120C"/>
    <w:rsid w:val="00171968"/>
    <w:rsid w:val="00171EE9"/>
    <w:rsid w:val="001726A8"/>
    <w:rsid w:val="001761DD"/>
    <w:rsid w:val="001769A2"/>
    <w:rsid w:val="00176C91"/>
    <w:rsid w:val="00181280"/>
    <w:rsid w:val="00181A7A"/>
    <w:rsid w:val="00183628"/>
    <w:rsid w:val="001841C3"/>
    <w:rsid w:val="00184E88"/>
    <w:rsid w:val="001853C6"/>
    <w:rsid w:val="001861AA"/>
    <w:rsid w:val="001861E4"/>
    <w:rsid w:val="001868C4"/>
    <w:rsid w:val="001870E3"/>
    <w:rsid w:val="00191B40"/>
    <w:rsid w:val="00192856"/>
    <w:rsid w:val="00192FAC"/>
    <w:rsid w:val="00193BDC"/>
    <w:rsid w:val="00193CE6"/>
    <w:rsid w:val="00193FFB"/>
    <w:rsid w:val="001942A9"/>
    <w:rsid w:val="00195837"/>
    <w:rsid w:val="00197B8E"/>
    <w:rsid w:val="001A0391"/>
    <w:rsid w:val="001A145C"/>
    <w:rsid w:val="001A1F2E"/>
    <w:rsid w:val="001A2704"/>
    <w:rsid w:val="001A2996"/>
    <w:rsid w:val="001A299E"/>
    <w:rsid w:val="001A2A36"/>
    <w:rsid w:val="001A3015"/>
    <w:rsid w:val="001A32E9"/>
    <w:rsid w:val="001A359C"/>
    <w:rsid w:val="001A5112"/>
    <w:rsid w:val="001A59DB"/>
    <w:rsid w:val="001A7729"/>
    <w:rsid w:val="001A7EFE"/>
    <w:rsid w:val="001B2287"/>
    <w:rsid w:val="001B24AC"/>
    <w:rsid w:val="001B275D"/>
    <w:rsid w:val="001B2CB3"/>
    <w:rsid w:val="001B405B"/>
    <w:rsid w:val="001B425D"/>
    <w:rsid w:val="001B4E47"/>
    <w:rsid w:val="001B73F8"/>
    <w:rsid w:val="001C0432"/>
    <w:rsid w:val="001C1EEC"/>
    <w:rsid w:val="001C560F"/>
    <w:rsid w:val="001C58CF"/>
    <w:rsid w:val="001C5C59"/>
    <w:rsid w:val="001D16AD"/>
    <w:rsid w:val="001D19F1"/>
    <w:rsid w:val="001D2880"/>
    <w:rsid w:val="001D30DB"/>
    <w:rsid w:val="001D32F4"/>
    <w:rsid w:val="001D332A"/>
    <w:rsid w:val="001D4447"/>
    <w:rsid w:val="001D44F5"/>
    <w:rsid w:val="001D54E2"/>
    <w:rsid w:val="001D5D27"/>
    <w:rsid w:val="001E054B"/>
    <w:rsid w:val="001E11B1"/>
    <w:rsid w:val="001E149A"/>
    <w:rsid w:val="001E2802"/>
    <w:rsid w:val="001E321F"/>
    <w:rsid w:val="001E492C"/>
    <w:rsid w:val="001E6A8C"/>
    <w:rsid w:val="001E6F12"/>
    <w:rsid w:val="001F1390"/>
    <w:rsid w:val="001F2F94"/>
    <w:rsid w:val="001F3753"/>
    <w:rsid w:val="001F4613"/>
    <w:rsid w:val="001F503A"/>
    <w:rsid w:val="001F63CE"/>
    <w:rsid w:val="001F7316"/>
    <w:rsid w:val="00200F97"/>
    <w:rsid w:val="002015BE"/>
    <w:rsid w:val="002017B3"/>
    <w:rsid w:val="00203B88"/>
    <w:rsid w:val="00204C87"/>
    <w:rsid w:val="0020565F"/>
    <w:rsid w:val="0021064D"/>
    <w:rsid w:val="00210B8D"/>
    <w:rsid w:val="002110ED"/>
    <w:rsid w:val="00211141"/>
    <w:rsid w:val="00211558"/>
    <w:rsid w:val="00212724"/>
    <w:rsid w:val="002128CF"/>
    <w:rsid w:val="00213804"/>
    <w:rsid w:val="00213CAC"/>
    <w:rsid w:val="002152E4"/>
    <w:rsid w:val="00217BB1"/>
    <w:rsid w:val="00220A1D"/>
    <w:rsid w:val="00222102"/>
    <w:rsid w:val="0022228F"/>
    <w:rsid w:val="00225686"/>
    <w:rsid w:val="00231177"/>
    <w:rsid w:val="0023397C"/>
    <w:rsid w:val="00234974"/>
    <w:rsid w:val="002357D9"/>
    <w:rsid w:val="00235B37"/>
    <w:rsid w:val="00236B84"/>
    <w:rsid w:val="0023712C"/>
    <w:rsid w:val="00237197"/>
    <w:rsid w:val="00240BCB"/>
    <w:rsid w:val="00240C31"/>
    <w:rsid w:val="00244053"/>
    <w:rsid w:val="00244303"/>
    <w:rsid w:val="00246F73"/>
    <w:rsid w:val="00247F24"/>
    <w:rsid w:val="0025090E"/>
    <w:rsid w:val="00250C4C"/>
    <w:rsid w:val="00250C73"/>
    <w:rsid w:val="0025429C"/>
    <w:rsid w:val="00254627"/>
    <w:rsid w:val="00255359"/>
    <w:rsid w:val="00255C43"/>
    <w:rsid w:val="00256449"/>
    <w:rsid w:val="002564FF"/>
    <w:rsid w:val="00256D37"/>
    <w:rsid w:val="00256F73"/>
    <w:rsid w:val="002602C0"/>
    <w:rsid w:val="002620B8"/>
    <w:rsid w:val="00263201"/>
    <w:rsid w:val="002637DF"/>
    <w:rsid w:val="002639EA"/>
    <w:rsid w:val="00266260"/>
    <w:rsid w:val="00266ABE"/>
    <w:rsid w:val="00267753"/>
    <w:rsid w:val="00270629"/>
    <w:rsid w:val="00272093"/>
    <w:rsid w:val="002726E9"/>
    <w:rsid w:val="00272918"/>
    <w:rsid w:val="002734B8"/>
    <w:rsid w:val="00273769"/>
    <w:rsid w:val="00274430"/>
    <w:rsid w:val="00274FCE"/>
    <w:rsid w:val="0027678C"/>
    <w:rsid w:val="002771D4"/>
    <w:rsid w:val="00280BA1"/>
    <w:rsid w:val="00280F5E"/>
    <w:rsid w:val="002815EE"/>
    <w:rsid w:val="00282BB0"/>
    <w:rsid w:val="00283832"/>
    <w:rsid w:val="002878D4"/>
    <w:rsid w:val="002900D5"/>
    <w:rsid w:val="0029053B"/>
    <w:rsid w:val="00291B60"/>
    <w:rsid w:val="00293FF1"/>
    <w:rsid w:val="00294707"/>
    <w:rsid w:val="00295A88"/>
    <w:rsid w:val="00295C8C"/>
    <w:rsid w:val="00297F22"/>
    <w:rsid w:val="002A28DF"/>
    <w:rsid w:val="002A3122"/>
    <w:rsid w:val="002A4408"/>
    <w:rsid w:val="002A66AF"/>
    <w:rsid w:val="002B0C95"/>
    <w:rsid w:val="002B0F3D"/>
    <w:rsid w:val="002B0F4D"/>
    <w:rsid w:val="002B14B1"/>
    <w:rsid w:val="002B1807"/>
    <w:rsid w:val="002B21A5"/>
    <w:rsid w:val="002B238A"/>
    <w:rsid w:val="002B2558"/>
    <w:rsid w:val="002B45AB"/>
    <w:rsid w:val="002B4B0A"/>
    <w:rsid w:val="002B62BD"/>
    <w:rsid w:val="002B6F62"/>
    <w:rsid w:val="002C0931"/>
    <w:rsid w:val="002C0BE4"/>
    <w:rsid w:val="002C360F"/>
    <w:rsid w:val="002C45B4"/>
    <w:rsid w:val="002C470C"/>
    <w:rsid w:val="002C5553"/>
    <w:rsid w:val="002C5E27"/>
    <w:rsid w:val="002C5EEA"/>
    <w:rsid w:val="002C7D25"/>
    <w:rsid w:val="002D0DD2"/>
    <w:rsid w:val="002D191B"/>
    <w:rsid w:val="002D1F28"/>
    <w:rsid w:val="002D21A0"/>
    <w:rsid w:val="002D22FC"/>
    <w:rsid w:val="002D46DA"/>
    <w:rsid w:val="002D5F65"/>
    <w:rsid w:val="002E1338"/>
    <w:rsid w:val="002E17C0"/>
    <w:rsid w:val="002E55F1"/>
    <w:rsid w:val="002F1080"/>
    <w:rsid w:val="002F2998"/>
    <w:rsid w:val="002F396F"/>
    <w:rsid w:val="002F472F"/>
    <w:rsid w:val="002F4C9E"/>
    <w:rsid w:val="002F4DDC"/>
    <w:rsid w:val="002F6305"/>
    <w:rsid w:val="003011B3"/>
    <w:rsid w:val="00301F6F"/>
    <w:rsid w:val="0030299F"/>
    <w:rsid w:val="0030392F"/>
    <w:rsid w:val="00303AD1"/>
    <w:rsid w:val="003049F5"/>
    <w:rsid w:val="00306637"/>
    <w:rsid w:val="00307BD7"/>
    <w:rsid w:val="00307CCC"/>
    <w:rsid w:val="00312A13"/>
    <w:rsid w:val="00312E5E"/>
    <w:rsid w:val="00313F44"/>
    <w:rsid w:val="0031535E"/>
    <w:rsid w:val="0031600D"/>
    <w:rsid w:val="00322FD2"/>
    <w:rsid w:val="003230E6"/>
    <w:rsid w:val="00324527"/>
    <w:rsid w:val="00324BEF"/>
    <w:rsid w:val="00324DAF"/>
    <w:rsid w:val="00325E44"/>
    <w:rsid w:val="003274E6"/>
    <w:rsid w:val="003322CE"/>
    <w:rsid w:val="00334F8D"/>
    <w:rsid w:val="00335FEB"/>
    <w:rsid w:val="00336665"/>
    <w:rsid w:val="0033692B"/>
    <w:rsid w:val="0033765E"/>
    <w:rsid w:val="00340C28"/>
    <w:rsid w:val="003418CA"/>
    <w:rsid w:val="00342884"/>
    <w:rsid w:val="0034380B"/>
    <w:rsid w:val="003438E6"/>
    <w:rsid w:val="00345A7E"/>
    <w:rsid w:val="00345FD8"/>
    <w:rsid w:val="00346A49"/>
    <w:rsid w:val="0034768A"/>
    <w:rsid w:val="00351142"/>
    <w:rsid w:val="00351394"/>
    <w:rsid w:val="003527B5"/>
    <w:rsid w:val="00352EF6"/>
    <w:rsid w:val="00353133"/>
    <w:rsid w:val="003531F9"/>
    <w:rsid w:val="00353410"/>
    <w:rsid w:val="0035341F"/>
    <w:rsid w:val="00353CBB"/>
    <w:rsid w:val="00355860"/>
    <w:rsid w:val="00355B26"/>
    <w:rsid w:val="00356331"/>
    <w:rsid w:val="00360834"/>
    <w:rsid w:val="00360B50"/>
    <w:rsid w:val="00360E84"/>
    <w:rsid w:val="003612CA"/>
    <w:rsid w:val="0036140E"/>
    <w:rsid w:val="00361DBF"/>
    <w:rsid w:val="00362BC6"/>
    <w:rsid w:val="003634A7"/>
    <w:rsid w:val="00365354"/>
    <w:rsid w:val="003660AC"/>
    <w:rsid w:val="00366128"/>
    <w:rsid w:val="00370570"/>
    <w:rsid w:val="003705F5"/>
    <w:rsid w:val="00372899"/>
    <w:rsid w:val="003730EC"/>
    <w:rsid w:val="003757B9"/>
    <w:rsid w:val="00375AC2"/>
    <w:rsid w:val="00376519"/>
    <w:rsid w:val="00377C1A"/>
    <w:rsid w:val="00377E47"/>
    <w:rsid w:val="00381B7D"/>
    <w:rsid w:val="00382ACA"/>
    <w:rsid w:val="00383C15"/>
    <w:rsid w:val="003841DB"/>
    <w:rsid w:val="00384636"/>
    <w:rsid w:val="003862B7"/>
    <w:rsid w:val="003874CC"/>
    <w:rsid w:val="003876E9"/>
    <w:rsid w:val="00390912"/>
    <w:rsid w:val="00390C6F"/>
    <w:rsid w:val="0039146B"/>
    <w:rsid w:val="00391ACA"/>
    <w:rsid w:val="00392A83"/>
    <w:rsid w:val="00392EBF"/>
    <w:rsid w:val="00393040"/>
    <w:rsid w:val="00393138"/>
    <w:rsid w:val="003952DC"/>
    <w:rsid w:val="00395C00"/>
    <w:rsid w:val="00395D4B"/>
    <w:rsid w:val="003970FE"/>
    <w:rsid w:val="00397220"/>
    <w:rsid w:val="00397942"/>
    <w:rsid w:val="003A21FE"/>
    <w:rsid w:val="003A2C40"/>
    <w:rsid w:val="003A5FDD"/>
    <w:rsid w:val="003A7322"/>
    <w:rsid w:val="003B0255"/>
    <w:rsid w:val="003B290F"/>
    <w:rsid w:val="003B3A88"/>
    <w:rsid w:val="003B506B"/>
    <w:rsid w:val="003B5950"/>
    <w:rsid w:val="003B7CC1"/>
    <w:rsid w:val="003B7F73"/>
    <w:rsid w:val="003C251D"/>
    <w:rsid w:val="003C2B2E"/>
    <w:rsid w:val="003C33A6"/>
    <w:rsid w:val="003C35E3"/>
    <w:rsid w:val="003C514D"/>
    <w:rsid w:val="003C706D"/>
    <w:rsid w:val="003D05A2"/>
    <w:rsid w:val="003D1706"/>
    <w:rsid w:val="003D24C3"/>
    <w:rsid w:val="003D4633"/>
    <w:rsid w:val="003D75BF"/>
    <w:rsid w:val="003E03C9"/>
    <w:rsid w:val="003E1B52"/>
    <w:rsid w:val="003E201B"/>
    <w:rsid w:val="003E2996"/>
    <w:rsid w:val="003E2A10"/>
    <w:rsid w:val="003E3917"/>
    <w:rsid w:val="003F345A"/>
    <w:rsid w:val="003F6BCB"/>
    <w:rsid w:val="003F6E47"/>
    <w:rsid w:val="003F7851"/>
    <w:rsid w:val="004000A1"/>
    <w:rsid w:val="00400EF3"/>
    <w:rsid w:val="00402ED1"/>
    <w:rsid w:val="00403F5C"/>
    <w:rsid w:val="004043F9"/>
    <w:rsid w:val="00404D05"/>
    <w:rsid w:val="00405710"/>
    <w:rsid w:val="0040652C"/>
    <w:rsid w:val="00410D2C"/>
    <w:rsid w:val="00410E41"/>
    <w:rsid w:val="00411300"/>
    <w:rsid w:val="00411764"/>
    <w:rsid w:val="004124CE"/>
    <w:rsid w:val="0041326A"/>
    <w:rsid w:val="00414161"/>
    <w:rsid w:val="004141FA"/>
    <w:rsid w:val="00414500"/>
    <w:rsid w:val="00415660"/>
    <w:rsid w:val="004156C9"/>
    <w:rsid w:val="004174B7"/>
    <w:rsid w:val="004174E3"/>
    <w:rsid w:val="00417A95"/>
    <w:rsid w:val="004202C0"/>
    <w:rsid w:val="00420725"/>
    <w:rsid w:val="00422605"/>
    <w:rsid w:val="0042311D"/>
    <w:rsid w:val="004240E6"/>
    <w:rsid w:val="004243D6"/>
    <w:rsid w:val="004276A5"/>
    <w:rsid w:val="00430258"/>
    <w:rsid w:val="0043104C"/>
    <w:rsid w:val="004310A3"/>
    <w:rsid w:val="00431D41"/>
    <w:rsid w:val="0043439C"/>
    <w:rsid w:val="00434530"/>
    <w:rsid w:val="00435465"/>
    <w:rsid w:val="00435BC9"/>
    <w:rsid w:val="00441990"/>
    <w:rsid w:val="00442CA8"/>
    <w:rsid w:val="00442CDB"/>
    <w:rsid w:val="004508F5"/>
    <w:rsid w:val="00450F18"/>
    <w:rsid w:val="004517B6"/>
    <w:rsid w:val="00452D6B"/>
    <w:rsid w:val="00453DD3"/>
    <w:rsid w:val="004566FE"/>
    <w:rsid w:val="00460986"/>
    <w:rsid w:val="00462401"/>
    <w:rsid w:val="004628F5"/>
    <w:rsid w:val="00463F25"/>
    <w:rsid w:val="00464A58"/>
    <w:rsid w:val="0046553F"/>
    <w:rsid w:val="00465989"/>
    <w:rsid w:val="00466D36"/>
    <w:rsid w:val="00467356"/>
    <w:rsid w:val="00470827"/>
    <w:rsid w:val="00470F76"/>
    <w:rsid w:val="004729F2"/>
    <w:rsid w:val="00472F5B"/>
    <w:rsid w:val="004749C1"/>
    <w:rsid w:val="00474EA6"/>
    <w:rsid w:val="0047561F"/>
    <w:rsid w:val="00475F97"/>
    <w:rsid w:val="00475FB6"/>
    <w:rsid w:val="0048089B"/>
    <w:rsid w:val="00480A85"/>
    <w:rsid w:val="004827FA"/>
    <w:rsid w:val="00483433"/>
    <w:rsid w:val="00483E45"/>
    <w:rsid w:val="00485746"/>
    <w:rsid w:val="004861E1"/>
    <w:rsid w:val="00486A16"/>
    <w:rsid w:val="00486F70"/>
    <w:rsid w:val="00487656"/>
    <w:rsid w:val="004902ED"/>
    <w:rsid w:val="004907B7"/>
    <w:rsid w:val="0049126F"/>
    <w:rsid w:val="00491FD4"/>
    <w:rsid w:val="00492C5F"/>
    <w:rsid w:val="00495644"/>
    <w:rsid w:val="004972A1"/>
    <w:rsid w:val="004977CD"/>
    <w:rsid w:val="004A0B85"/>
    <w:rsid w:val="004A12CE"/>
    <w:rsid w:val="004A13F0"/>
    <w:rsid w:val="004A188C"/>
    <w:rsid w:val="004A1AB5"/>
    <w:rsid w:val="004A4B6D"/>
    <w:rsid w:val="004A566C"/>
    <w:rsid w:val="004A6D60"/>
    <w:rsid w:val="004A6E2F"/>
    <w:rsid w:val="004A71E6"/>
    <w:rsid w:val="004A727D"/>
    <w:rsid w:val="004A740A"/>
    <w:rsid w:val="004A7C84"/>
    <w:rsid w:val="004B0FE6"/>
    <w:rsid w:val="004B1DDA"/>
    <w:rsid w:val="004B36BA"/>
    <w:rsid w:val="004B3755"/>
    <w:rsid w:val="004B3CCA"/>
    <w:rsid w:val="004B5050"/>
    <w:rsid w:val="004B580A"/>
    <w:rsid w:val="004B7806"/>
    <w:rsid w:val="004C0AA4"/>
    <w:rsid w:val="004C128B"/>
    <w:rsid w:val="004C1FCF"/>
    <w:rsid w:val="004C446C"/>
    <w:rsid w:val="004C5184"/>
    <w:rsid w:val="004C55C2"/>
    <w:rsid w:val="004C5BE5"/>
    <w:rsid w:val="004D0549"/>
    <w:rsid w:val="004D08C1"/>
    <w:rsid w:val="004D163E"/>
    <w:rsid w:val="004D458E"/>
    <w:rsid w:val="004D4667"/>
    <w:rsid w:val="004D5398"/>
    <w:rsid w:val="004D5EB3"/>
    <w:rsid w:val="004D6473"/>
    <w:rsid w:val="004D7FE3"/>
    <w:rsid w:val="004E28F2"/>
    <w:rsid w:val="004E2D04"/>
    <w:rsid w:val="004E333B"/>
    <w:rsid w:val="004E4023"/>
    <w:rsid w:val="004E5018"/>
    <w:rsid w:val="004E6B70"/>
    <w:rsid w:val="004F0400"/>
    <w:rsid w:val="004F1475"/>
    <w:rsid w:val="004F1F7F"/>
    <w:rsid w:val="004F21C6"/>
    <w:rsid w:val="004F344C"/>
    <w:rsid w:val="004F36E3"/>
    <w:rsid w:val="004F76D8"/>
    <w:rsid w:val="00500F25"/>
    <w:rsid w:val="00501851"/>
    <w:rsid w:val="00503F32"/>
    <w:rsid w:val="00503F37"/>
    <w:rsid w:val="005044B0"/>
    <w:rsid w:val="005056C1"/>
    <w:rsid w:val="005057D0"/>
    <w:rsid w:val="00506941"/>
    <w:rsid w:val="005074AA"/>
    <w:rsid w:val="00507CC3"/>
    <w:rsid w:val="00507F7C"/>
    <w:rsid w:val="00510710"/>
    <w:rsid w:val="00512922"/>
    <w:rsid w:val="00512E59"/>
    <w:rsid w:val="005136A7"/>
    <w:rsid w:val="005155B4"/>
    <w:rsid w:val="00516AF3"/>
    <w:rsid w:val="005174E5"/>
    <w:rsid w:val="00517BA6"/>
    <w:rsid w:val="0052070D"/>
    <w:rsid w:val="00521299"/>
    <w:rsid w:val="00522CC8"/>
    <w:rsid w:val="00524CB6"/>
    <w:rsid w:val="00526F48"/>
    <w:rsid w:val="00530874"/>
    <w:rsid w:val="00530AED"/>
    <w:rsid w:val="00531603"/>
    <w:rsid w:val="00532359"/>
    <w:rsid w:val="0053245D"/>
    <w:rsid w:val="00532C8E"/>
    <w:rsid w:val="00533E49"/>
    <w:rsid w:val="0053473E"/>
    <w:rsid w:val="00535044"/>
    <w:rsid w:val="00535369"/>
    <w:rsid w:val="00535562"/>
    <w:rsid w:val="00535B74"/>
    <w:rsid w:val="00535C4A"/>
    <w:rsid w:val="00536C8A"/>
    <w:rsid w:val="0053747A"/>
    <w:rsid w:val="00537582"/>
    <w:rsid w:val="0054091D"/>
    <w:rsid w:val="005426D8"/>
    <w:rsid w:val="005431F6"/>
    <w:rsid w:val="0054410C"/>
    <w:rsid w:val="00546262"/>
    <w:rsid w:val="0055010B"/>
    <w:rsid w:val="00550CAF"/>
    <w:rsid w:val="005510C6"/>
    <w:rsid w:val="00551861"/>
    <w:rsid w:val="005528AE"/>
    <w:rsid w:val="00552FCA"/>
    <w:rsid w:val="00554170"/>
    <w:rsid w:val="005550A1"/>
    <w:rsid w:val="00555440"/>
    <w:rsid w:val="005554FD"/>
    <w:rsid w:val="00555F4B"/>
    <w:rsid w:val="00555F64"/>
    <w:rsid w:val="0055707A"/>
    <w:rsid w:val="005602F8"/>
    <w:rsid w:val="00561339"/>
    <w:rsid w:val="0056299F"/>
    <w:rsid w:val="00563559"/>
    <w:rsid w:val="005636F1"/>
    <w:rsid w:val="00563B2D"/>
    <w:rsid w:val="00564495"/>
    <w:rsid w:val="00566C12"/>
    <w:rsid w:val="00570490"/>
    <w:rsid w:val="005704C0"/>
    <w:rsid w:val="00573DF8"/>
    <w:rsid w:val="005749F1"/>
    <w:rsid w:val="00575B04"/>
    <w:rsid w:val="005766A5"/>
    <w:rsid w:val="0058046E"/>
    <w:rsid w:val="00580F99"/>
    <w:rsid w:val="005810F7"/>
    <w:rsid w:val="00581BD3"/>
    <w:rsid w:val="00582757"/>
    <w:rsid w:val="005828C6"/>
    <w:rsid w:val="005828DD"/>
    <w:rsid w:val="00584ABC"/>
    <w:rsid w:val="0058604C"/>
    <w:rsid w:val="00592FFE"/>
    <w:rsid w:val="00595B33"/>
    <w:rsid w:val="005971E5"/>
    <w:rsid w:val="0059779B"/>
    <w:rsid w:val="00597951"/>
    <w:rsid w:val="005A1377"/>
    <w:rsid w:val="005A1F39"/>
    <w:rsid w:val="005A23DC"/>
    <w:rsid w:val="005A58A6"/>
    <w:rsid w:val="005A71A7"/>
    <w:rsid w:val="005B09F8"/>
    <w:rsid w:val="005B0B15"/>
    <w:rsid w:val="005B0F74"/>
    <w:rsid w:val="005B227D"/>
    <w:rsid w:val="005B2EC3"/>
    <w:rsid w:val="005B3B17"/>
    <w:rsid w:val="005B73B2"/>
    <w:rsid w:val="005B7C1D"/>
    <w:rsid w:val="005C2A50"/>
    <w:rsid w:val="005C3890"/>
    <w:rsid w:val="005C3E93"/>
    <w:rsid w:val="005C48A1"/>
    <w:rsid w:val="005C57AD"/>
    <w:rsid w:val="005C6A46"/>
    <w:rsid w:val="005C70A9"/>
    <w:rsid w:val="005D05E4"/>
    <w:rsid w:val="005D099E"/>
    <w:rsid w:val="005D0C61"/>
    <w:rsid w:val="005D7E2A"/>
    <w:rsid w:val="005E0C0B"/>
    <w:rsid w:val="005E1E40"/>
    <w:rsid w:val="005E3082"/>
    <w:rsid w:val="005E69C6"/>
    <w:rsid w:val="005F0902"/>
    <w:rsid w:val="005F1947"/>
    <w:rsid w:val="005F2FAE"/>
    <w:rsid w:val="005F3286"/>
    <w:rsid w:val="005F4CDA"/>
    <w:rsid w:val="005F5273"/>
    <w:rsid w:val="005F70D3"/>
    <w:rsid w:val="005F7296"/>
    <w:rsid w:val="006004E2"/>
    <w:rsid w:val="00600913"/>
    <w:rsid w:val="00600B8E"/>
    <w:rsid w:val="006016C6"/>
    <w:rsid w:val="00601C01"/>
    <w:rsid w:val="00603106"/>
    <w:rsid w:val="00604097"/>
    <w:rsid w:val="006041C0"/>
    <w:rsid w:val="0060525D"/>
    <w:rsid w:val="00607042"/>
    <w:rsid w:val="006107A1"/>
    <w:rsid w:val="00612CB2"/>
    <w:rsid w:val="00613B0E"/>
    <w:rsid w:val="00615A66"/>
    <w:rsid w:val="006165A5"/>
    <w:rsid w:val="006174E9"/>
    <w:rsid w:val="006218BD"/>
    <w:rsid w:val="006219DF"/>
    <w:rsid w:val="00622310"/>
    <w:rsid w:val="006228F6"/>
    <w:rsid w:val="0062380D"/>
    <w:rsid w:val="006249EB"/>
    <w:rsid w:val="00624ADA"/>
    <w:rsid w:val="00624DB0"/>
    <w:rsid w:val="00625268"/>
    <w:rsid w:val="00625BBF"/>
    <w:rsid w:val="00626EF3"/>
    <w:rsid w:val="00627C11"/>
    <w:rsid w:val="006302CE"/>
    <w:rsid w:val="00631729"/>
    <w:rsid w:val="00633259"/>
    <w:rsid w:val="00633C83"/>
    <w:rsid w:val="00634BC0"/>
    <w:rsid w:val="00635188"/>
    <w:rsid w:val="00635544"/>
    <w:rsid w:val="0063559C"/>
    <w:rsid w:val="00637493"/>
    <w:rsid w:val="00637E5B"/>
    <w:rsid w:val="00644DE6"/>
    <w:rsid w:val="00645395"/>
    <w:rsid w:val="00647539"/>
    <w:rsid w:val="00652533"/>
    <w:rsid w:val="00652A30"/>
    <w:rsid w:val="0065391F"/>
    <w:rsid w:val="00653FA3"/>
    <w:rsid w:val="006548AF"/>
    <w:rsid w:val="00655372"/>
    <w:rsid w:val="00655C46"/>
    <w:rsid w:val="00656A9F"/>
    <w:rsid w:val="00656EC0"/>
    <w:rsid w:val="006573CE"/>
    <w:rsid w:val="0066099A"/>
    <w:rsid w:val="0066238A"/>
    <w:rsid w:val="00663728"/>
    <w:rsid w:val="00665D14"/>
    <w:rsid w:val="00665F44"/>
    <w:rsid w:val="0066625B"/>
    <w:rsid w:val="00666836"/>
    <w:rsid w:val="0067153F"/>
    <w:rsid w:val="006717B7"/>
    <w:rsid w:val="0067301B"/>
    <w:rsid w:val="0067522D"/>
    <w:rsid w:val="006758FC"/>
    <w:rsid w:val="0067626E"/>
    <w:rsid w:val="0068085B"/>
    <w:rsid w:val="00680A14"/>
    <w:rsid w:val="00680AC9"/>
    <w:rsid w:val="0068199E"/>
    <w:rsid w:val="00681E22"/>
    <w:rsid w:val="00682450"/>
    <w:rsid w:val="00683877"/>
    <w:rsid w:val="00685558"/>
    <w:rsid w:val="00685671"/>
    <w:rsid w:val="00686945"/>
    <w:rsid w:val="00691D74"/>
    <w:rsid w:val="006923B3"/>
    <w:rsid w:val="00692A21"/>
    <w:rsid w:val="00692B28"/>
    <w:rsid w:val="0069307A"/>
    <w:rsid w:val="006939D1"/>
    <w:rsid w:val="00694D0B"/>
    <w:rsid w:val="00696078"/>
    <w:rsid w:val="006A06D7"/>
    <w:rsid w:val="006A0951"/>
    <w:rsid w:val="006A0D02"/>
    <w:rsid w:val="006A1E12"/>
    <w:rsid w:val="006A20B9"/>
    <w:rsid w:val="006A2496"/>
    <w:rsid w:val="006A47D1"/>
    <w:rsid w:val="006A4A58"/>
    <w:rsid w:val="006A4B30"/>
    <w:rsid w:val="006A5706"/>
    <w:rsid w:val="006A5FA2"/>
    <w:rsid w:val="006A7BEC"/>
    <w:rsid w:val="006B1EDB"/>
    <w:rsid w:val="006B25B1"/>
    <w:rsid w:val="006B3760"/>
    <w:rsid w:val="006B3868"/>
    <w:rsid w:val="006B3F2E"/>
    <w:rsid w:val="006B4801"/>
    <w:rsid w:val="006B4DF0"/>
    <w:rsid w:val="006B4E89"/>
    <w:rsid w:val="006B55B6"/>
    <w:rsid w:val="006B6D6B"/>
    <w:rsid w:val="006C05F5"/>
    <w:rsid w:val="006C0F2E"/>
    <w:rsid w:val="006C1EFA"/>
    <w:rsid w:val="006C3002"/>
    <w:rsid w:val="006C31D1"/>
    <w:rsid w:val="006C495C"/>
    <w:rsid w:val="006C6F7B"/>
    <w:rsid w:val="006D07C4"/>
    <w:rsid w:val="006D0BF1"/>
    <w:rsid w:val="006D2DC0"/>
    <w:rsid w:val="006D4074"/>
    <w:rsid w:val="006D47BD"/>
    <w:rsid w:val="006D4EE1"/>
    <w:rsid w:val="006D5E9B"/>
    <w:rsid w:val="006D5F41"/>
    <w:rsid w:val="006E1A22"/>
    <w:rsid w:val="006E26D2"/>
    <w:rsid w:val="006E3EC5"/>
    <w:rsid w:val="006E4583"/>
    <w:rsid w:val="006E4F11"/>
    <w:rsid w:val="006E68A8"/>
    <w:rsid w:val="006F0389"/>
    <w:rsid w:val="006F275A"/>
    <w:rsid w:val="006F3063"/>
    <w:rsid w:val="006F666F"/>
    <w:rsid w:val="006F72D9"/>
    <w:rsid w:val="0070175D"/>
    <w:rsid w:val="00701A6D"/>
    <w:rsid w:val="00702655"/>
    <w:rsid w:val="00703168"/>
    <w:rsid w:val="00704D8E"/>
    <w:rsid w:val="00706B82"/>
    <w:rsid w:val="00707060"/>
    <w:rsid w:val="00707E57"/>
    <w:rsid w:val="007107B7"/>
    <w:rsid w:val="00710889"/>
    <w:rsid w:val="007114C7"/>
    <w:rsid w:val="0071160A"/>
    <w:rsid w:val="0071229C"/>
    <w:rsid w:val="00715DE7"/>
    <w:rsid w:val="00716E4F"/>
    <w:rsid w:val="007203CC"/>
    <w:rsid w:val="00721172"/>
    <w:rsid w:val="0072306A"/>
    <w:rsid w:val="00724E86"/>
    <w:rsid w:val="007263BE"/>
    <w:rsid w:val="00726BC6"/>
    <w:rsid w:val="00727D43"/>
    <w:rsid w:val="00731EE6"/>
    <w:rsid w:val="0073263F"/>
    <w:rsid w:val="00732AE1"/>
    <w:rsid w:val="0073349E"/>
    <w:rsid w:val="00733574"/>
    <w:rsid w:val="007335C2"/>
    <w:rsid w:val="00734E32"/>
    <w:rsid w:val="0073518B"/>
    <w:rsid w:val="00736634"/>
    <w:rsid w:val="00736D69"/>
    <w:rsid w:val="007370F4"/>
    <w:rsid w:val="0073761B"/>
    <w:rsid w:val="0074000E"/>
    <w:rsid w:val="007414FD"/>
    <w:rsid w:val="0074158E"/>
    <w:rsid w:val="00741CF6"/>
    <w:rsid w:val="00742DEC"/>
    <w:rsid w:val="00744FA3"/>
    <w:rsid w:val="0074544B"/>
    <w:rsid w:val="007460EF"/>
    <w:rsid w:val="0074689A"/>
    <w:rsid w:val="00747937"/>
    <w:rsid w:val="00747D23"/>
    <w:rsid w:val="0075090D"/>
    <w:rsid w:val="00750D63"/>
    <w:rsid w:val="007528E1"/>
    <w:rsid w:val="00753025"/>
    <w:rsid w:val="00755237"/>
    <w:rsid w:val="00755E50"/>
    <w:rsid w:val="0075702D"/>
    <w:rsid w:val="007571D4"/>
    <w:rsid w:val="00757DDD"/>
    <w:rsid w:val="00763219"/>
    <w:rsid w:val="00764BAB"/>
    <w:rsid w:val="00764DEB"/>
    <w:rsid w:val="00766D40"/>
    <w:rsid w:val="007670E1"/>
    <w:rsid w:val="007673EA"/>
    <w:rsid w:val="00767AFC"/>
    <w:rsid w:val="0077047C"/>
    <w:rsid w:val="00770C0E"/>
    <w:rsid w:val="00771A0E"/>
    <w:rsid w:val="00773CF3"/>
    <w:rsid w:val="00774506"/>
    <w:rsid w:val="007746AF"/>
    <w:rsid w:val="00774B77"/>
    <w:rsid w:val="00774C0B"/>
    <w:rsid w:val="00775AA6"/>
    <w:rsid w:val="00775F5B"/>
    <w:rsid w:val="00777111"/>
    <w:rsid w:val="007772D8"/>
    <w:rsid w:val="00780C9D"/>
    <w:rsid w:val="00780D10"/>
    <w:rsid w:val="007819A7"/>
    <w:rsid w:val="00782ED5"/>
    <w:rsid w:val="00784A6D"/>
    <w:rsid w:val="00785AE8"/>
    <w:rsid w:val="007867F1"/>
    <w:rsid w:val="00787473"/>
    <w:rsid w:val="00790428"/>
    <w:rsid w:val="00790AB6"/>
    <w:rsid w:val="00791D2D"/>
    <w:rsid w:val="007A0D54"/>
    <w:rsid w:val="007A389B"/>
    <w:rsid w:val="007A39BF"/>
    <w:rsid w:val="007A5699"/>
    <w:rsid w:val="007A586D"/>
    <w:rsid w:val="007A5A80"/>
    <w:rsid w:val="007B0361"/>
    <w:rsid w:val="007B4698"/>
    <w:rsid w:val="007B4F32"/>
    <w:rsid w:val="007B5C7F"/>
    <w:rsid w:val="007B6A51"/>
    <w:rsid w:val="007B77E9"/>
    <w:rsid w:val="007C0347"/>
    <w:rsid w:val="007C13AA"/>
    <w:rsid w:val="007C194A"/>
    <w:rsid w:val="007C1B67"/>
    <w:rsid w:val="007C29FC"/>
    <w:rsid w:val="007C2D5F"/>
    <w:rsid w:val="007C4117"/>
    <w:rsid w:val="007C4650"/>
    <w:rsid w:val="007C4736"/>
    <w:rsid w:val="007C5682"/>
    <w:rsid w:val="007C61B8"/>
    <w:rsid w:val="007C7056"/>
    <w:rsid w:val="007D08C4"/>
    <w:rsid w:val="007D096E"/>
    <w:rsid w:val="007D1910"/>
    <w:rsid w:val="007D32A9"/>
    <w:rsid w:val="007D331D"/>
    <w:rsid w:val="007D4983"/>
    <w:rsid w:val="007D546A"/>
    <w:rsid w:val="007D64E6"/>
    <w:rsid w:val="007E2055"/>
    <w:rsid w:val="007E5815"/>
    <w:rsid w:val="007F0B7D"/>
    <w:rsid w:val="007F3F8A"/>
    <w:rsid w:val="007F4715"/>
    <w:rsid w:val="007F47AB"/>
    <w:rsid w:val="007F49DB"/>
    <w:rsid w:val="007F4DD0"/>
    <w:rsid w:val="007F5014"/>
    <w:rsid w:val="007F5366"/>
    <w:rsid w:val="007F59C0"/>
    <w:rsid w:val="007F67CB"/>
    <w:rsid w:val="007F72D8"/>
    <w:rsid w:val="007F783E"/>
    <w:rsid w:val="008056B0"/>
    <w:rsid w:val="008058E6"/>
    <w:rsid w:val="00807677"/>
    <w:rsid w:val="008079D2"/>
    <w:rsid w:val="00810D22"/>
    <w:rsid w:val="008119F4"/>
    <w:rsid w:val="008124BA"/>
    <w:rsid w:val="00812A5D"/>
    <w:rsid w:val="008146AF"/>
    <w:rsid w:val="00816D83"/>
    <w:rsid w:val="008202D5"/>
    <w:rsid w:val="00821CEB"/>
    <w:rsid w:val="00823A9E"/>
    <w:rsid w:val="008243BB"/>
    <w:rsid w:val="00824B40"/>
    <w:rsid w:val="00825BD7"/>
    <w:rsid w:val="00830139"/>
    <w:rsid w:val="00830D8E"/>
    <w:rsid w:val="0083100A"/>
    <w:rsid w:val="00831D6C"/>
    <w:rsid w:val="00831F68"/>
    <w:rsid w:val="00831F7D"/>
    <w:rsid w:val="008325F9"/>
    <w:rsid w:val="008329C6"/>
    <w:rsid w:val="00835058"/>
    <w:rsid w:val="008350FC"/>
    <w:rsid w:val="00836447"/>
    <w:rsid w:val="008365B6"/>
    <w:rsid w:val="00844C26"/>
    <w:rsid w:val="008460BA"/>
    <w:rsid w:val="00851208"/>
    <w:rsid w:val="00851607"/>
    <w:rsid w:val="00852657"/>
    <w:rsid w:val="008528D8"/>
    <w:rsid w:val="00853440"/>
    <w:rsid w:val="008536E0"/>
    <w:rsid w:val="00853CB5"/>
    <w:rsid w:val="0085555D"/>
    <w:rsid w:val="00856B1B"/>
    <w:rsid w:val="00857C30"/>
    <w:rsid w:val="00860349"/>
    <w:rsid w:val="0086097C"/>
    <w:rsid w:val="00861C3D"/>
    <w:rsid w:val="00861D1F"/>
    <w:rsid w:val="00862EA0"/>
    <w:rsid w:val="0086571C"/>
    <w:rsid w:val="00866CA5"/>
    <w:rsid w:val="00867A13"/>
    <w:rsid w:val="00870D4C"/>
    <w:rsid w:val="00870FA0"/>
    <w:rsid w:val="00871D0C"/>
    <w:rsid w:val="00873087"/>
    <w:rsid w:val="008734B7"/>
    <w:rsid w:val="00875627"/>
    <w:rsid w:val="00876DDE"/>
    <w:rsid w:val="00880C2F"/>
    <w:rsid w:val="00882C78"/>
    <w:rsid w:val="008837CB"/>
    <w:rsid w:val="00885196"/>
    <w:rsid w:val="00885336"/>
    <w:rsid w:val="008864C4"/>
    <w:rsid w:val="00886810"/>
    <w:rsid w:val="008873DA"/>
    <w:rsid w:val="00890252"/>
    <w:rsid w:val="00892DE0"/>
    <w:rsid w:val="008935EF"/>
    <w:rsid w:val="00894B61"/>
    <w:rsid w:val="00894E58"/>
    <w:rsid w:val="00895140"/>
    <w:rsid w:val="0089537D"/>
    <w:rsid w:val="008955C2"/>
    <w:rsid w:val="008A1238"/>
    <w:rsid w:val="008A263A"/>
    <w:rsid w:val="008A301C"/>
    <w:rsid w:val="008A37CC"/>
    <w:rsid w:val="008A405C"/>
    <w:rsid w:val="008A464F"/>
    <w:rsid w:val="008A47C3"/>
    <w:rsid w:val="008A6D6D"/>
    <w:rsid w:val="008A7435"/>
    <w:rsid w:val="008B221F"/>
    <w:rsid w:val="008B4405"/>
    <w:rsid w:val="008B46DC"/>
    <w:rsid w:val="008B60E4"/>
    <w:rsid w:val="008B6359"/>
    <w:rsid w:val="008B643A"/>
    <w:rsid w:val="008B782F"/>
    <w:rsid w:val="008B7F3E"/>
    <w:rsid w:val="008C0148"/>
    <w:rsid w:val="008C0D18"/>
    <w:rsid w:val="008C0F32"/>
    <w:rsid w:val="008C137E"/>
    <w:rsid w:val="008C1529"/>
    <w:rsid w:val="008C166F"/>
    <w:rsid w:val="008C2532"/>
    <w:rsid w:val="008C327D"/>
    <w:rsid w:val="008C3846"/>
    <w:rsid w:val="008C3C98"/>
    <w:rsid w:val="008C41FE"/>
    <w:rsid w:val="008C43ED"/>
    <w:rsid w:val="008D07C5"/>
    <w:rsid w:val="008D1C72"/>
    <w:rsid w:val="008D2F51"/>
    <w:rsid w:val="008D37F2"/>
    <w:rsid w:val="008D4A51"/>
    <w:rsid w:val="008D4CE8"/>
    <w:rsid w:val="008D5CC9"/>
    <w:rsid w:val="008E03D4"/>
    <w:rsid w:val="008E06F3"/>
    <w:rsid w:val="008E0B41"/>
    <w:rsid w:val="008E0B6D"/>
    <w:rsid w:val="008E200B"/>
    <w:rsid w:val="008E241D"/>
    <w:rsid w:val="008E34C7"/>
    <w:rsid w:val="008E4A17"/>
    <w:rsid w:val="008E75E6"/>
    <w:rsid w:val="008F0129"/>
    <w:rsid w:val="008F09E3"/>
    <w:rsid w:val="008F0C0E"/>
    <w:rsid w:val="008F1A09"/>
    <w:rsid w:val="008F1E67"/>
    <w:rsid w:val="008F1FDB"/>
    <w:rsid w:val="008F2466"/>
    <w:rsid w:val="008F38E6"/>
    <w:rsid w:val="008F4DFE"/>
    <w:rsid w:val="008F5125"/>
    <w:rsid w:val="008F56F8"/>
    <w:rsid w:val="008F5F3D"/>
    <w:rsid w:val="008F67BA"/>
    <w:rsid w:val="008F72B2"/>
    <w:rsid w:val="0090093B"/>
    <w:rsid w:val="00900C5E"/>
    <w:rsid w:val="0090273B"/>
    <w:rsid w:val="0090348E"/>
    <w:rsid w:val="00903F69"/>
    <w:rsid w:val="00904AE2"/>
    <w:rsid w:val="009073EA"/>
    <w:rsid w:val="00907F82"/>
    <w:rsid w:val="00911D2C"/>
    <w:rsid w:val="0091281F"/>
    <w:rsid w:val="00913D99"/>
    <w:rsid w:val="00913D9F"/>
    <w:rsid w:val="0091486B"/>
    <w:rsid w:val="00915460"/>
    <w:rsid w:val="00915E7C"/>
    <w:rsid w:val="009171EF"/>
    <w:rsid w:val="00917491"/>
    <w:rsid w:val="00920A82"/>
    <w:rsid w:val="00920F32"/>
    <w:rsid w:val="00921866"/>
    <w:rsid w:val="009224FC"/>
    <w:rsid w:val="00922857"/>
    <w:rsid w:val="00925483"/>
    <w:rsid w:val="009269C8"/>
    <w:rsid w:val="009301B9"/>
    <w:rsid w:val="00930FAB"/>
    <w:rsid w:val="00932AC8"/>
    <w:rsid w:val="00932EA4"/>
    <w:rsid w:val="00933832"/>
    <w:rsid w:val="00934A5F"/>
    <w:rsid w:val="00937A80"/>
    <w:rsid w:val="009419A2"/>
    <w:rsid w:val="00941E7C"/>
    <w:rsid w:val="00942C92"/>
    <w:rsid w:val="009454AC"/>
    <w:rsid w:val="0094665A"/>
    <w:rsid w:val="00946AAA"/>
    <w:rsid w:val="0095044C"/>
    <w:rsid w:val="00950838"/>
    <w:rsid w:val="009527A0"/>
    <w:rsid w:val="00954CB7"/>
    <w:rsid w:val="009557BE"/>
    <w:rsid w:val="009566EF"/>
    <w:rsid w:val="00956B34"/>
    <w:rsid w:val="0095706D"/>
    <w:rsid w:val="00957B76"/>
    <w:rsid w:val="00960C91"/>
    <w:rsid w:val="00962A1A"/>
    <w:rsid w:val="009645FC"/>
    <w:rsid w:val="00964ABA"/>
    <w:rsid w:val="00964E37"/>
    <w:rsid w:val="009652B1"/>
    <w:rsid w:val="00966473"/>
    <w:rsid w:val="0097008C"/>
    <w:rsid w:val="00971B41"/>
    <w:rsid w:val="0097312F"/>
    <w:rsid w:val="009733B8"/>
    <w:rsid w:val="00973722"/>
    <w:rsid w:val="00974581"/>
    <w:rsid w:val="009762A0"/>
    <w:rsid w:val="00976FFE"/>
    <w:rsid w:val="009818F4"/>
    <w:rsid w:val="00981903"/>
    <w:rsid w:val="0098342A"/>
    <w:rsid w:val="00985775"/>
    <w:rsid w:val="009864B5"/>
    <w:rsid w:val="00986AD0"/>
    <w:rsid w:val="0098713E"/>
    <w:rsid w:val="00991767"/>
    <w:rsid w:val="00993696"/>
    <w:rsid w:val="00996AB1"/>
    <w:rsid w:val="00997F3A"/>
    <w:rsid w:val="009A097D"/>
    <w:rsid w:val="009A113C"/>
    <w:rsid w:val="009A1459"/>
    <w:rsid w:val="009A2259"/>
    <w:rsid w:val="009A2697"/>
    <w:rsid w:val="009A2906"/>
    <w:rsid w:val="009A2DCA"/>
    <w:rsid w:val="009A4C51"/>
    <w:rsid w:val="009A56E8"/>
    <w:rsid w:val="009A5B57"/>
    <w:rsid w:val="009A650B"/>
    <w:rsid w:val="009A6B7F"/>
    <w:rsid w:val="009A6B9C"/>
    <w:rsid w:val="009B068B"/>
    <w:rsid w:val="009B1D8B"/>
    <w:rsid w:val="009B219A"/>
    <w:rsid w:val="009B3026"/>
    <w:rsid w:val="009B304D"/>
    <w:rsid w:val="009B41AB"/>
    <w:rsid w:val="009B43E1"/>
    <w:rsid w:val="009B565D"/>
    <w:rsid w:val="009B60EE"/>
    <w:rsid w:val="009B7548"/>
    <w:rsid w:val="009C0443"/>
    <w:rsid w:val="009C126A"/>
    <w:rsid w:val="009C188D"/>
    <w:rsid w:val="009C2937"/>
    <w:rsid w:val="009C2AA5"/>
    <w:rsid w:val="009C3155"/>
    <w:rsid w:val="009C4BA5"/>
    <w:rsid w:val="009C4E90"/>
    <w:rsid w:val="009C5836"/>
    <w:rsid w:val="009C74E1"/>
    <w:rsid w:val="009C7CDE"/>
    <w:rsid w:val="009D23D5"/>
    <w:rsid w:val="009D45DF"/>
    <w:rsid w:val="009D461B"/>
    <w:rsid w:val="009D468E"/>
    <w:rsid w:val="009D5302"/>
    <w:rsid w:val="009D607B"/>
    <w:rsid w:val="009D762F"/>
    <w:rsid w:val="009D7862"/>
    <w:rsid w:val="009E0785"/>
    <w:rsid w:val="009E151F"/>
    <w:rsid w:val="009E26E3"/>
    <w:rsid w:val="009E2DE0"/>
    <w:rsid w:val="009E38C7"/>
    <w:rsid w:val="009E410B"/>
    <w:rsid w:val="009E6F5C"/>
    <w:rsid w:val="009F04FE"/>
    <w:rsid w:val="009F0FA6"/>
    <w:rsid w:val="009F22DF"/>
    <w:rsid w:val="009F2E55"/>
    <w:rsid w:val="009F4C34"/>
    <w:rsid w:val="009F684D"/>
    <w:rsid w:val="009F7703"/>
    <w:rsid w:val="00A00B1A"/>
    <w:rsid w:val="00A01211"/>
    <w:rsid w:val="00A021F7"/>
    <w:rsid w:val="00A022AA"/>
    <w:rsid w:val="00A03A88"/>
    <w:rsid w:val="00A0409C"/>
    <w:rsid w:val="00A06E3C"/>
    <w:rsid w:val="00A06F6F"/>
    <w:rsid w:val="00A0798F"/>
    <w:rsid w:val="00A10830"/>
    <w:rsid w:val="00A13E10"/>
    <w:rsid w:val="00A14630"/>
    <w:rsid w:val="00A154DE"/>
    <w:rsid w:val="00A17120"/>
    <w:rsid w:val="00A17F89"/>
    <w:rsid w:val="00A23411"/>
    <w:rsid w:val="00A23A5F"/>
    <w:rsid w:val="00A23BB9"/>
    <w:rsid w:val="00A2421A"/>
    <w:rsid w:val="00A24C1B"/>
    <w:rsid w:val="00A25850"/>
    <w:rsid w:val="00A31005"/>
    <w:rsid w:val="00A31D0D"/>
    <w:rsid w:val="00A34011"/>
    <w:rsid w:val="00A36B47"/>
    <w:rsid w:val="00A36FAA"/>
    <w:rsid w:val="00A37367"/>
    <w:rsid w:val="00A3764C"/>
    <w:rsid w:val="00A415DA"/>
    <w:rsid w:val="00A44217"/>
    <w:rsid w:val="00A442BE"/>
    <w:rsid w:val="00A475EF"/>
    <w:rsid w:val="00A5078F"/>
    <w:rsid w:val="00A5086F"/>
    <w:rsid w:val="00A53C76"/>
    <w:rsid w:val="00A55D9A"/>
    <w:rsid w:val="00A5654B"/>
    <w:rsid w:val="00A5744A"/>
    <w:rsid w:val="00A60567"/>
    <w:rsid w:val="00A60AC8"/>
    <w:rsid w:val="00A6114A"/>
    <w:rsid w:val="00A6579F"/>
    <w:rsid w:val="00A664DF"/>
    <w:rsid w:val="00A75E1F"/>
    <w:rsid w:val="00A76153"/>
    <w:rsid w:val="00A76B51"/>
    <w:rsid w:val="00A77ECF"/>
    <w:rsid w:val="00A801A3"/>
    <w:rsid w:val="00A811F5"/>
    <w:rsid w:val="00A823B7"/>
    <w:rsid w:val="00A83302"/>
    <w:rsid w:val="00A83E54"/>
    <w:rsid w:val="00A8418F"/>
    <w:rsid w:val="00A87150"/>
    <w:rsid w:val="00A877CA"/>
    <w:rsid w:val="00A9000B"/>
    <w:rsid w:val="00A90EFD"/>
    <w:rsid w:val="00A91EFC"/>
    <w:rsid w:val="00A92B8D"/>
    <w:rsid w:val="00A938C7"/>
    <w:rsid w:val="00A94885"/>
    <w:rsid w:val="00AA1E6B"/>
    <w:rsid w:val="00AA2A30"/>
    <w:rsid w:val="00AA2E7E"/>
    <w:rsid w:val="00AA5996"/>
    <w:rsid w:val="00AA5D95"/>
    <w:rsid w:val="00AA6C99"/>
    <w:rsid w:val="00AB03F5"/>
    <w:rsid w:val="00AB06BD"/>
    <w:rsid w:val="00AB3504"/>
    <w:rsid w:val="00AB4B01"/>
    <w:rsid w:val="00AB6ACE"/>
    <w:rsid w:val="00AB6CED"/>
    <w:rsid w:val="00AB7EBB"/>
    <w:rsid w:val="00AC05BE"/>
    <w:rsid w:val="00AC2908"/>
    <w:rsid w:val="00AC2A76"/>
    <w:rsid w:val="00AC2B0E"/>
    <w:rsid w:val="00AC38BD"/>
    <w:rsid w:val="00AC3B17"/>
    <w:rsid w:val="00AC3F2A"/>
    <w:rsid w:val="00AC473D"/>
    <w:rsid w:val="00AC524B"/>
    <w:rsid w:val="00AC742F"/>
    <w:rsid w:val="00AC7D1C"/>
    <w:rsid w:val="00AD0D49"/>
    <w:rsid w:val="00AD12AF"/>
    <w:rsid w:val="00AD1BEA"/>
    <w:rsid w:val="00AD24AF"/>
    <w:rsid w:val="00AD2869"/>
    <w:rsid w:val="00AD69B8"/>
    <w:rsid w:val="00AE21A4"/>
    <w:rsid w:val="00AE24DC"/>
    <w:rsid w:val="00AE2FB7"/>
    <w:rsid w:val="00AE73CA"/>
    <w:rsid w:val="00AE76E2"/>
    <w:rsid w:val="00AE7BC7"/>
    <w:rsid w:val="00AF2B25"/>
    <w:rsid w:val="00AF2E31"/>
    <w:rsid w:val="00AF3CC1"/>
    <w:rsid w:val="00AF4F9C"/>
    <w:rsid w:val="00AF56B1"/>
    <w:rsid w:val="00B00414"/>
    <w:rsid w:val="00B01B11"/>
    <w:rsid w:val="00B038E7"/>
    <w:rsid w:val="00B03C04"/>
    <w:rsid w:val="00B03C97"/>
    <w:rsid w:val="00B046DE"/>
    <w:rsid w:val="00B0574B"/>
    <w:rsid w:val="00B115A0"/>
    <w:rsid w:val="00B1403D"/>
    <w:rsid w:val="00B1758F"/>
    <w:rsid w:val="00B20AD8"/>
    <w:rsid w:val="00B236DA"/>
    <w:rsid w:val="00B23770"/>
    <w:rsid w:val="00B24D55"/>
    <w:rsid w:val="00B25B0A"/>
    <w:rsid w:val="00B26D71"/>
    <w:rsid w:val="00B277AC"/>
    <w:rsid w:val="00B3041E"/>
    <w:rsid w:val="00B3066E"/>
    <w:rsid w:val="00B3088A"/>
    <w:rsid w:val="00B31AA2"/>
    <w:rsid w:val="00B31EC4"/>
    <w:rsid w:val="00B31FB2"/>
    <w:rsid w:val="00B32FC9"/>
    <w:rsid w:val="00B33BB8"/>
    <w:rsid w:val="00B4288B"/>
    <w:rsid w:val="00B42F35"/>
    <w:rsid w:val="00B44A61"/>
    <w:rsid w:val="00B44ADD"/>
    <w:rsid w:val="00B4604D"/>
    <w:rsid w:val="00B46064"/>
    <w:rsid w:val="00B50964"/>
    <w:rsid w:val="00B524B8"/>
    <w:rsid w:val="00B5278E"/>
    <w:rsid w:val="00B52EC3"/>
    <w:rsid w:val="00B53129"/>
    <w:rsid w:val="00B53C92"/>
    <w:rsid w:val="00B53FE4"/>
    <w:rsid w:val="00B55AB3"/>
    <w:rsid w:val="00B56203"/>
    <w:rsid w:val="00B565EE"/>
    <w:rsid w:val="00B56915"/>
    <w:rsid w:val="00B56FA6"/>
    <w:rsid w:val="00B62E7E"/>
    <w:rsid w:val="00B658B9"/>
    <w:rsid w:val="00B658DB"/>
    <w:rsid w:val="00B70FFF"/>
    <w:rsid w:val="00B72A93"/>
    <w:rsid w:val="00B7420D"/>
    <w:rsid w:val="00B74783"/>
    <w:rsid w:val="00B765A3"/>
    <w:rsid w:val="00B76834"/>
    <w:rsid w:val="00B76FC8"/>
    <w:rsid w:val="00B8529F"/>
    <w:rsid w:val="00B8538D"/>
    <w:rsid w:val="00B85866"/>
    <w:rsid w:val="00B85E6C"/>
    <w:rsid w:val="00B86AFC"/>
    <w:rsid w:val="00B86F52"/>
    <w:rsid w:val="00B901B3"/>
    <w:rsid w:val="00B92120"/>
    <w:rsid w:val="00B92AE2"/>
    <w:rsid w:val="00B92E61"/>
    <w:rsid w:val="00B92EAC"/>
    <w:rsid w:val="00B945AD"/>
    <w:rsid w:val="00B94682"/>
    <w:rsid w:val="00B952BA"/>
    <w:rsid w:val="00B97746"/>
    <w:rsid w:val="00BA0174"/>
    <w:rsid w:val="00BA0541"/>
    <w:rsid w:val="00BA0708"/>
    <w:rsid w:val="00BA0C69"/>
    <w:rsid w:val="00BA0FDC"/>
    <w:rsid w:val="00BA249D"/>
    <w:rsid w:val="00BA296E"/>
    <w:rsid w:val="00BA30C5"/>
    <w:rsid w:val="00BA5263"/>
    <w:rsid w:val="00BA6488"/>
    <w:rsid w:val="00BA66F9"/>
    <w:rsid w:val="00BA707B"/>
    <w:rsid w:val="00BA7E9B"/>
    <w:rsid w:val="00BB02A8"/>
    <w:rsid w:val="00BB0F62"/>
    <w:rsid w:val="00BB1372"/>
    <w:rsid w:val="00BB24CB"/>
    <w:rsid w:val="00BB4276"/>
    <w:rsid w:val="00BC1187"/>
    <w:rsid w:val="00BC164E"/>
    <w:rsid w:val="00BC3549"/>
    <w:rsid w:val="00BC3746"/>
    <w:rsid w:val="00BC4B10"/>
    <w:rsid w:val="00BC50E6"/>
    <w:rsid w:val="00BD1D5F"/>
    <w:rsid w:val="00BD268F"/>
    <w:rsid w:val="00BD5211"/>
    <w:rsid w:val="00BD6240"/>
    <w:rsid w:val="00BD7A5A"/>
    <w:rsid w:val="00BE014A"/>
    <w:rsid w:val="00BE116C"/>
    <w:rsid w:val="00BE33D0"/>
    <w:rsid w:val="00BE38C1"/>
    <w:rsid w:val="00BE3B81"/>
    <w:rsid w:val="00BE4FC3"/>
    <w:rsid w:val="00BE5F60"/>
    <w:rsid w:val="00BE601B"/>
    <w:rsid w:val="00BE7441"/>
    <w:rsid w:val="00BF1C5F"/>
    <w:rsid w:val="00BF1FC8"/>
    <w:rsid w:val="00BF24D2"/>
    <w:rsid w:val="00BF32FE"/>
    <w:rsid w:val="00BF75B2"/>
    <w:rsid w:val="00C01109"/>
    <w:rsid w:val="00C0263F"/>
    <w:rsid w:val="00C0275C"/>
    <w:rsid w:val="00C02A31"/>
    <w:rsid w:val="00C02AEA"/>
    <w:rsid w:val="00C034A3"/>
    <w:rsid w:val="00C0433A"/>
    <w:rsid w:val="00C056DD"/>
    <w:rsid w:val="00C10132"/>
    <w:rsid w:val="00C10A95"/>
    <w:rsid w:val="00C10F26"/>
    <w:rsid w:val="00C12274"/>
    <w:rsid w:val="00C13B76"/>
    <w:rsid w:val="00C143AC"/>
    <w:rsid w:val="00C167D3"/>
    <w:rsid w:val="00C1712F"/>
    <w:rsid w:val="00C1753B"/>
    <w:rsid w:val="00C20680"/>
    <w:rsid w:val="00C224C7"/>
    <w:rsid w:val="00C23490"/>
    <w:rsid w:val="00C2534D"/>
    <w:rsid w:val="00C25AC1"/>
    <w:rsid w:val="00C25CEA"/>
    <w:rsid w:val="00C3022B"/>
    <w:rsid w:val="00C30D62"/>
    <w:rsid w:val="00C33E89"/>
    <w:rsid w:val="00C34A37"/>
    <w:rsid w:val="00C416DF"/>
    <w:rsid w:val="00C4216D"/>
    <w:rsid w:val="00C42D96"/>
    <w:rsid w:val="00C42ED4"/>
    <w:rsid w:val="00C43997"/>
    <w:rsid w:val="00C43B06"/>
    <w:rsid w:val="00C44958"/>
    <w:rsid w:val="00C4744D"/>
    <w:rsid w:val="00C50DC5"/>
    <w:rsid w:val="00C5386C"/>
    <w:rsid w:val="00C5468F"/>
    <w:rsid w:val="00C566CD"/>
    <w:rsid w:val="00C57E81"/>
    <w:rsid w:val="00C6012B"/>
    <w:rsid w:val="00C60658"/>
    <w:rsid w:val="00C62DDC"/>
    <w:rsid w:val="00C633FF"/>
    <w:rsid w:val="00C63D74"/>
    <w:rsid w:val="00C659BE"/>
    <w:rsid w:val="00C70C7C"/>
    <w:rsid w:val="00C716C8"/>
    <w:rsid w:val="00C71CC8"/>
    <w:rsid w:val="00C7289F"/>
    <w:rsid w:val="00C738F1"/>
    <w:rsid w:val="00C7714B"/>
    <w:rsid w:val="00C77992"/>
    <w:rsid w:val="00C80763"/>
    <w:rsid w:val="00C8165A"/>
    <w:rsid w:val="00C81888"/>
    <w:rsid w:val="00C81EBA"/>
    <w:rsid w:val="00C842B2"/>
    <w:rsid w:val="00C84CC3"/>
    <w:rsid w:val="00C84D5B"/>
    <w:rsid w:val="00C85B50"/>
    <w:rsid w:val="00C85D27"/>
    <w:rsid w:val="00C86005"/>
    <w:rsid w:val="00C876DC"/>
    <w:rsid w:val="00C9062F"/>
    <w:rsid w:val="00C90654"/>
    <w:rsid w:val="00C91C14"/>
    <w:rsid w:val="00C926FB"/>
    <w:rsid w:val="00C92D07"/>
    <w:rsid w:val="00C933B3"/>
    <w:rsid w:val="00C95437"/>
    <w:rsid w:val="00C954CF"/>
    <w:rsid w:val="00C95F9C"/>
    <w:rsid w:val="00C978FE"/>
    <w:rsid w:val="00CA0D8D"/>
    <w:rsid w:val="00CA2741"/>
    <w:rsid w:val="00CA3804"/>
    <w:rsid w:val="00CA4698"/>
    <w:rsid w:val="00CA5FA8"/>
    <w:rsid w:val="00CA65C9"/>
    <w:rsid w:val="00CA6D73"/>
    <w:rsid w:val="00CB0B0E"/>
    <w:rsid w:val="00CB1CA8"/>
    <w:rsid w:val="00CB1DFC"/>
    <w:rsid w:val="00CB2180"/>
    <w:rsid w:val="00CB2956"/>
    <w:rsid w:val="00CB3922"/>
    <w:rsid w:val="00CC0363"/>
    <w:rsid w:val="00CC1BC8"/>
    <w:rsid w:val="00CC1C8B"/>
    <w:rsid w:val="00CC1E43"/>
    <w:rsid w:val="00CC3BA4"/>
    <w:rsid w:val="00CC4555"/>
    <w:rsid w:val="00CC45AE"/>
    <w:rsid w:val="00CC46F4"/>
    <w:rsid w:val="00CC4C71"/>
    <w:rsid w:val="00CC543B"/>
    <w:rsid w:val="00CC73BB"/>
    <w:rsid w:val="00CD03AE"/>
    <w:rsid w:val="00CD100D"/>
    <w:rsid w:val="00CD2489"/>
    <w:rsid w:val="00CD28B9"/>
    <w:rsid w:val="00CD4925"/>
    <w:rsid w:val="00CD632B"/>
    <w:rsid w:val="00CD7929"/>
    <w:rsid w:val="00CE120E"/>
    <w:rsid w:val="00CE5B5D"/>
    <w:rsid w:val="00CE666D"/>
    <w:rsid w:val="00CE6BBD"/>
    <w:rsid w:val="00CE761A"/>
    <w:rsid w:val="00CF21E4"/>
    <w:rsid w:val="00CF2395"/>
    <w:rsid w:val="00CF32A6"/>
    <w:rsid w:val="00CF49A5"/>
    <w:rsid w:val="00CF56B7"/>
    <w:rsid w:val="00CF6D59"/>
    <w:rsid w:val="00D0001F"/>
    <w:rsid w:val="00D020D2"/>
    <w:rsid w:val="00D024E9"/>
    <w:rsid w:val="00D031E9"/>
    <w:rsid w:val="00D0367E"/>
    <w:rsid w:val="00D044D4"/>
    <w:rsid w:val="00D052E9"/>
    <w:rsid w:val="00D05DA1"/>
    <w:rsid w:val="00D07FB4"/>
    <w:rsid w:val="00D10220"/>
    <w:rsid w:val="00D10761"/>
    <w:rsid w:val="00D142CE"/>
    <w:rsid w:val="00D151C1"/>
    <w:rsid w:val="00D151DF"/>
    <w:rsid w:val="00D177FC"/>
    <w:rsid w:val="00D20130"/>
    <w:rsid w:val="00D2526A"/>
    <w:rsid w:val="00D257E5"/>
    <w:rsid w:val="00D2596A"/>
    <w:rsid w:val="00D25A88"/>
    <w:rsid w:val="00D2601F"/>
    <w:rsid w:val="00D26E29"/>
    <w:rsid w:val="00D271AE"/>
    <w:rsid w:val="00D3140B"/>
    <w:rsid w:val="00D32CF1"/>
    <w:rsid w:val="00D33203"/>
    <w:rsid w:val="00D33CAC"/>
    <w:rsid w:val="00D33D64"/>
    <w:rsid w:val="00D3404A"/>
    <w:rsid w:val="00D349BF"/>
    <w:rsid w:val="00D3564D"/>
    <w:rsid w:val="00D36377"/>
    <w:rsid w:val="00D36DC3"/>
    <w:rsid w:val="00D3715E"/>
    <w:rsid w:val="00D40416"/>
    <w:rsid w:val="00D41B10"/>
    <w:rsid w:val="00D427E2"/>
    <w:rsid w:val="00D44B54"/>
    <w:rsid w:val="00D45057"/>
    <w:rsid w:val="00D45069"/>
    <w:rsid w:val="00D450A5"/>
    <w:rsid w:val="00D46166"/>
    <w:rsid w:val="00D478EE"/>
    <w:rsid w:val="00D47D0D"/>
    <w:rsid w:val="00D50BC0"/>
    <w:rsid w:val="00D5314B"/>
    <w:rsid w:val="00D531DC"/>
    <w:rsid w:val="00D53A72"/>
    <w:rsid w:val="00D54B7F"/>
    <w:rsid w:val="00D568C3"/>
    <w:rsid w:val="00D57F04"/>
    <w:rsid w:val="00D60707"/>
    <w:rsid w:val="00D62BED"/>
    <w:rsid w:val="00D64A66"/>
    <w:rsid w:val="00D66064"/>
    <w:rsid w:val="00D66849"/>
    <w:rsid w:val="00D70DBF"/>
    <w:rsid w:val="00D72540"/>
    <w:rsid w:val="00D72A69"/>
    <w:rsid w:val="00D72B85"/>
    <w:rsid w:val="00D734C9"/>
    <w:rsid w:val="00D736DB"/>
    <w:rsid w:val="00D74B6C"/>
    <w:rsid w:val="00D76AB6"/>
    <w:rsid w:val="00D771CA"/>
    <w:rsid w:val="00D8264A"/>
    <w:rsid w:val="00D834D1"/>
    <w:rsid w:val="00D83A51"/>
    <w:rsid w:val="00D83BAF"/>
    <w:rsid w:val="00D84972"/>
    <w:rsid w:val="00D85AE8"/>
    <w:rsid w:val="00D86171"/>
    <w:rsid w:val="00D870CE"/>
    <w:rsid w:val="00D8757F"/>
    <w:rsid w:val="00D87C38"/>
    <w:rsid w:val="00D926AD"/>
    <w:rsid w:val="00D93656"/>
    <w:rsid w:val="00D94A8E"/>
    <w:rsid w:val="00D953B1"/>
    <w:rsid w:val="00D96EE0"/>
    <w:rsid w:val="00DA2346"/>
    <w:rsid w:val="00DA326E"/>
    <w:rsid w:val="00DA5E57"/>
    <w:rsid w:val="00DA61AA"/>
    <w:rsid w:val="00DA69AC"/>
    <w:rsid w:val="00DA77FD"/>
    <w:rsid w:val="00DA7C98"/>
    <w:rsid w:val="00DB098F"/>
    <w:rsid w:val="00DB1D8E"/>
    <w:rsid w:val="00DB46DE"/>
    <w:rsid w:val="00DB540F"/>
    <w:rsid w:val="00DB5C3D"/>
    <w:rsid w:val="00DB660E"/>
    <w:rsid w:val="00DB7AD1"/>
    <w:rsid w:val="00DC1662"/>
    <w:rsid w:val="00DC318D"/>
    <w:rsid w:val="00DC57D9"/>
    <w:rsid w:val="00DC60FE"/>
    <w:rsid w:val="00DC6C36"/>
    <w:rsid w:val="00DC722B"/>
    <w:rsid w:val="00DD0F65"/>
    <w:rsid w:val="00DD1383"/>
    <w:rsid w:val="00DD346A"/>
    <w:rsid w:val="00DD5042"/>
    <w:rsid w:val="00DD5C13"/>
    <w:rsid w:val="00DD5D40"/>
    <w:rsid w:val="00DD64E4"/>
    <w:rsid w:val="00DD67EC"/>
    <w:rsid w:val="00DE0C81"/>
    <w:rsid w:val="00DE3DBB"/>
    <w:rsid w:val="00DE4753"/>
    <w:rsid w:val="00DE4B5E"/>
    <w:rsid w:val="00DE4E18"/>
    <w:rsid w:val="00DE56E4"/>
    <w:rsid w:val="00DF4274"/>
    <w:rsid w:val="00DF52F3"/>
    <w:rsid w:val="00DF5BE1"/>
    <w:rsid w:val="00DF61C6"/>
    <w:rsid w:val="00DF78B7"/>
    <w:rsid w:val="00DF7BF0"/>
    <w:rsid w:val="00E03108"/>
    <w:rsid w:val="00E03E0B"/>
    <w:rsid w:val="00E0485B"/>
    <w:rsid w:val="00E053D7"/>
    <w:rsid w:val="00E06CA4"/>
    <w:rsid w:val="00E06D7B"/>
    <w:rsid w:val="00E10044"/>
    <w:rsid w:val="00E105E5"/>
    <w:rsid w:val="00E109AB"/>
    <w:rsid w:val="00E10ACF"/>
    <w:rsid w:val="00E1222D"/>
    <w:rsid w:val="00E12A8E"/>
    <w:rsid w:val="00E13846"/>
    <w:rsid w:val="00E174B9"/>
    <w:rsid w:val="00E20433"/>
    <w:rsid w:val="00E20A30"/>
    <w:rsid w:val="00E22192"/>
    <w:rsid w:val="00E24D29"/>
    <w:rsid w:val="00E25397"/>
    <w:rsid w:val="00E25CEC"/>
    <w:rsid w:val="00E277E4"/>
    <w:rsid w:val="00E27BDE"/>
    <w:rsid w:val="00E27BF1"/>
    <w:rsid w:val="00E27C04"/>
    <w:rsid w:val="00E30966"/>
    <w:rsid w:val="00E30F2B"/>
    <w:rsid w:val="00E31EBB"/>
    <w:rsid w:val="00E320AA"/>
    <w:rsid w:val="00E35837"/>
    <w:rsid w:val="00E3677C"/>
    <w:rsid w:val="00E37120"/>
    <w:rsid w:val="00E40125"/>
    <w:rsid w:val="00E403A3"/>
    <w:rsid w:val="00E43175"/>
    <w:rsid w:val="00E431F4"/>
    <w:rsid w:val="00E43FFA"/>
    <w:rsid w:val="00E44545"/>
    <w:rsid w:val="00E449BD"/>
    <w:rsid w:val="00E457CA"/>
    <w:rsid w:val="00E47CDB"/>
    <w:rsid w:val="00E51C3B"/>
    <w:rsid w:val="00E55AF3"/>
    <w:rsid w:val="00E56C87"/>
    <w:rsid w:val="00E607EA"/>
    <w:rsid w:val="00E60C62"/>
    <w:rsid w:val="00E6105C"/>
    <w:rsid w:val="00E628FB"/>
    <w:rsid w:val="00E6480F"/>
    <w:rsid w:val="00E64D58"/>
    <w:rsid w:val="00E666AC"/>
    <w:rsid w:val="00E6711B"/>
    <w:rsid w:val="00E6758A"/>
    <w:rsid w:val="00E70549"/>
    <w:rsid w:val="00E71E8E"/>
    <w:rsid w:val="00E7200A"/>
    <w:rsid w:val="00E73FBE"/>
    <w:rsid w:val="00E743DD"/>
    <w:rsid w:val="00E76653"/>
    <w:rsid w:val="00E80DE9"/>
    <w:rsid w:val="00E8496A"/>
    <w:rsid w:val="00E84C09"/>
    <w:rsid w:val="00E84E9E"/>
    <w:rsid w:val="00E86952"/>
    <w:rsid w:val="00E90CF6"/>
    <w:rsid w:val="00E92B52"/>
    <w:rsid w:val="00E93AD4"/>
    <w:rsid w:val="00E95275"/>
    <w:rsid w:val="00E95701"/>
    <w:rsid w:val="00E9592C"/>
    <w:rsid w:val="00E96376"/>
    <w:rsid w:val="00E965CE"/>
    <w:rsid w:val="00E97F3A"/>
    <w:rsid w:val="00EA03DB"/>
    <w:rsid w:val="00EA32E0"/>
    <w:rsid w:val="00EA52B5"/>
    <w:rsid w:val="00EA53B8"/>
    <w:rsid w:val="00EA69CA"/>
    <w:rsid w:val="00EA73D4"/>
    <w:rsid w:val="00EB0708"/>
    <w:rsid w:val="00EB17A7"/>
    <w:rsid w:val="00EB382A"/>
    <w:rsid w:val="00EB425E"/>
    <w:rsid w:val="00EB4A63"/>
    <w:rsid w:val="00EB4C30"/>
    <w:rsid w:val="00EC162D"/>
    <w:rsid w:val="00EC1FF7"/>
    <w:rsid w:val="00EC35EB"/>
    <w:rsid w:val="00EC41EA"/>
    <w:rsid w:val="00EC53A7"/>
    <w:rsid w:val="00EC593C"/>
    <w:rsid w:val="00EC6669"/>
    <w:rsid w:val="00ED044A"/>
    <w:rsid w:val="00ED068A"/>
    <w:rsid w:val="00ED2018"/>
    <w:rsid w:val="00ED304F"/>
    <w:rsid w:val="00ED371C"/>
    <w:rsid w:val="00ED3FB5"/>
    <w:rsid w:val="00ED5915"/>
    <w:rsid w:val="00ED6A57"/>
    <w:rsid w:val="00ED6C39"/>
    <w:rsid w:val="00ED6FE9"/>
    <w:rsid w:val="00ED707A"/>
    <w:rsid w:val="00ED759E"/>
    <w:rsid w:val="00EE0910"/>
    <w:rsid w:val="00EE0E38"/>
    <w:rsid w:val="00EE305B"/>
    <w:rsid w:val="00EE3C1A"/>
    <w:rsid w:val="00EE4B5C"/>
    <w:rsid w:val="00EE5C51"/>
    <w:rsid w:val="00EE7687"/>
    <w:rsid w:val="00EF14BA"/>
    <w:rsid w:val="00EF1BB4"/>
    <w:rsid w:val="00EF1FBE"/>
    <w:rsid w:val="00EF3B9A"/>
    <w:rsid w:val="00EF4194"/>
    <w:rsid w:val="00EF49EA"/>
    <w:rsid w:val="00EF4AC6"/>
    <w:rsid w:val="00EF6C72"/>
    <w:rsid w:val="00EF7616"/>
    <w:rsid w:val="00F03D2B"/>
    <w:rsid w:val="00F0414B"/>
    <w:rsid w:val="00F06ACF"/>
    <w:rsid w:val="00F07912"/>
    <w:rsid w:val="00F07EE8"/>
    <w:rsid w:val="00F10ABB"/>
    <w:rsid w:val="00F1398A"/>
    <w:rsid w:val="00F14340"/>
    <w:rsid w:val="00F16B1A"/>
    <w:rsid w:val="00F172BD"/>
    <w:rsid w:val="00F21DBA"/>
    <w:rsid w:val="00F232F8"/>
    <w:rsid w:val="00F24ABD"/>
    <w:rsid w:val="00F26481"/>
    <w:rsid w:val="00F272AE"/>
    <w:rsid w:val="00F27494"/>
    <w:rsid w:val="00F30460"/>
    <w:rsid w:val="00F3067A"/>
    <w:rsid w:val="00F3111C"/>
    <w:rsid w:val="00F31C00"/>
    <w:rsid w:val="00F34549"/>
    <w:rsid w:val="00F352DF"/>
    <w:rsid w:val="00F35F30"/>
    <w:rsid w:val="00F36AC5"/>
    <w:rsid w:val="00F37524"/>
    <w:rsid w:val="00F37FEE"/>
    <w:rsid w:val="00F41786"/>
    <w:rsid w:val="00F417EF"/>
    <w:rsid w:val="00F41C72"/>
    <w:rsid w:val="00F41D50"/>
    <w:rsid w:val="00F455D9"/>
    <w:rsid w:val="00F472A4"/>
    <w:rsid w:val="00F51CA6"/>
    <w:rsid w:val="00F53538"/>
    <w:rsid w:val="00F536A7"/>
    <w:rsid w:val="00F53C18"/>
    <w:rsid w:val="00F53E0D"/>
    <w:rsid w:val="00F541A3"/>
    <w:rsid w:val="00F552E9"/>
    <w:rsid w:val="00F55947"/>
    <w:rsid w:val="00F567ED"/>
    <w:rsid w:val="00F57978"/>
    <w:rsid w:val="00F603BF"/>
    <w:rsid w:val="00F637B1"/>
    <w:rsid w:val="00F65AF7"/>
    <w:rsid w:val="00F65D56"/>
    <w:rsid w:val="00F66B06"/>
    <w:rsid w:val="00F6702C"/>
    <w:rsid w:val="00F679BC"/>
    <w:rsid w:val="00F704F2"/>
    <w:rsid w:val="00F73052"/>
    <w:rsid w:val="00F732DC"/>
    <w:rsid w:val="00F74924"/>
    <w:rsid w:val="00F75C1F"/>
    <w:rsid w:val="00F75DEC"/>
    <w:rsid w:val="00F81116"/>
    <w:rsid w:val="00F813B8"/>
    <w:rsid w:val="00F8454C"/>
    <w:rsid w:val="00F84974"/>
    <w:rsid w:val="00F859DB"/>
    <w:rsid w:val="00F8722B"/>
    <w:rsid w:val="00F873F1"/>
    <w:rsid w:val="00F87433"/>
    <w:rsid w:val="00F8770A"/>
    <w:rsid w:val="00F87EC2"/>
    <w:rsid w:val="00F900CE"/>
    <w:rsid w:val="00F91DA3"/>
    <w:rsid w:val="00F91DDB"/>
    <w:rsid w:val="00F92708"/>
    <w:rsid w:val="00F93920"/>
    <w:rsid w:val="00F962DF"/>
    <w:rsid w:val="00F96517"/>
    <w:rsid w:val="00F9744B"/>
    <w:rsid w:val="00F97666"/>
    <w:rsid w:val="00FA084B"/>
    <w:rsid w:val="00FA15D0"/>
    <w:rsid w:val="00FA242F"/>
    <w:rsid w:val="00FA3535"/>
    <w:rsid w:val="00FA4C41"/>
    <w:rsid w:val="00FA4CFE"/>
    <w:rsid w:val="00FA50EA"/>
    <w:rsid w:val="00FA5934"/>
    <w:rsid w:val="00FA6065"/>
    <w:rsid w:val="00FB2638"/>
    <w:rsid w:val="00FB3285"/>
    <w:rsid w:val="00FB3B62"/>
    <w:rsid w:val="00FB3D97"/>
    <w:rsid w:val="00FB4051"/>
    <w:rsid w:val="00FB54A3"/>
    <w:rsid w:val="00FB5A7F"/>
    <w:rsid w:val="00FB6457"/>
    <w:rsid w:val="00FB6EF1"/>
    <w:rsid w:val="00FC060A"/>
    <w:rsid w:val="00FC1878"/>
    <w:rsid w:val="00FC2082"/>
    <w:rsid w:val="00FC3F2C"/>
    <w:rsid w:val="00FC46B2"/>
    <w:rsid w:val="00FD0C60"/>
    <w:rsid w:val="00FD0FB4"/>
    <w:rsid w:val="00FD118C"/>
    <w:rsid w:val="00FD1FC7"/>
    <w:rsid w:val="00FD3261"/>
    <w:rsid w:val="00FD3430"/>
    <w:rsid w:val="00FD47E6"/>
    <w:rsid w:val="00FD5187"/>
    <w:rsid w:val="00FD5CAB"/>
    <w:rsid w:val="00FD6075"/>
    <w:rsid w:val="00FD6565"/>
    <w:rsid w:val="00FE09C4"/>
    <w:rsid w:val="00FE2018"/>
    <w:rsid w:val="00FE298C"/>
    <w:rsid w:val="00FE3C75"/>
    <w:rsid w:val="00FE3E8D"/>
    <w:rsid w:val="00FE4328"/>
    <w:rsid w:val="00FE5895"/>
    <w:rsid w:val="00FE5BDE"/>
    <w:rsid w:val="00FE5ED8"/>
    <w:rsid w:val="00FE6717"/>
    <w:rsid w:val="00FE6E00"/>
    <w:rsid w:val="00FE7B1C"/>
    <w:rsid w:val="00FE7D29"/>
    <w:rsid w:val="00FF131C"/>
    <w:rsid w:val="00FF29DD"/>
    <w:rsid w:val="00FF3E5B"/>
    <w:rsid w:val="00FF4EFC"/>
    <w:rsid w:val="00FF566B"/>
    <w:rsid w:val="00FF598E"/>
    <w:rsid w:val="010975C0"/>
    <w:rsid w:val="010F065E"/>
    <w:rsid w:val="012B5576"/>
    <w:rsid w:val="0144210B"/>
    <w:rsid w:val="01461CFF"/>
    <w:rsid w:val="014D6DB0"/>
    <w:rsid w:val="01512B47"/>
    <w:rsid w:val="01541FBE"/>
    <w:rsid w:val="015B3DB8"/>
    <w:rsid w:val="015F2232"/>
    <w:rsid w:val="01AA4669"/>
    <w:rsid w:val="01B42D58"/>
    <w:rsid w:val="01B74707"/>
    <w:rsid w:val="01C55775"/>
    <w:rsid w:val="01CF1907"/>
    <w:rsid w:val="01EF43BB"/>
    <w:rsid w:val="01F0095E"/>
    <w:rsid w:val="01F65F6F"/>
    <w:rsid w:val="02271F96"/>
    <w:rsid w:val="02517FC5"/>
    <w:rsid w:val="02791344"/>
    <w:rsid w:val="027D4F23"/>
    <w:rsid w:val="028D4B54"/>
    <w:rsid w:val="02A9158A"/>
    <w:rsid w:val="02B07904"/>
    <w:rsid w:val="02E610CF"/>
    <w:rsid w:val="02E86F82"/>
    <w:rsid w:val="02F470EC"/>
    <w:rsid w:val="031A3D06"/>
    <w:rsid w:val="032B053F"/>
    <w:rsid w:val="032D1975"/>
    <w:rsid w:val="03786440"/>
    <w:rsid w:val="03871779"/>
    <w:rsid w:val="03B10E0B"/>
    <w:rsid w:val="03BD5122"/>
    <w:rsid w:val="03F602E1"/>
    <w:rsid w:val="03F9457F"/>
    <w:rsid w:val="041901C7"/>
    <w:rsid w:val="04202C76"/>
    <w:rsid w:val="04246559"/>
    <w:rsid w:val="043B3774"/>
    <w:rsid w:val="04492F15"/>
    <w:rsid w:val="04545B11"/>
    <w:rsid w:val="0462590B"/>
    <w:rsid w:val="0480107C"/>
    <w:rsid w:val="048A7137"/>
    <w:rsid w:val="04965593"/>
    <w:rsid w:val="04D00789"/>
    <w:rsid w:val="04F53DF2"/>
    <w:rsid w:val="05145E61"/>
    <w:rsid w:val="05165021"/>
    <w:rsid w:val="051B67DC"/>
    <w:rsid w:val="052F2B3B"/>
    <w:rsid w:val="055F62E0"/>
    <w:rsid w:val="058159C1"/>
    <w:rsid w:val="05EA5110"/>
    <w:rsid w:val="062A342B"/>
    <w:rsid w:val="063F7615"/>
    <w:rsid w:val="065A3F7A"/>
    <w:rsid w:val="06BE67C8"/>
    <w:rsid w:val="0712203B"/>
    <w:rsid w:val="071D753B"/>
    <w:rsid w:val="071F0D1E"/>
    <w:rsid w:val="074E358D"/>
    <w:rsid w:val="075A33B6"/>
    <w:rsid w:val="07690A7C"/>
    <w:rsid w:val="076D4D3B"/>
    <w:rsid w:val="077211C3"/>
    <w:rsid w:val="07730858"/>
    <w:rsid w:val="077E65D3"/>
    <w:rsid w:val="079D330C"/>
    <w:rsid w:val="07AB2622"/>
    <w:rsid w:val="07B809FC"/>
    <w:rsid w:val="07BC69EF"/>
    <w:rsid w:val="07D62EE2"/>
    <w:rsid w:val="07E64A7E"/>
    <w:rsid w:val="07F93EB5"/>
    <w:rsid w:val="08253634"/>
    <w:rsid w:val="08267B1B"/>
    <w:rsid w:val="085C2446"/>
    <w:rsid w:val="0861280D"/>
    <w:rsid w:val="08E80577"/>
    <w:rsid w:val="08EE77B6"/>
    <w:rsid w:val="09565EE1"/>
    <w:rsid w:val="09752680"/>
    <w:rsid w:val="09817806"/>
    <w:rsid w:val="099F25EC"/>
    <w:rsid w:val="09BB7D09"/>
    <w:rsid w:val="09C375AB"/>
    <w:rsid w:val="09C45CB0"/>
    <w:rsid w:val="09D30D2D"/>
    <w:rsid w:val="0A201848"/>
    <w:rsid w:val="0A276D6A"/>
    <w:rsid w:val="0A6067EB"/>
    <w:rsid w:val="0A8A75EA"/>
    <w:rsid w:val="0A9C6C9F"/>
    <w:rsid w:val="0AA16DFC"/>
    <w:rsid w:val="0AAC0A11"/>
    <w:rsid w:val="0AF7560D"/>
    <w:rsid w:val="0AFC0430"/>
    <w:rsid w:val="0B0E5232"/>
    <w:rsid w:val="0B2E5767"/>
    <w:rsid w:val="0B4C3B0C"/>
    <w:rsid w:val="0B537F25"/>
    <w:rsid w:val="0B5F794B"/>
    <w:rsid w:val="0BA322EF"/>
    <w:rsid w:val="0BAA50B0"/>
    <w:rsid w:val="0BCF61D2"/>
    <w:rsid w:val="0BD26275"/>
    <w:rsid w:val="0BF13AE8"/>
    <w:rsid w:val="0C18220C"/>
    <w:rsid w:val="0C20111E"/>
    <w:rsid w:val="0C2A75AA"/>
    <w:rsid w:val="0C99163D"/>
    <w:rsid w:val="0C9F2A56"/>
    <w:rsid w:val="0CCE30DF"/>
    <w:rsid w:val="0CD01CD6"/>
    <w:rsid w:val="0CEA2FBA"/>
    <w:rsid w:val="0CEC47C3"/>
    <w:rsid w:val="0CF03380"/>
    <w:rsid w:val="0D612203"/>
    <w:rsid w:val="0D6E32D3"/>
    <w:rsid w:val="0D845B76"/>
    <w:rsid w:val="0D9C27D2"/>
    <w:rsid w:val="0DBF46CD"/>
    <w:rsid w:val="0DC816AD"/>
    <w:rsid w:val="0DCA70EB"/>
    <w:rsid w:val="0DD04A36"/>
    <w:rsid w:val="0DEA0E63"/>
    <w:rsid w:val="0DED598D"/>
    <w:rsid w:val="0DF37D24"/>
    <w:rsid w:val="0E272EC6"/>
    <w:rsid w:val="0E321DFF"/>
    <w:rsid w:val="0E66622E"/>
    <w:rsid w:val="0E737AC2"/>
    <w:rsid w:val="0E7F4BD9"/>
    <w:rsid w:val="0E922575"/>
    <w:rsid w:val="0EB87857"/>
    <w:rsid w:val="0EBE46BE"/>
    <w:rsid w:val="0EC07BC1"/>
    <w:rsid w:val="0EE95C7A"/>
    <w:rsid w:val="0F2B23B7"/>
    <w:rsid w:val="0F715DF3"/>
    <w:rsid w:val="0FCE127C"/>
    <w:rsid w:val="0FD30983"/>
    <w:rsid w:val="0FEA0469"/>
    <w:rsid w:val="100D6B64"/>
    <w:rsid w:val="103D2996"/>
    <w:rsid w:val="10694963"/>
    <w:rsid w:val="106D0B81"/>
    <w:rsid w:val="106D46EB"/>
    <w:rsid w:val="107D279A"/>
    <w:rsid w:val="10AC7A1C"/>
    <w:rsid w:val="10EF5C6D"/>
    <w:rsid w:val="112C7E60"/>
    <w:rsid w:val="112D573C"/>
    <w:rsid w:val="113C7F55"/>
    <w:rsid w:val="114A1071"/>
    <w:rsid w:val="116F10E9"/>
    <w:rsid w:val="11BA42EA"/>
    <w:rsid w:val="11BB431F"/>
    <w:rsid w:val="11CE0D8A"/>
    <w:rsid w:val="11E60CBB"/>
    <w:rsid w:val="12180BBD"/>
    <w:rsid w:val="122C565F"/>
    <w:rsid w:val="124901E5"/>
    <w:rsid w:val="126B507C"/>
    <w:rsid w:val="12A34CF2"/>
    <w:rsid w:val="12B90746"/>
    <w:rsid w:val="12C61FDA"/>
    <w:rsid w:val="12FA11B0"/>
    <w:rsid w:val="131555DD"/>
    <w:rsid w:val="13172CDE"/>
    <w:rsid w:val="13240A9A"/>
    <w:rsid w:val="13445282"/>
    <w:rsid w:val="13B34CDE"/>
    <w:rsid w:val="13C50412"/>
    <w:rsid w:val="13D16B1B"/>
    <w:rsid w:val="13D973B8"/>
    <w:rsid w:val="13DD17A2"/>
    <w:rsid w:val="14186C14"/>
    <w:rsid w:val="14673812"/>
    <w:rsid w:val="14AE3393"/>
    <w:rsid w:val="14C01E04"/>
    <w:rsid w:val="14CE7D9B"/>
    <w:rsid w:val="14E55858"/>
    <w:rsid w:val="14ED4E02"/>
    <w:rsid w:val="1507380E"/>
    <w:rsid w:val="150C7238"/>
    <w:rsid w:val="1517049A"/>
    <w:rsid w:val="151A11AA"/>
    <w:rsid w:val="15402CD0"/>
    <w:rsid w:val="15550872"/>
    <w:rsid w:val="1555138F"/>
    <w:rsid w:val="158D4F62"/>
    <w:rsid w:val="159C7914"/>
    <w:rsid w:val="159E25EC"/>
    <w:rsid w:val="15B06226"/>
    <w:rsid w:val="15E10335"/>
    <w:rsid w:val="15E24476"/>
    <w:rsid w:val="15EE1801"/>
    <w:rsid w:val="15EF20BC"/>
    <w:rsid w:val="160547D8"/>
    <w:rsid w:val="166459C4"/>
    <w:rsid w:val="16D41672"/>
    <w:rsid w:val="16E43FA6"/>
    <w:rsid w:val="177E044F"/>
    <w:rsid w:val="179E1A67"/>
    <w:rsid w:val="179E44F7"/>
    <w:rsid w:val="17CA3453"/>
    <w:rsid w:val="17D66B04"/>
    <w:rsid w:val="17F52BDC"/>
    <w:rsid w:val="1804620B"/>
    <w:rsid w:val="180F5691"/>
    <w:rsid w:val="182A6406"/>
    <w:rsid w:val="182C4A09"/>
    <w:rsid w:val="18321A27"/>
    <w:rsid w:val="18325084"/>
    <w:rsid w:val="18496DE3"/>
    <w:rsid w:val="189A0F28"/>
    <w:rsid w:val="18B429A4"/>
    <w:rsid w:val="18BC1320"/>
    <w:rsid w:val="18C035AA"/>
    <w:rsid w:val="18ED325F"/>
    <w:rsid w:val="191E6743"/>
    <w:rsid w:val="196562B6"/>
    <w:rsid w:val="19BE01C6"/>
    <w:rsid w:val="19C84512"/>
    <w:rsid w:val="19CB78A5"/>
    <w:rsid w:val="19EB179F"/>
    <w:rsid w:val="1A391B12"/>
    <w:rsid w:val="1A75035E"/>
    <w:rsid w:val="1A7646D5"/>
    <w:rsid w:val="1A8A466E"/>
    <w:rsid w:val="1A8C7244"/>
    <w:rsid w:val="1A961EAB"/>
    <w:rsid w:val="1AB31559"/>
    <w:rsid w:val="1AC645D7"/>
    <w:rsid w:val="1ACE322A"/>
    <w:rsid w:val="1AD954DC"/>
    <w:rsid w:val="1ADF53FE"/>
    <w:rsid w:val="1AF26D42"/>
    <w:rsid w:val="1B0537E4"/>
    <w:rsid w:val="1B1A2203"/>
    <w:rsid w:val="1B5B3701"/>
    <w:rsid w:val="1B7A37A3"/>
    <w:rsid w:val="1B861B9F"/>
    <w:rsid w:val="1B962037"/>
    <w:rsid w:val="1BC4709A"/>
    <w:rsid w:val="1BC761E4"/>
    <w:rsid w:val="1BDB7D85"/>
    <w:rsid w:val="1C70208F"/>
    <w:rsid w:val="1C814FCD"/>
    <w:rsid w:val="1C9B12FC"/>
    <w:rsid w:val="1CAF5072"/>
    <w:rsid w:val="1CC012A2"/>
    <w:rsid w:val="1CE32D75"/>
    <w:rsid w:val="1CED5883"/>
    <w:rsid w:val="1D02423B"/>
    <w:rsid w:val="1D0425AD"/>
    <w:rsid w:val="1D10167D"/>
    <w:rsid w:val="1D133F20"/>
    <w:rsid w:val="1D2F1B6F"/>
    <w:rsid w:val="1D41273D"/>
    <w:rsid w:val="1D74390B"/>
    <w:rsid w:val="1D923E12"/>
    <w:rsid w:val="1DBB260D"/>
    <w:rsid w:val="1DF71892"/>
    <w:rsid w:val="1E1851E2"/>
    <w:rsid w:val="1E1F222A"/>
    <w:rsid w:val="1E206EF9"/>
    <w:rsid w:val="1E3B2383"/>
    <w:rsid w:val="1E9623BB"/>
    <w:rsid w:val="1EAE4199"/>
    <w:rsid w:val="1EB6152A"/>
    <w:rsid w:val="1ECD27CD"/>
    <w:rsid w:val="1EDC2072"/>
    <w:rsid w:val="1EE324BA"/>
    <w:rsid w:val="1F2B6646"/>
    <w:rsid w:val="1F6848CD"/>
    <w:rsid w:val="1F7652AC"/>
    <w:rsid w:val="1F7F2339"/>
    <w:rsid w:val="1F880A4A"/>
    <w:rsid w:val="207F677A"/>
    <w:rsid w:val="20851657"/>
    <w:rsid w:val="208A21A7"/>
    <w:rsid w:val="20A830A0"/>
    <w:rsid w:val="20DE7195"/>
    <w:rsid w:val="20E25C0B"/>
    <w:rsid w:val="20F10C6C"/>
    <w:rsid w:val="20FA7627"/>
    <w:rsid w:val="21893A13"/>
    <w:rsid w:val="21950E51"/>
    <w:rsid w:val="21BC42C0"/>
    <w:rsid w:val="21CC2404"/>
    <w:rsid w:val="21EC1A48"/>
    <w:rsid w:val="220426DC"/>
    <w:rsid w:val="2231107D"/>
    <w:rsid w:val="2243256F"/>
    <w:rsid w:val="22530F91"/>
    <w:rsid w:val="2253695F"/>
    <w:rsid w:val="22566AC2"/>
    <w:rsid w:val="22630C3D"/>
    <w:rsid w:val="228A685E"/>
    <w:rsid w:val="230B4F2D"/>
    <w:rsid w:val="230D27AB"/>
    <w:rsid w:val="232D1C96"/>
    <w:rsid w:val="23331FB3"/>
    <w:rsid w:val="23415D20"/>
    <w:rsid w:val="234B6844"/>
    <w:rsid w:val="23816B89"/>
    <w:rsid w:val="23B1689B"/>
    <w:rsid w:val="23D20FD2"/>
    <w:rsid w:val="2409112F"/>
    <w:rsid w:val="2438296E"/>
    <w:rsid w:val="243F0C4C"/>
    <w:rsid w:val="24984E67"/>
    <w:rsid w:val="24B751AF"/>
    <w:rsid w:val="24BD3555"/>
    <w:rsid w:val="24CA4DE9"/>
    <w:rsid w:val="24EA3120"/>
    <w:rsid w:val="252D4A2D"/>
    <w:rsid w:val="254A3171"/>
    <w:rsid w:val="25533A48"/>
    <w:rsid w:val="25586EC2"/>
    <w:rsid w:val="257D4D79"/>
    <w:rsid w:val="258E1F6F"/>
    <w:rsid w:val="2599753F"/>
    <w:rsid w:val="259C5142"/>
    <w:rsid w:val="25A30350"/>
    <w:rsid w:val="25BB2173"/>
    <w:rsid w:val="25CD5911"/>
    <w:rsid w:val="25D2569F"/>
    <w:rsid w:val="25D71AA3"/>
    <w:rsid w:val="25E813AD"/>
    <w:rsid w:val="2624631F"/>
    <w:rsid w:val="263C21C5"/>
    <w:rsid w:val="2665260C"/>
    <w:rsid w:val="26725A01"/>
    <w:rsid w:val="267B6875"/>
    <w:rsid w:val="269456DA"/>
    <w:rsid w:val="269B1961"/>
    <w:rsid w:val="26AA55BA"/>
    <w:rsid w:val="26DF6B54"/>
    <w:rsid w:val="26E543C0"/>
    <w:rsid w:val="26FE2268"/>
    <w:rsid w:val="271D4636"/>
    <w:rsid w:val="272737A1"/>
    <w:rsid w:val="275E45D7"/>
    <w:rsid w:val="2760793A"/>
    <w:rsid w:val="278C7A09"/>
    <w:rsid w:val="27BD3EC2"/>
    <w:rsid w:val="27CF3DDC"/>
    <w:rsid w:val="28227594"/>
    <w:rsid w:val="2849254A"/>
    <w:rsid w:val="284F6A4B"/>
    <w:rsid w:val="2863398B"/>
    <w:rsid w:val="28906E4D"/>
    <w:rsid w:val="28991793"/>
    <w:rsid w:val="28C46086"/>
    <w:rsid w:val="28DC58A3"/>
    <w:rsid w:val="28E8463F"/>
    <w:rsid w:val="29315FA2"/>
    <w:rsid w:val="29485105"/>
    <w:rsid w:val="294D63C2"/>
    <w:rsid w:val="296942C4"/>
    <w:rsid w:val="297600F5"/>
    <w:rsid w:val="298F14ED"/>
    <w:rsid w:val="29A36254"/>
    <w:rsid w:val="29AE6BF1"/>
    <w:rsid w:val="29C42F93"/>
    <w:rsid w:val="29C55C6E"/>
    <w:rsid w:val="29ED264E"/>
    <w:rsid w:val="2A036897"/>
    <w:rsid w:val="2A27245E"/>
    <w:rsid w:val="2A2804CC"/>
    <w:rsid w:val="2A2C74BF"/>
    <w:rsid w:val="2A3111DB"/>
    <w:rsid w:val="2A4C072D"/>
    <w:rsid w:val="2A6B02A8"/>
    <w:rsid w:val="2A7A1EB8"/>
    <w:rsid w:val="2AAF23C1"/>
    <w:rsid w:val="2AB84B24"/>
    <w:rsid w:val="2ACF2C9E"/>
    <w:rsid w:val="2B340852"/>
    <w:rsid w:val="2B521ED4"/>
    <w:rsid w:val="2B5327A4"/>
    <w:rsid w:val="2B5E1BC5"/>
    <w:rsid w:val="2B816381"/>
    <w:rsid w:val="2B95320E"/>
    <w:rsid w:val="2BA30AA8"/>
    <w:rsid w:val="2BAB3153"/>
    <w:rsid w:val="2BB91C85"/>
    <w:rsid w:val="2BC5719F"/>
    <w:rsid w:val="2BD20EA0"/>
    <w:rsid w:val="2BD43FF7"/>
    <w:rsid w:val="2C09199A"/>
    <w:rsid w:val="2C12605B"/>
    <w:rsid w:val="2C3D0264"/>
    <w:rsid w:val="2C4B5AD3"/>
    <w:rsid w:val="2C4E361C"/>
    <w:rsid w:val="2C801F12"/>
    <w:rsid w:val="2CAC20FF"/>
    <w:rsid w:val="2CC54350"/>
    <w:rsid w:val="2CD30AEF"/>
    <w:rsid w:val="2D0F2E16"/>
    <w:rsid w:val="2D2C55B9"/>
    <w:rsid w:val="2D401327"/>
    <w:rsid w:val="2D596B22"/>
    <w:rsid w:val="2D946557"/>
    <w:rsid w:val="2DC3793C"/>
    <w:rsid w:val="2DD64A42"/>
    <w:rsid w:val="2E315792"/>
    <w:rsid w:val="2E3565B9"/>
    <w:rsid w:val="2E3E316C"/>
    <w:rsid w:val="2E4E4C86"/>
    <w:rsid w:val="2E5B73FA"/>
    <w:rsid w:val="2E5E5C8D"/>
    <w:rsid w:val="2E616BA4"/>
    <w:rsid w:val="2E7128A8"/>
    <w:rsid w:val="2EA62477"/>
    <w:rsid w:val="2EB2312B"/>
    <w:rsid w:val="2EF75CEC"/>
    <w:rsid w:val="2F0860B8"/>
    <w:rsid w:val="2F1808D1"/>
    <w:rsid w:val="2F22772C"/>
    <w:rsid w:val="2F5A25BC"/>
    <w:rsid w:val="2F6C2F2A"/>
    <w:rsid w:val="2F6F48BF"/>
    <w:rsid w:val="2FA417BA"/>
    <w:rsid w:val="2FAE4D2E"/>
    <w:rsid w:val="2FC70089"/>
    <w:rsid w:val="2FD46A86"/>
    <w:rsid w:val="2FEF2B33"/>
    <w:rsid w:val="3040066B"/>
    <w:rsid w:val="304A0163"/>
    <w:rsid w:val="30661878"/>
    <w:rsid w:val="307661A9"/>
    <w:rsid w:val="307B5F9A"/>
    <w:rsid w:val="308D5EB4"/>
    <w:rsid w:val="30BD2B49"/>
    <w:rsid w:val="30C92203"/>
    <w:rsid w:val="30CC15D2"/>
    <w:rsid w:val="30DD12C5"/>
    <w:rsid w:val="312B4A06"/>
    <w:rsid w:val="31393DEA"/>
    <w:rsid w:val="314F2DE4"/>
    <w:rsid w:val="31583505"/>
    <w:rsid w:val="315C675B"/>
    <w:rsid w:val="316019EB"/>
    <w:rsid w:val="31AE489E"/>
    <w:rsid w:val="31B0721A"/>
    <w:rsid w:val="31CE7B45"/>
    <w:rsid w:val="31F476C7"/>
    <w:rsid w:val="32034D8B"/>
    <w:rsid w:val="323B033A"/>
    <w:rsid w:val="32412AF8"/>
    <w:rsid w:val="32770E90"/>
    <w:rsid w:val="32785E1E"/>
    <w:rsid w:val="32AE4256"/>
    <w:rsid w:val="32B716C4"/>
    <w:rsid w:val="32D64AF4"/>
    <w:rsid w:val="32F25099"/>
    <w:rsid w:val="331D4930"/>
    <w:rsid w:val="3331391E"/>
    <w:rsid w:val="3340063C"/>
    <w:rsid w:val="335839A9"/>
    <w:rsid w:val="336C243E"/>
    <w:rsid w:val="33B37F5E"/>
    <w:rsid w:val="33B4057B"/>
    <w:rsid w:val="33B75467"/>
    <w:rsid w:val="33C2127A"/>
    <w:rsid w:val="33C40EFA"/>
    <w:rsid w:val="33D0278E"/>
    <w:rsid w:val="33DA5611"/>
    <w:rsid w:val="3423624A"/>
    <w:rsid w:val="34416CC8"/>
    <w:rsid w:val="344E1C6F"/>
    <w:rsid w:val="346D5E8F"/>
    <w:rsid w:val="348813DB"/>
    <w:rsid w:val="34B0567F"/>
    <w:rsid w:val="34CC58CF"/>
    <w:rsid w:val="34ED54E4"/>
    <w:rsid w:val="34FD41FB"/>
    <w:rsid w:val="353E78F7"/>
    <w:rsid w:val="3541716C"/>
    <w:rsid w:val="35545C28"/>
    <w:rsid w:val="355E24B6"/>
    <w:rsid w:val="359901F3"/>
    <w:rsid w:val="35C12F3E"/>
    <w:rsid w:val="35C81C87"/>
    <w:rsid w:val="35C90378"/>
    <w:rsid w:val="35D15757"/>
    <w:rsid w:val="35F90E99"/>
    <w:rsid w:val="360176FC"/>
    <w:rsid w:val="362D5E70"/>
    <w:rsid w:val="3655598B"/>
    <w:rsid w:val="36612E47"/>
    <w:rsid w:val="367F23F7"/>
    <w:rsid w:val="36BC19F9"/>
    <w:rsid w:val="36C30370"/>
    <w:rsid w:val="36E10D03"/>
    <w:rsid w:val="36EB0A48"/>
    <w:rsid w:val="3730221B"/>
    <w:rsid w:val="373E2316"/>
    <w:rsid w:val="379D4DCD"/>
    <w:rsid w:val="37DA492C"/>
    <w:rsid w:val="381C311D"/>
    <w:rsid w:val="384F14DA"/>
    <w:rsid w:val="38697999"/>
    <w:rsid w:val="386F006C"/>
    <w:rsid w:val="387E40BB"/>
    <w:rsid w:val="38C757B4"/>
    <w:rsid w:val="38CB53E0"/>
    <w:rsid w:val="38D724D2"/>
    <w:rsid w:val="38EB04BF"/>
    <w:rsid w:val="39022116"/>
    <w:rsid w:val="390C4350"/>
    <w:rsid w:val="392A7ABF"/>
    <w:rsid w:val="39446ED7"/>
    <w:rsid w:val="397336CF"/>
    <w:rsid w:val="39B25D9A"/>
    <w:rsid w:val="39B52179"/>
    <w:rsid w:val="39BC7C93"/>
    <w:rsid w:val="3A296DD0"/>
    <w:rsid w:val="3A577E3C"/>
    <w:rsid w:val="3A756774"/>
    <w:rsid w:val="3AC11826"/>
    <w:rsid w:val="3ACD357A"/>
    <w:rsid w:val="3AE138A5"/>
    <w:rsid w:val="3AF171C5"/>
    <w:rsid w:val="3AF81F10"/>
    <w:rsid w:val="3B111E76"/>
    <w:rsid w:val="3B1D05A2"/>
    <w:rsid w:val="3B3A5638"/>
    <w:rsid w:val="3B5925C2"/>
    <w:rsid w:val="3B6E3B56"/>
    <w:rsid w:val="3B8A04BB"/>
    <w:rsid w:val="3BA57F6A"/>
    <w:rsid w:val="3BA932EE"/>
    <w:rsid w:val="3C003173"/>
    <w:rsid w:val="3C087025"/>
    <w:rsid w:val="3C1546D6"/>
    <w:rsid w:val="3C1A0F3A"/>
    <w:rsid w:val="3C1B4033"/>
    <w:rsid w:val="3C8D24F7"/>
    <w:rsid w:val="3CB4304F"/>
    <w:rsid w:val="3D037E66"/>
    <w:rsid w:val="3D114E3F"/>
    <w:rsid w:val="3D276DB6"/>
    <w:rsid w:val="3D4C2750"/>
    <w:rsid w:val="3D5F4F3E"/>
    <w:rsid w:val="3D6A5187"/>
    <w:rsid w:val="3DAE44B7"/>
    <w:rsid w:val="3E0953D7"/>
    <w:rsid w:val="3E3D30AC"/>
    <w:rsid w:val="3E435D78"/>
    <w:rsid w:val="3E8E5630"/>
    <w:rsid w:val="3EB01BC5"/>
    <w:rsid w:val="3EB30649"/>
    <w:rsid w:val="3EBE33A9"/>
    <w:rsid w:val="3EC5358C"/>
    <w:rsid w:val="3EC57D08"/>
    <w:rsid w:val="3ED766F7"/>
    <w:rsid w:val="3EFC23E1"/>
    <w:rsid w:val="3F114042"/>
    <w:rsid w:val="3F375832"/>
    <w:rsid w:val="3F554FDB"/>
    <w:rsid w:val="3F710D82"/>
    <w:rsid w:val="3F7E1D11"/>
    <w:rsid w:val="3FD26C72"/>
    <w:rsid w:val="4001103D"/>
    <w:rsid w:val="40197335"/>
    <w:rsid w:val="401E4633"/>
    <w:rsid w:val="40505291"/>
    <w:rsid w:val="406707B8"/>
    <w:rsid w:val="40C27B4E"/>
    <w:rsid w:val="40CA1FA4"/>
    <w:rsid w:val="40F2743C"/>
    <w:rsid w:val="413C3E5F"/>
    <w:rsid w:val="41510BF7"/>
    <w:rsid w:val="41585AC3"/>
    <w:rsid w:val="417942FA"/>
    <w:rsid w:val="4199652C"/>
    <w:rsid w:val="41B8522F"/>
    <w:rsid w:val="41C0099D"/>
    <w:rsid w:val="41D75D6D"/>
    <w:rsid w:val="41D83540"/>
    <w:rsid w:val="41D92F17"/>
    <w:rsid w:val="41F33388"/>
    <w:rsid w:val="41F54312"/>
    <w:rsid w:val="421B4028"/>
    <w:rsid w:val="42332EA8"/>
    <w:rsid w:val="423441AD"/>
    <w:rsid w:val="424D59EF"/>
    <w:rsid w:val="4253693E"/>
    <w:rsid w:val="42585666"/>
    <w:rsid w:val="4259696B"/>
    <w:rsid w:val="427B5EEE"/>
    <w:rsid w:val="42A82305"/>
    <w:rsid w:val="42AF6DC9"/>
    <w:rsid w:val="42B633F8"/>
    <w:rsid w:val="42F332E6"/>
    <w:rsid w:val="43267BF2"/>
    <w:rsid w:val="43284445"/>
    <w:rsid w:val="436832A5"/>
    <w:rsid w:val="43690D26"/>
    <w:rsid w:val="436B35E9"/>
    <w:rsid w:val="43775ABD"/>
    <w:rsid w:val="43971EFE"/>
    <w:rsid w:val="43AA19CB"/>
    <w:rsid w:val="43C232B2"/>
    <w:rsid w:val="43EB6AAF"/>
    <w:rsid w:val="43EC5A7C"/>
    <w:rsid w:val="43F20B28"/>
    <w:rsid w:val="441321C3"/>
    <w:rsid w:val="443F7933"/>
    <w:rsid w:val="44501024"/>
    <w:rsid w:val="445F2119"/>
    <w:rsid w:val="44810F88"/>
    <w:rsid w:val="448762B8"/>
    <w:rsid w:val="449C7E1E"/>
    <w:rsid w:val="44D57D67"/>
    <w:rsid w:val="44E8074A"/>
    <w:rsid w:val="44EF1DBD"/>
    <w:rsid w:val="44F65954"/>
    <w:rsid w:val="450C5CCB"/>
    <w:rsid w:val="453C66A3"/>
    <w:rsid w:val="455240CA"/>
    <w:rsid w:val="45530905"/>
    <w:rsid w:val="45913FC1"/>
    <w:rsid w:val="45924248"/>
    <w:rsid w:val="459427D2"/>
    <w:rsid w:val="45EB21DA"/>
    <w:rsid w:val="45F91A65"/>
    <w:rsid w:val="46521A6E"/>
    <w:rsid w:val="46627EC0"/>
    <w:rsid w:val="4666070F"/>
    <w:rsid w:val="468F4CB5"/>
    <w:rsid w:val="46905CD0"/>
    <w:rsid w:val="469C2DE7"/>
    <w:rsid w:val="46CD35B6"/>
    <w:rsid w:val="46D42F41"/>
    <w:rsid w:val="46DA5215"/>
    <w:rsid w:val="46F15F47"/>
    <w:rsid w:val="4700508A"/>
    <w:rsid w:val="4701450D"/>
    <w:rsid w:val="47017A9E"/>
    <w:rsid w:val="473345DF"/>
    <w:rsid w:val="477574F4"/>
    <w:rsid w:val="47852732"/>
    <w:rsid w:val="47A64207"/>
    <w:rsid w:val="47BB5932"/>
    <w:rsid w:val="47BE6742"/>
    <w:rsid w:val="47D01EDF"/>
    <w:rsid w:val="48015F32"/>
    <w:rsid w:val="4823002C"/>
    <w:rsid w:val="48242D2A"/>
    <w:rsid w:val="48273A70"/>
    <w:rsid w:val="48405A16"/>
    <w:rsid w:val="485324B9"/>
    <w:rsid w:val="4858436A"/>
    <w:rsid w:val="48792298"/>
    <w:rsid w:val="4888388C"/>
    <w:rsid w:val="489562D5"/>
    <w:rsid w:val="48A765F7"/>
    <w:rsid w:val="48B27625"/>
    <w:rsid w:val="48C92533"/>
    <w:rsid w:val="48D50743"/>
    <w:rsid w:val="48FE5476"/>
    <w:rsid w:val="490544DA"/>
    <w:rsid w:val="4947500C"/>
    <w:rsid w:val="496941FF"/>
    <w:rsid w:val="49795606"/>
    <w:rsid w:val="49930346"/>
    <w:rsid w:val="49CF0D65"/>
    <w:rsid w:val="49ED225A"/>
    <w:rsid w:val="4A014D0E"/>
    <w:rsid w:val="4A18309E"/>
    <w:rsid w:val="4A1E25C8"/>
    <w:rsid w:val="4A284FC9"/>
    <w:rsid w:val="4A5F5A11"/>
    <w:rsid w:val="4A64791A"/>
    <w:rsid w:val="4A6A1D03"/>
    <w:rsid w:val="4A8401CF"/>
    <w:rsid w:val="4A86317F"/>
    <w:rsid w:val="4A914CD6"/>
    <w:rsid w:val="4AE75202"/>
    <w:rsid w:val="4AEC1636"/>
    <w:rsid w:val="4AF3620C"/>
    <w:rsid w:val="4AFC321E"/>
    <w:rsid w:val="4B031788"/>
    <w:rsid w:val="4B275459"/>
    <w:rsid w:val="4B2A746F"/>
    <w:rsid w:val="4B39475F"/>
    <w:rsid w:val="4B5301AA"/>
    <w:rsid w:val="4B5E39A1"/>
    <w:rsid w:val="4B6B4C49"/>
    <w:rsid w:val="4B7A4B1E"/>
    <w:rsid w:val="4BD2780B"/>
    <w:rsid w:val="4BD53617"/>
    <w:rsid w:val="4C051368"/>
    <w:rsid w:val="4C59356E"/>
    <w:rsid w:val="4C703EE7"/>
    <w:rsid w:val="4C7230CC"/>
    <w:rsid w:val="4C7E5A0B"/>
    <w:rsid w:val="4CFA19D5"/>
    <w:rsid w:val="4D102D7B"/>
    <w:rsid w:val="4D2E7DAD"/>
    <w:rsid w:val="4D3D19FE"/>
    <w:rsid w:val="4D4A2EBC"/>
    <w:rsid w:val="4DB748FC"/>
    <w:rsid w:val="4DBD0916"/>
    <w:rsid w:val="4DFE2A04"/>
    <w:rsid w:val="4E04490D"/>
    <w:rsid w:val="4E081B73"/>
    <w:rsid w:val="4E202BB9"/>
    <w:rsid w:val="4E5E5191"/>
    <w:rsid w:val="4E6B396A"/>
    <w:rsid w:val="4E776E4B"/>
    <w:rsid w:val="4F285331"/>
    <w:rsid w:val="4F5145AF"/>
    <w:rsid w:val="4FA01DB0"/>
    <w:rsid w:val="4FB5716D"/>
    <w:rsid w:val="4FD07E49"/>
    <w:rsid w:val="4FDE35F2"/>
    <w:rsid w:val="4FE647A7"/>
    <w:rsid w:val="4FF80240"/>
    <w:rsid w:val="50112961"/>
    <w:rsid w:val="50244588"/>
    <w:rsid w:val="50322C82"/>
    <w:rsid w:val="504B0C47"/>
    <w:rsid w:val="5092043F"/>
    <w:rsid w:val="50A430ED"/>
    <w:rsid w:val="50BF6362"/>
    <w:rsid w:val="50CF55B5"/>
    <w:rsid w:val="50EB37AB"/>
    <w:rsid w:val="50EF3715"/>
    <w:rsid w:val="50F25EDA"/>
    <w:rsid w:val="50F54A0B"/>
    <w:rsid w:val="51290F5F"/>
    <w:rsid w:val="519B498E"/>
    <w:rsid w:val="51AA3B42"/>
    <w:rsid w:val="51DE6BE8"/>
    <w:rsid w:val="51E85A58"/>
    <w:rsid w:val="51EB04F5"/>
    <w:rsid w:val="51F91CC0"/>
    <w:rsid w:val="520B5CA2"/>
    <w:rsid w:val="520D447F"/>
    <w:rsid w:val="52214827"/>
    <w:rsid w:val="5249428D"/>
    <w:rsid w:val="527D59E1"/>
    <w:rsid w:val="529358E1"/>
    <w:rsid w:val="529F793B"/>
    <w:rsid w:val="52A45FAE"/>
    <w:rsid w:val="52BF0235"/>
    <w:rsid w:val="52D64DA4"/>
    <w:rsid w:val="53003D4E"/>
    <w:rsid w:val="536F5D28"/>
    <w:rsid w:val="53781EAD"/>
    <w:rsid w:val="5382528E"/>
    <w:rsid w:val="53B119FC"/>
    <w:rsid w:val="53DB4A23"/>
    <w:rsid w:val="53E0692D"/>
    <w:rsid w:val="53EE150F"/>
    <w:rsid w:val="540B54F6"/>
    <w:rsid w:val="54124B55"/>
    <w:rsid w:val="54365695"/>
    <w:rsid w:val="5443534C"/>
    <w:rsid w:val="54482184"/>
    <w:rsid w:val="54754E08"/>
    <w:rsid w:val="548A689C"/>
    <w:rsid w:val="549244E4"/>
    <w:rsid w:val="549A521A"/>
    <w:rsid w:val="54A65E4D"/>
    <w:rsid w:val="54AE2669"/>
    <w:rsid w:val="54B074EF"/>
    <w:rsid w:val="54C66D80"/>
    <w:rsid w:val="54D21917"/>
    <w:rsid w:val="54D53F5C"/>
    <w:rsid w:val="54F93B76"/>
    <w:rsid w:val="55002BC8"/>
    <w:rsid w:val="55094D31"/>
    <w:rsid w:val="553F3085"/>
    <w:rsid w:val="557C634E"/>
    <w:rsid w:val="55807DDA"/>
    <w:rsid w:val="558F0296"/>
    <w:rsid w:val="55B31C34"/>
    <w:rsid w:val="55BF1B95"/>
    <w:rsid w:val="55C13EC6"/>
    <w:rsid w:val="55E05AFD"/>
    <w:rsid w:val="55F11B90"/>
    <w:rsid w:val="560562B5"/>
    <w:rsid w:val="56215BE8"/>
    <w:rsid w:val="562E4795"/>
    <w:rsid w:val="56617795"/>
    <w:rsid w:val="567C24AC"/>
    <w:rsid w:val="56972170"/>
    <w:rsid w:val="56B068A7"/>
    <w:rsid w:val="56D424BF"/>
    <w:rsid w:val="56D50FF7"/>
    <w:rsid w:val="56D8660A"/>
    <w:rsid w:val="56EC5132"/>
    <w:rsid w:val="572C33B6"/>
    <w:rsid w:val="5739301F"/>
    <w:rsid w:val="575E42E5"/>
    <w:rsid w:val="57975717"/>
    <w:rsid w:val="579B1953"/>
    <w:rsid w:val="57E72358"/>
    <w:rsid w:val="580637F9"/>
    <w:rsid w:val="580A08A2"/>
    <w:rsid w:val="58343AE4"/>
    <w:rsid w:val="583C157B"/>
    <w:rsid w:val="583F70B2"/>
    <w:rsid w:val="587363AB"/>
    <w:rsid w:val="5883147D"/>
    <w:rsid w:val="588D34E2"/>
    <w:rsid w:val="58AD2A69"/>
    <w:rsid w:val="58B962E0"/>
    <w:rsid w:val="58E83DEC"/>
    <w:rsid w:val="58EC4414"/>
    <w:rsid w:val="5905591A"/>
    <w:rsid w:val="59070E1D"/>
    <w:rsid w:val="590D4712"/>
    <w:rsid w:val="59342A86"/>
    <w:rsid w:val="595A6E88"/>
    <w:rsid w:val="59B24171"/>
    <w:rsid w:val="59F0343E"/>
    <w:rsid w:val="59F418F9"/>
    <w:rsid w:val="59FC3063"/>
    <w:rsid w:val="5A165757"/>
    <w:rsid w:val="5A3C3419"/>
    <w:rsid w:val="5A4155DA"/>
    <w:rsid w:val="5A4A5FB2"/>
    <w:rsid w:val="5A6A3028"/>
    <w:rsid w:val="5AA52CCE"/>
    <w:rsid w:val="5B122177"/>
    <w:rsid w:val="5B14567A"/>
    <w:rsid w:val="5B445446"/>
    <w:rsid w:val="5B482651"/>
    <w:rsid w:val="5B4A3C62"/>
    <w:rsid w:val="5B5F0C55"/>
    <w:rsid w:val="5B895BE1"/>
    <w:rsid w:val="5BA60FB9"/>
    <w:rsid w:val="5BDD0946"/>
    <w:rsid w:val="5C467B7E"/>
    <w:rsid w:val="5C556196"/>
    <w:rsid w:val="5C80167E"/>
    <w:rsid w:val="5C9A627F"/>
    <w:rsid w:val="5CA1158E"/>
    <w:rsid w:val="5CC17987"/>
    <w:rsid w:val="5CC62DF7"/>
    <w:rsid w:val="5CF6738A"/>
    <w:rsid w:val="5D024EA6"/>
    <w:rsid w:val="5D21407E"/>
    <w:rsid w:val="5D406F09"/>
    <w:rsid w:val="5D8E01B8"/>
    <w:rsid w:val="5D9E05A7"/>
    <w:rsid w:val="5DC51912"/>
    <w:rsid w:val="5DE91CF1"/>
    <w:rsid w:val="5E032372"/>
    <w:rsid w:val="5E1D4DC1"/>
    <w:rsid w:val="5E3C43B8"/>
    <w:rsid w:val="5E3C5447"/>
    <w:rsid w:val="5E413634"/>
    <w:rsid w:val="5E420CB8"/>
    <w:rsid w:val="5E5B1606"/>
    <w:rsid w:val="5E784023"/>
    <w:rsid w:val="5E7E61C6"/>
    <w:rsid w:val="5E880EDD"/>
    <w:rsid w:val="5E8E7EB0"/>
    <w:rsid w:val="5EAD0764"/>
    <w:rsid w:val="5EBE3525"/>
    <w:rsid w:val="5ECF00BA"/>
    <w:rsid w:val="5ED2189E"/>
    <w:rsid w:val="5F224990"/>
    <w:rsid w:val="5F2500C9"/>
    <w:rsid w:val="5F3054BA"/>
    <w:rsid w:val="5F451BDC"/>
    <w:rsid w:val="5F5B5A9D"/>
    <w:rsid w:val="5F6F0EEB"/>
    <w:rsid w:val="600E3824"/>
    <w:rsid w:val="601B7A89"/>
    <w:rsid w:val="602437C9"/>
    <w:rsid w:val="60335FE2"/>
    <w:rsid w:val="60407126"/>
    <w:rsid w:val="605C284C"/>
    <w:rsid w:val="606742A0"/>
    <w:rsid w:val="60923DFD"/>
    <w:rsid w:val="60942206"/>
    <w:rsid w:val="60991209"/>
    <w:rsid w:val="615A36FE"/>
    <w:rsid w:val="615C471A"/>
    <w:rsid w:val="6160688D"/>
    <w:rsid w:val="619F2CB5"/>
    <w:rsid w:val="61D9461A"/>
    <w:rsid w:val="61DC624D"/>
    <w:rsid w:val="62015AB9"/>
    <w:rsid w:val="62A0195F"/>
    <w:rsid w:val="62A94AB8"/>
    <w:rsid w:val="62B91A60"/>
    <w:rsid w:val="62BF5C26"/>
    <w:rsid w:val="62C55F96"/>
    <w:rsid w:val="62EA3309"/>
    <w:rsid w:val="62F435E7"/>
    <w:rsid w:val="630F1599"/>
    <w:rsid w:val="6332564A"/>
    <w:rsid w:val="63375202"/>
    <w:rsid w:val="636D0983"/>
    <w:rsid w:val="63967040"/>
    <w:rsid w:val="639828BD"/>
    <w:rsid w:val="63DA6DF5"/>
    <w:rsid w:val="64520E19"/>
    <w:rsid w:val="648727D1"/>
    <w:rsid w:val="64D50279"/>
    <w:rsid w:val="650C472A"/>
    <w:rsid w:val="653800BF"/>
    <w:rsid w:val="654F59C5"/>
    <w:rsid w:val="655C4B1D"/>
    <w:rsid w:val="657B428A"/>
    <w:rsid w:val="659605F8"/>
    <w:rsid w:val="65F51A12"/>
    <w:rsid w:val="6625302A"/>
    <w:rsid w:val="66AD0853"/>
    <w:rsid w:val="66D953FE"/>
    <w:rsid w:val="66EE416C"/>
    <w:rsid w:val="6701001D"/>
    <w:rsid w:val="670120E1"/>
    <w:rsid w:val="67147CAA"/>
    <w:rsid w:val="673F05F2"/>
    <w:rsid w:val="673F74EC"/>
    <w:rsid w:val="6775441F"/>
    <w:rsid w:val="67B63BB5"/>
    <w:rsid w:val="67BF40C1"/>
    <w:rsid w:val="67E433FF"/>
    <w:rsid w:val="67FA55A3"/>
    <w:rsid w:val="67FC734A"/>
    <w:rsid w:val="68202807"/>
    <w:rsid w:val="68290671"/>
    <w:rsid w:val="683753DD"/>
    <w:rsid w:val="68503DB3"/>
    <w:rsid w:val="686D2BCC"/>
    <w:rsid w:val="68723A04"/>
    <w:rsid w:val="68966FD2"/>
    <w:rsid w:val="68A4383E"/>
    <w:rsid w:val="68C12CEA"/>
    <w:rsid w:val="68DF6B1A"/>
    <w:rsid w:val="690B3F4D"/>
    <w:rsid w:val="690C5F7E"/>
    <w:rsid w:val="691977DC"/>
    <w:rsid w:val="69231F5F"/>
    <w:rsid w:val="693F115B"/>
    <w:rsid w:val="69405ACF"/>
    <w:rsid w:val="694B6E24"/>
    <w:rsid w:val="69863E30"/>
    <w:rsid w:val="69981B4C"/>
    <w:rsid w:val="699A504F"/>
    <w:rsid w:val="69B3510A"/>
    <w:rsid w:val="69B61112"/>
    <w:rsid w:val="69B75EB1"/>
    <w:rsid w:val="6A010A43"/>
    <w:rsid w:val="6A151116"/>
    <w:rsid w:val="6A2D2FC4"/>
    <w:rsid w:val="6A33246C"/>
    <w:rsid w:val="6A47646D"/>
    <w:rsid w:val="6A4D1E0E"/>
    <w:rsid w:val="6A5E32D4"/>
    <w:rsid w:val="6A7E0B45"/>
    <w:rsid w:val="6A847402"/>
    <w:rsid w:val="6A9B2674"/>
    <w:rsid w:val="6AAB447F"/>
    <w:rsid w:val="6AD12B4E"/>
    <w:rsid w:val="6AD22B90"/>
    <w:rsid w:val="6ADD4223"/>
    <w:rsid w:val="6AE629AE"/>
    <w:rsid w:val="6AF9097B"/>
    <w:rsid w:val="6B081C9C"/>
    <w:rsid w:val="6B1C75FE"/>
    <w:rsid w:val="6B697849"/>
    <w:rsid w:val="6B6B2D4C"/>
    <w:rsid w:val="6B6E044D"/>
    <w:rsid w:val="6B7556AA"/>
    <w:rsid w:val="6B7A5565"/>
    <w:rsid w:val="6B805220"/>
    <w:rsid w:val="6BB379BF"/>
    <w:rsid w:val="6BB41306"/>
    <w:rsid w:val="6BEE1633"/>
    <w:rsid w:val="6BFE5E3C"/>
    <w:rsid w:val="6C0F21D5"/>
    <w:rsid w:val="6C1156D8"/>
    <w:rsid w:val="6C177D6F"/>
    <w:rsid w:val="6C2E2A8A"/>
    <w:rsid w:val="6C390E1B"/>
    <w:rsid w:val="6C571B2E"/>
    <w:rsid w:val="6C8C0F81"/>
    <w:rsid w:val="6CA01E9F"/>
    <w:rsid w:val="6CCB2AC6"/>
    <w:rsid w:val="6CDB6426"/>
    <w:rsid w:val="6D136580"/>
    <w:rsid w:val="6D1B4947"/>
    <w:rsid w:val="6D257BC3"/>
    <w:rsid w:val="6D3712D4"/>
    <w:rsid w:val="6D3867BF"/>
    <w:rsid w:val="6D4312CD"/>
    <w:rsid w:val="6D5D2F22"/>
    <w:rsid w:val="6D6331E3"/>
    <w:rsid w:val="6D6E2C43"/>
    <w:rsid w:val="6D913CE4"/>
    <w:rsid w:val="6DB77B40"/>
    <w:rsid w:val="6DD91AF0"/>
    <w:rsid w:val="6E0F5221"/>
    <w:rsid w:val="6EDD3D30"/>
    <w:rsid w:val="6EEA35F2"/>
    <w:rsid w:val="6EF46C87"/>
    <w:rsid w:val="6EFA4222"/>
    <w:rsid w:val="6F134DCC"/>
    <w:rsid w:val="6F252AE8"/>
    <w:rsid w:val="6F6C4488"/>
    <w:rsid w:val="6F896F89"/>
    <w:rsid w:val="6F975C22"/>
    <w:rsid w:val="6FA330AC"/>
    <w:rsid w:val="6FA651CB"/>
    <w:rsid w:val="6FBE7C4A"/>
    <w:rsid w:val="6FCE7DD5"/>
    <w:rsid w:val="6FDC7CA3"/>
    <w:rsid w:val="6FDF5799"/>
    <w:rsid w:val="6FFF244B"/>
    <w:rsid w:val="70185F2A"/>
    <w:rsid w:val="703919C0"/>
    <w:rsid w:val="704C034C"/>
    <w:rsid w:val="705E49F2"/>
    <w:rsid w:val="705F3769"/>
    <w:rsid w:val="7073655A"/>
    <w:rsid w:val="70780A88"/>
    <w:rsid w:val="70C21F79"/>
    <w:rsid w:val="71254D49"/>
    <w:rsid w:val="71450563"/>
    <w:rsid w:val="715C7866"/>
    <w:rsid w:val="716D72C9"/>
    <w:rsid w:val="718A2929"/>
    <w:rsid w:val="71BD1825"/>
    <w:rsid w:val="71BE083F"/>
    <w:rsid w:val="71D50025"/>
    <w:rsid w:val="71F95A89"/>
    <w:rsid w:val="72053A88"/>
    <w:rsid w:val="72154457"/>
    <w:rsid w:val="72395D09"/>
    <w:rsid w:val="725A4828"/>
    <w:rsid w:val="72667679"/>
    <w:rsid w:val="727453D2"/>
    <w:rsid w:val="727C6062"/>
    <w:rsid w:val="72970F7C"/>
    <w:rsid w:val="72A53185"/>
    <w:rsid w:val="72E04F19"/>
    <w:rsid w:val="72E21289"/>
    <w:rsid w:val="72E47E29"/>
    <w:rsid w:val="73750753"/>
    <w:rsid w:val="7383742A"/>
    <w:rsid w:val="73950D2D"/>
    <w:rsid w:val="73A02941"/>
    <w:rsid w:val="73A20681"/>
    <w:rsid w:val="73C059F5"/>
    <w:rsid w:val="73C90F70"/>
    <w:rsid w:val="73CC4A8A"/>
    <w:rsid w:val="73CF2112"/>
    <w:rsid w:val="73FC4C0D"/>
    <w:rsid w:val="74031361"/>
    <w:rsid w:val="740E2F75"/>
    <w:rsid w:val="74107AB0"/>
    <w:rsid w:val="74156F70"/>
    <w:rsid w:val="74347DC9"/>
    <w:rsid w:val="74380AEA"/>
    <w:rsid w:val="744B361C"/>
    <w:rsid w:val="74F41F6E"/>
    <w:rsid w:val="751402A4"/>
    <w:rsid w:val="752353CA"/>
    <w:rsid w:val="753A7F99"/>
    <w:rsid w:val="75423881"/>
    <w:rsid w:val="75473CE8"/>
    <w:rsid w:val="75750F8F"/>
    <w:rsid w:val="757F60EB"/>
    <w:rsid w:val="75895884"/>
    <w:rsid w:val="758D3B87"/>
    <w:rsid w:val="758D6157"/>
    <w:rsid w:val="75A17B08"/>
    <w:rsid w:val="75BE1487"/>
    <w:rsid w:val="75D85A64"/>
    <w:rsid w:val="75DB55D4"/>
    <w:rsid w:val="75E52B7B"/>
    <w:rsid w:val="75E726F4"/>
    <w:rsid w:val="75F651A7"/>
    <w:rsid w:val="76121EC3"/>
    <w:rsid w:val="761C0D47"/>
    <w:rsid w:val="763929FF"/>
    <w:rsid w:val="76441E23"/>
    <w:rsid w:val="7647739D"/>
    <w:rsid w:val="76514429"/>
    <w:rsid w:val="7652121C"/>
    <w:rsid w:val="767E71CE"/>
    <w:rsid w:val="76882384"/>
    <w:rsid w:val="7696494E"/>
    <w:rsid w:val="76BC6E82"/>
    <w:rsid w:val="76CA7BAA"/>
    <w:rsid w:val="76D05215"/>
    <w:rsid w:val="771B70DF"/>
    <w:rsid w:val="77401B33"/>
    <w:rsid w:val="775200D6"/>
    <w:rsid w:val="777A35D1"/>
    <w:rsid w:val="777F291C"/>
    <w:rsid w:val="777F2C4F"/>
    <w:rsid w:val="77B176EA"/>
    <w:rsid w:val="77E242E4"/>
    <w:rsid w:val="77E500C2"/>
    <w:rsid w:val="77FC7CE8"/>
    <w:rsid w:val="7828402F"/>
    <w:rsid w:val="782F7DBE"/>
    <w:rsid w:val="787466AD"/>
    <w:rsid w:val="78B33C13"/>
    <w:rsid w:val="78B64B97"/>
    <w:rsid w:val="78C209AA"/>
    <w:rsid w:val="78E643BC"/>
    <w:rsid w:val="79343267"/>
    <w:rsid w:val="793741EC"/>
    <w:rsid w:val="79653A37"/>
    <w:rsid w:val="797A3AF5"/>
    <w:rsid w:val="79940D02"/>
    <w:rsid w:val="79DF7980"/>
    <w:rsid w:val="79F410BD"/>
    <w:rsid w:val="7A0567B7"/>
    <w:rsid w:val="7A2F4AD1"/>
    <w:rsid w:val="7A851910"/>
    <w:rsid w:val="7A8E1A35"/>
    <w:rsid w:val="7AAF2814"/>
    <w:rsid w:val="7AB2518E"/>
    <w:rsid w:val="7AB54F94"/>
    <w:rsid w:val="7AB855E2"/>
    <w:rsid w:val="7ACD1873"/>
    <w:rsid w:val="7AEC25B9"/>
    <w:rsid w:val="7AFA3C20"/>
    <w:rsid w:val="7B0434E3"/>
    <w:rsid w:val="7B361733"/>
    <w:rsid w:val="7B5A6470"/>
    <w:rsid w:val="7B682228"/>
    <w:rsid w:val="7B867165"/>
    <w:rsid w:val="7B885CE6"/>
    <w:rsid w:val="7BC457EB"/>
    <w:rsid w:val="7BD44AB5"/>
    <w:rsid w:val="7BE81701"/>
    <w:rsid w:val="7BFA75E1"/>
    <w:rsid w:val="7C121E50"/>
    <w:rsid w:val="7C264CF7"/>
    <w:rsid w:val="7C2C3997"/>
    <w:rsid w:val="7C376D58"/>
    <w:rsid w:val="7C5870DB"/>
    <w:rsid w:val="7C694FA8"/>
    <w:rsid w:val="7C6F7D4B"/>
    <w:rsid w:val="7C88585D"/>
    <w:rsid w:val="7CAE5A9D"/>
    <w:rsid w:val="7CC97FE2"/>
    <w:rsid w:val="7CD70944"/>
    <w:rsid w:val="7CF32C89"/>
    <w:rsid w:val="7CF85A11"/>
    <w:rsid w:val="7D0F47E5"/>
    <w:rsid w:val="7D133243"/>
    <w:rsid w:val="7D204AD7"/>
    <w:rsid w:val="7D2C2AE8"/>
    <w:rsid w:val="7D3A3102"/>
    <w:rsid w:val="7DB54FCA"/>
    <w:rsid w:val="7DBB5120"/>
    <w:rsid w:val="7DCE6121"/>
    <w:rsid w:val="7DD563C2"/>
    <w:rsid w:val="7E09485E"/>
    <w:rsid w:val="7E1253C9"/>
    <w:rsid w:val="7E1A5807"/>
    <w:rsid w:val="7E2F4C44"/>
    <w:rsid w:val="7E676FEC"/>
    <w:rsid w:val="7EBF26AD"/>
    <w:rsid w:val="7F174905"/>
    <w:rsid w:val="7F315094"/>
    <w:rsid w:val="7F335379"/>
    <w:rsid w:val="7F4A4AFB"/>
    <w:rsid w:val="7F620AD8"/>
    <w:rsid w:val="7F64295C"/>
    <w:rsid w:val="7F926ADA"/>
    <w:rsid w:val="7FA64BF0"/>
    <w:rsid w:val="7FB836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qFormat="1" w:unhideWhenUsed="0" w:uiPriority="0" w:semiHidden="0" w:name="List 3"/>
    <w:lsdException w:qFormat="1"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Calibri" w:hAnsi="Calibri" w:eastAsia="宋体" w:cs="Times New Roman"/>
      <w:lang w:val="en-US" w:eastAsia="zh-CN" w:bidi="ar-SA"/>
    </w:rPr>
  </w:style>
  <w:style w:type="paragraph" w:styleId="4">
    <w:name w:val="heading 1"/>
    <w:basedOn w:val="1"/>
    <w:next w:val="1"/>
    <w:link w:val="45"/>
    <w:qFormat/>
    <w:uiPriority w:val="0"/>
    <w:pPr>
      <w:keepNext/>
      <w:keepLines/>
      <w:spacing w:before="340" w:after="330" w:line="360" w:lineRule="auto"/>
      <w:outlineLvl w:val="0"/>
    </w:pPr>
    <w:rPr>
      <w:rFonts w:ascii="Times New Roman" w:hAnsi="Times New Roman"/>
      <w:b/>
      <w:kern w:val="44"/>
      <w:sz w:val="44"/>
    </w:rPr>
  </w:style>
  <w:style w:type="paragraph" w:styleId="5">
    <w:name w:val="heading 2"/>
    <w:basedOn w:val="1"/>
    <w:next w:val="1"/>
    <w:qFormat/>
    <w:uiPriority w:val="0"/>
    <w:pPr>
      <w:keepNext/>
      <w:keepLines/>
      <w:widowControl w:val="0"/>
      <w:spacing w:before="260" w:after="260" w:line="416" w:lineRule="auto"/>
      <w:jc w:val="both"/>
      <w:outlineLvl w:val="1"/>
    </w:pPr>
    <w:rPr>
      <w:rFonts w:ascii="Arial" w:hAnsi="Arial" w:eastAsia="黑体"/>
      <w:b/>
      <w:bCs/>
      <w:kern w:val="2"/>
      <w:sz w:val="32"/>
      <w:szCs w:val="32"/>
    </w:rPr>
  </w:style>
  <w:style w:type="paragraph" w:styleId="6">
    <w:name w:val="heading 3"/>
    <w:basedOn w:val="1"/>
    <w:next w:val="1"/>
    <w:qFormat/>
    <w:uiPriority w:val="0"/>
    <w:pPr>
      <w:keepNext/>
      <w:keepLines/>
      <w:widowControl w:val="0"/>
      <w:spacing w:before="260" w:after="260" w:line="416" w:lineRule="auto"/>
      <w:jc w:val="both"/>
      <w:outlineLvl w:val="2"/>
    </w:pPr>
    <w:rPr>
      <w:b/>
      <w:bCs/>
      <w:kern w:val="2"/>
      <w:sz w:val="32"/>
      <w:szCs w:val="32"/>
    </w:rPr>
  </w:style>
  <w:style w:type="paragraph" w:styleId="7">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spacing w:after="120" w:afterLines="0"/>
      <w:ind w:left="480" w:leftChars="200" w:firstLine="210" w:firstLineChars="100"/>
    </w:pPr>
    <w:rPr>
      <w:rFonts w:ascii="DFKai-SB" w:hAnsi="Times New Roman" w:eastAsia="DFKai-SB"/>
      <w:sz w:val="28"/>
      <w:lang w:eastAsia="zh-TW"/>
    </w:rPr>
  </w:style>
  <w:style w:type="paragraph" w:styleId="3">
    <w:name w:val="Body Text Indent"/>
    <w:basedOn w:val="1"/>
    <w:qFormat/>
    <w:uiPriority w:val="0"/>
    <w:pPr>
      <w:spacing w:after="120"/>
      <w:ind w:left="420" w:leftChars="200"/>
    </w:pPr>
  </w:style>
  <w:style w:type="paragraph" w:styleId="8">
    <w:name w:val="List 3"/>
    <w:basedOn w:val="1"/>
    <w:qFormat/>
    <w:uiPriority w:val="0"/>
    <w:pPr>
      <w:widowControl w:val="0"/>
      <w:ind w:left="100" w:leftChars="400" w:hanging="200" w:hangingChars="200"/>
      <w:jc w:val="both"/>
    </w:pPr>
    <w:rPr>
      <w:kern w:val="2"/>
      <w:sz w:val="21"/>
      <w:szCs w:val="24"/>
    </w:rPr>
  </w:style>
  <w:style w:type="paragraph" w:styleId="9">
    <w:name w:val="toc 7"/>
    <w:basedOn w:val="1"/>
    <w:next w:val="1"/>
    <w:semiHidden/>
    <w:qFormat/>
    <w:uiPriority w:val="0"/>
    <w:pPr>
      <w:ind w:left="2520" w:leftChars="1200"/>
    </w:pPr>
  </w:style>
  <w:style w:type="paragraph" w:styleId="10">
    <w:name w:val="Normal Indent"/>
    <w:basedOn w:val="1"/>
    <w:qFormat/>
    <w:uiPriority w:val="0"/>
    <w:pPr>
      <w:ind w:firstLine="420"/>
    </w:pPr>
    <w:rPr>
      <w:kern w:val="2"/>
      <w:sz w:val="21"/>
    </w:rPr>
  </w:style>
  <w:style w:type="paragraph" w:styleId="11">
    <w:name w:val="caption"/>
    <w:basedOn w:val="1"/>
    <w:next w:val="1"/>
    <w:qFormat/>
    <w:uiPriority w:val="0"/>
    <w:pPr>
      <w:spacing w:before="152" w:after="160"/>
    </w:pPr>
    <w:rPr>
      <w:rFonts w:ascii="Arial" w:hAnsi="Arial" w:eastAsia="黑体" w:cs="Arial"/>
      <w:sz w:val="20"/>
      <w:szCs w:val="20"/>
    </w:rPr>
  </w:style>
  <w:style w:type="paragraph" w:styleId="12">
    <w:name w:val="Document Map"/>
    <w:basedOn w:val="1"/>
    <w:semiHidden/>
    <w:qFormat/>
    <w:uiPriority w:val="0"/>
    <w:pPr>
      <w:shd w:val="clear" w:color="auto" w:fill="000080"/>
    </w:pPr>
  </w:style>
  <w:style w:type="paragraph" w:styleId="13">
    <w:name w:val="toa heading"/>
    <w:basedOn w:val="1"/>
    <w:next w:val="1"/>
    <w:semiHidden/>
    <w:qFormat/>
    <w:uiPriority w:val="0"/>
    <w:pPr>
      <w:widowControl w:val="0"/>
      <w:spacing w:before="120"/>
      <w:jc w:val="both"/>
    </w:pPr>
    <w:rPr>
      <w:rFonts w:ascii="Arial" w:hAnsi="Arial"/>
      <w:kern w:val="2"/>
      <w:sz w:val="24"/>
    </w:rPr>
  </w:style>
  <w:style w:type="paragraph" w:styleId="14">
    <w:name w:val="annotation text"/>
    <w:basedOn w:val="1"/>
    <w:semiHidden/>
    <w:qFormat/>
    <w:uiPriority w:val="0"/>
  </w:style>
  <w:style w:type="paragraph" w:styleId="15">
    <w:name w:val="Salutation"/>
    <w:basedOn w:val="1"/>
    <w:next w:val="1"/>
    <w:qFormat/>
    <w:uiPriority w:val="0"/>
    <w:pPr>
      <w:widowControl w:val="0"/>
      <w:jc w:val="both"/>
    </w:pPr>
    <w:rPr>
      <w:kern w:val="2"/>
      <w:sz w:val="28"/>
      <w:szCs w:val="24"/>
    </w:rPr>
  </w:style>
  <w:style w:type="paragraph" w:styleId="16">
    <w:name w:val="Body Text 3"/>
    <w:basedOn w:val="1"/>
    <w:qFormat/>
    <w:uiPriority w:val="0"/>
    <w:pPr>
      <w:widowControl w:val="0"/>
      <w:spacing w:line="360" w:lineRule="auto"/>
      <w:jc w:val="both"/>
    </w:pPr>
    <w:rPr>
      <w:rFonts w:ascii="仿宋_GB2312" w:hAnsi="宋体" w:eastAsia="仿宋_GB2312"/>
      <w:bCs/>
      <w:sz w:val="24"/>
      <w:szCs w:val="30"/>
    </w:rPr>
  </w:style>
  <w:style w:type="paragraph" w:styleId="17">
    <w:name w:val="Body Text"/>
    <w:basedOn w:val="1"/>
    <w:qFormat/>
    <w:uiPriority w:val="0"/>
    <w:pPr>
      <w:spacing w:line="360" w:lineRule="auto"/>
    </w:pPr>
    <w:rPr>
      <w:rFonts w:ascii="宋体"/>
      <w:sz w:val="24"/>
    </w:rPr>
  </w:style>
  <w:style w:type="paragraph" w:styleId="18">
    <w:name w:val="toc 5"/>
    <w:basedOn w:val="1"/>
    <w:next w:val="1"/>
    <w:semiHidden/>
    <w:qFormat/>
    <w:uiPriority w:val="0"/>
    <w:pPr>
      <w:ind w:left="1680" w:leftChars="800"/>
    </w:pPr>
  </w:style>
  <w:style w:type="paragraph" w:styleId="19">
    <w:name w:val="toc 3"/>
    <w:basedOn w:val="1"/>
    <w:next w:val="1"/>
    <w:semiHidden/>
    <w:qFormat/>
    <w:uiPriority w:val="0"/>
    <w:pPr>
      <w:ind w:left="840" w:leftChars="400"/>
    </w:pPr>
  </w:style>
  <w:style w:type="paragraph" w:styleId="20">
    <w:name w:val="Plain Text"/>
    <w:basedOn w:val="1"/>
    <w:qFormat/>
    <w:uiPriority w:val="0"/>
    <w:pPr>
      <w:widowControl w:val="0"/>
      <w:jc w:val="both"/>
    </w:pPr>
    <w:rPr>
      <w:rFonts w:ascii="宋体" w:hAnsi="Courier New"/>
      <w:kern w:val="2"/>
      <w:sz w:val="21"/>
    </w:rPr>
  </w:style>
  <w:style w:type="paragraph" w:styleId="21">
    <w:name w:val="toc 8"/>
    <w:basedOn w:val="1"/>
    <w:next w:val="1"/>
    <w:semiHidden/>
    <w:qFormat/>
    <w:uiPriority w:val="0"/>
    <w:pPr>
      <w:ind w:left="2940" w:leftChars="1400"/>
    </w:pPr>
  </w:style>
  <w:style w:type="paragraph" w:styleId="22">
    <w:name w:val="Date"/>
    <w:basedOn w:val="1"/>
    <w:next w:val="1"/>
    <w:qFormat/>
    <w:uiPriority w:val="0"/>
    <w:pPr>
      <w:ind w:left="100" w:leftChars="2500"/>
    </w:pPr>
  </w:style>
  <w:style w:type="paragraph" w:styleId="23">
    <w:name w:val="Body Text Indent 2"/>
    <w:basedOn w:val="1"/>
    <w:qFormat/>
    <w:uiPriority w:val="0"/>
    <w:pPr>
      <w:spacing w:after="120" w:line="480" w:lineRule="auto"/>
      <w:ind w:left="420" w:leftChars="200"/>
    </w:pPr>
  </w:style>
  <w:style w:type="paragraph" w:styleId="24">
    <w:name w:val="Balloon Text"/>
    <w:basedOn w:val="1"/>
    <w:semiHidden/>
    <w:qFormat/>
    <w:uiPriority w:val="0"/>
    <w:rPr>
      <w:sz w:val="18"/>
      <w:szCs w:val="18"/>
    </w:rPr>
  </w:style>
  <w:style w:type="paragraph" w:styleId="25">
    <w:name w:val="footer"/>
    <w:basedOn w:val="1"/>
    <w:link w:val="57"/>
    <w:qFormat/>
    <w:uiPriority w:val="99"/>
    <w:pPr>
      <w:tabs>
        <w:tab w:val="center" w:pos="4153"/>
        <w:tab w:val="right" w:pos="8306"/>
      </w:tabs>
      <w:snapToGrid w:val="0"/>
    </w:pPr>
    <w:rPr>
      <w:sz w:val="18"/>
    </w:rPr>
  </w:style>
  <w:style w:type="paragraph" w:styleId="26">
    <w:name w:val="header"/>
    <w:basedOn w:val="1"/>
    <w:link w:val="48"/>
    <w:qFormat/>
    <w:uiPriority w:val="99"/>
    <w:pPr>
      <w:pBdr>
        <w:bottom w:val="single" w:color="auto" w:sz="6" w:space="1"/>
      </w:pBdr>
      <w:tabs>
        <w:tab w:val="center" w:pos="4153"/>
        <w:tab w:val="right" w:pos="8306"/>
      </w:tabs>
      <w:adjustRightInd w:val="0"/>
      <w:snapToGrid w:val="0"/>
      <w:jc w:val="center"/>
    </w:pPr>
    <w:rPr>
      <w:sz w:val="18"/>
    </w:rPr>
  </w:style>
  <w:style w:type="paragraph" w:styleId="27">
    <w:name w:val="toc 1"/>
    <w:basedOn w:val="1"/>
    <w:next w:val="1"/>
    <w:qFormat/>
    <w:uiPriority w:val="39"/>
  </w:style>
  <w:style w:type="paragraph" w:styleId="28">
    <w:name w:val="toc 4"/>
    <w:basedOn w:val="1"/>
    <w:next w:val="1"/>
    <w:semiHidden/>
    <w:qFormat/>
    <w:uiPriority w:val="0"/>
    <w:pPr>
      <w:ind w:left="1260" w:leftChars="600"/>
    </w:pPr>
  </w:style>
  <w:style w:type="paragraph" w:styleId="29">
    <w:name w:val="toc 6"/>
    <w:basedOn w:val="1"/>
    <w:next w:val="1"/>
    <w:semiHidden/>
    <w:qFormat/>
    <w:uiPriority w:val="0"/>
    <w:pPr>
      <w:ind w:left="2100" w:leftChars="1000"/>
    </w:pPr>
  </w:style>
  <w:style w:type="paragraph" w:styleId="30">
    <w:name w:val="toc 2"/>
    <w:basedOn w:val="1"/>
    <w:next w:val="1"/>
    <w:qFormat/>
    <w:uiPriority w:val="39"/>
    <w:pPr>
      <w:ind w:left="420" w:leftChars="200"/>
    </w:pPr>
  </w:style>
  <w:style w:type="paragraph" w:styleId="31">
    <w:name w:val="toc 9"/>
    <w:basedOn w:val="1"/>
    <w:next w:val="1"/>
    <w:semiHidden/>
    <w:qFormat/>
    <w:uiPriority w:val="0"/>
    <w:pPr>
      <w:ind w:left="3360" w:leftChars="1600"/>
    </w:pPr>
  </w:style>
  <w:style w:type="paragraph" w:styleId="32">
    <w:name w:val="Body Text 2"/>
    <w:basedOn w:val="1"/>
    <w:qFormat/>
    <w:uiPriority w:val="0"/>
    <w:pPr>
      <w:widowControl w:val="0"/>
      <w:spacing w:after="120" w:line="480" w:lineRule="auto"/>
      <w:jc w:val="both"/>
    </w:pPr>
    <w:rPr>
      <w:kern w:val="2"/>
      <w:sz w:val="21"/>
      <w:szCs w:val="24"/>
    </w:rPr>
  </w:style>
  <w:style w:type="paragraph" w:styleId="33">
    <w:name w:val="List 4"/>
    <w:basedOn w:val="1"/>
    <w:qFormat/>
    <w:uiPriority w:val="0"/>
    <w:pPr>
      <w:ind w:left="100" w:leftChars="600" w:hanging="200" w:hangingChars="200"/>
      <w:contextualSpacing/>
    </w:pPr>
  </w:style>
  <w:style w:type="paragraph" w:styleId="3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黑体" w:hAnsi="Courier New" w:eastAsia="黑体" w:cs="Courier New"/>
    </w:rPr>
  </w:style>
  <w:style w:type="paragraph" w:styleId="35">
    <w:name w:val="Normal (Web)"/>
    <w:basedOn w:val="1"/>
    <w:qFormat/>
    <w:uiPriority w:val="0"/>
    <w:pPr>
      <w:spacing w:before="100" w:beforeAutospacing="1" w:after="100" w:afterAutospacing="1"/>
    </w:pPr>
    <w:rPr>
      <w:rFonts w:ascii="宋体" w:hAnsi="宋体" w:cs="宋体"/>
      <w:sz w:val="24"/>
      <w:szCs w:val="24"/>
    </w:rPr>
  </w:style>
  <w:style w:type="paragraph" w:styleId="36">
    <w:name w:val="annotation subject"/>
    <w:basedOn w:val="14"/>
    <w:next w:val="14"/>
    <w:semiHidden/>
    <w:qFormat/>
    <w:uiPriority w:val="0"/>
    <w:rPr>
      <w:b/>
      <w:bCs/>
    </w:rPr>
  </w:style>
  <w:style w:type="table" w:styleId="38">
    <w:name w:val="Table Grid"/>
    <w:basedOn w:val="3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0">
    <w:name w:val="Strong"/>
    <w:qFormat/>
    <w:uiPriority w:val="0"/>
    <w:rPr>
      <w:rFonts w:ascii="Tahoma" w:hAnsi="Tahoma"/>
      <w:b/>
      <w:bCs/>
      <w:kern w:val="2"/>
      <w:sz w:val="24"/>
    </w:rPr>
  </w:style>
  <w:style w:type="character" w:styleId="41">
    <w:name w:val="page number"/>
    <w:basedOn w:val="39"/>
    <w:qFormat/>
    <w:uiPriority w:val="0"/>
  </w:style>
  <w:style w:type="character" w:styleId="42">
    <w:name w:val="FollowedHyperlink"/>
    <w:qFormat/>
    <w:uiPriority w:val="0"/>
    <w:rPr>
      <w:color w:val="800080"/>
      <w:u w:val="single"/>
    </w:rPr>
  </w:style>
  <w:style w:type="character" w:styleId="43">
    <w:name w:val="Hyperlink"/>
    <w:qFormat/>
    <w:uiPriority w:val="99"/>
    <w:rPr>
      <w:rFonts w:ascii="Tahoma" w:hAnsi="Tahoma"/>
      <w:color w:val="0000FF"/>
      <w:kern w:val="2"/>
      <w:sz w:val="24"/>
      <w:u w:val="single"/>
    </w:rPr>
  </w:style>
  <w:style w:type="character" w:styleId="44">
    <w:name w:val="annotation reference"/>
    <w:semiHidden/>
    <w:qFormat/>
    <w:uiPriority w:val="0"/>
    <w:rPr>
      <w:sz w:val="21"/>
      <w:szCs w:val="21"/>
    </w:rPr>
  </w:style>
  <w:style w:type="character" w:customStyle="1" w:styleId="45">
    <w:name w:val="标题 1 Char"/>
    <w:link w:val="4"/>
    <w:qFormat/>
    <w:uiPriority w:val="0"/>
    <w:rPr>
      <w:rFonts w:ascii="Times New Roman" w:hAnsi="Times New Roman" w:eastAsia="宋体"/>
      <w:b/>
      <w:kern w:val="44"/>
      <w:sz w:val="44"/>
    </w:rPr>
  </w:style>
  <w:style w:type="paragraph" w:styleId="46">
    <w:name w:val="List Paragraph"/>
    <w:basedOn w:val="1"/>
    <w:qFormat/>
    <w:uiPriority w:val="34"/>
    <w:pPr>
      <w:ind w:firstLine="420" w:firstLineChars="200"/>
    </w:pPr>
  </w:style>
  <w:style w:type="paragraph" w:customStyle="1" w:styleId="47">
    <w:name w:val="_Style 65"/>
    <w:basedOn w:val="1"/>
    <w:qFormat/>
    <w:uiPriority w:val="0"/>
    <w:pPr>
      <w:widowControl w:val="0"/>
      <w:jc w:val="both"/>
    </w:pPr>
    <w:rPr>
      <w:rFonts w:ascii="Tahoma" w:hAnsi="Tahoma"/>
      <w:kern w:val="2"/>
      <w:sz w:val="24"/>
    </w:rPr>
  </w:style>
  <w:style w:type="character" w:customStyle="1" w:styleId="48">
    <w:name w:val="页眉 Char"/>
    <w:link w:val="26"/>
    <w:qFormat/>
    <w:uiPriority w:val="99"/>
    <w:rPr>
      <w:rFonts w:eastAsia="宋体"/>
      <w:sz w:val="18"/>
    </w:rPr>
  </w:style>
  <w:style w:type="character" w:customStyle="1" w:styleId="49">
    <w:name w:val="样式9 Char Char"/>
    <w:link w:val="50"/>
    <w:qFormat/>
    <w:uiPriority w:val="0"/>
    <w:rPr>
      <w:rFonts w:eastAsia="宋体"/>
      <w:spacing w:val="6"/>
      <w:sz w:val="24"/>
      <w:lang w:val="en-US" w:eastAsia="zh-CN" w:bidi="ar-SA"/>
    </w:rPr>
  </w:style>
  <w:style w:type="paragraph" w:customStyle="1" w:styleId="50">
    <w:name w:val="样式9 Char"/>
    <w:basedOn w:val="1"/>
    <w:link w:val="49"/>
    <w:qFormat/>
    <w:uiPriority w:val="0"/>
    <w:pPr>
      <w:spacing w:line="440" w:lineRule="exact"/>
      <w:ind w:firstLine="200" w:firstLineChars="200"/>
    </w:pPr>
    <w:rPr>
      <w:spacing w:val="6"/>
      <w:sz w:val="24"/>
    </w:rPr>
  </w:style>
  <w:style w:type="character" w:customStyle="1" w:styleId="51">
    <w:name w:val="10pblank"/>
    <w:basedOn w:val="39"/>
    <w:qFormat/>
    <w:uiPriority w:val="0"/>
  </w:style>
  <w:style w:type="character" w:customStyle="1" w:styleId="52">
    <w:name w:val="l4"/>
    <w:basedOn w:val="39"/>
    <w:qFormat/>
    <w:uiPriority w:val="0"/>
  </w:style>
  <w:style w:type="character" w:customStyle="1" w:styleId="53">
    <w:name w:val="标题 2 Char1"/>
    <w:qFormat/>
    <w:uiPriority w:val="0"/>
    <w:rPr>
      <w:rFonts w:ascii="Arial" w:hAnsi="Arial" w:eastAsia="黑体" w:cs="Arial"/>
      <w:b/>
      <w:bCs/>
      <w:kern w:val="2"/>
      <w:sz w:val="32"/>
      <w:szCs w:val="32"/>
      <w:lang w:val="en-US" w:eastAsia="zh-CN"/>
    </w:rPr>
  </w:style>
  <w:style w:type="character" w:customStyle="1" w:styleId="54">
    <w:name w:val="样式1 Char"/>
    <w:link w:val="55"/>
    <w:qFormat/>
    <w:uiPriority w:val="0"/>
    <w:rPr>
      <w:rFonts w:eastAsia="宋体"/>
      <w:spacing w:val="6"/>
      <w:sz w:val="28"/>
      <w:lang w:val="en-US" w:eastAsia="zh-CN" w:bidi="ar-SA"/>
    </w:rPr>
  </w:style>
  <w:style w:type="paragraph" w:customStyle="1" w:styleId="55">
    <w:name w:val="样式1"/>
    <w:basedOn w:val="1"/>
    <w:link w:val="54"/>
    <w:qFormat/>
    <w:uiPriority w:val="0"/>
    <w:pPr>
      <w:spacing w:line="480" w:lineRule="exact"/>
      <w:ind w:firstLine="584" w:firstLineChars="200"/>
    </w:pPr>
    <w:rPr>
      <w:spacing w:val="6"/>
      <w:sz w:val="28"/>
    </w:rPr>
  </w:style>
  <w:style w:type="character" w:customStyle="1" w:styleId="56">
    <w:name w:val="9p"/>
    <w:basedOn w:val="39"/>
    <w:qFormat/>
    <w:uiPriority w:val="0"/>
  </w:style>
  <w:style w:type="character" w:customStyle="1" w:styleId="57">
    <w:name w:val="页脚 Char"/>
    <w:link w:val="25"/>
    <w:qFormat/>
    <w:uiPriority w:val="99"/>
    <w:rPr>
      <w:sz w:val="18"/>
    </w:rPr>
  </w:style>
  <w:style w:type="character" w:customStyle="1" w:styleId="58">
    <w:name w:val="font01"/>
    <w:qFormat/>
    <w:uiPriority w:val="0"/>
    <w:rPr>
      <w:rFonts w:hint="eastAsia" w:ascii="宋体" w:hAnsi="宋体" w:eastAsia="宋体" w:cs="宋体"/>
      <w:color w:val="000000"/>
      <w:kern w:val="2"/>
      <w:sz w:val="18"/>
      <w:szCs w:val="18"/>
      <w:u w:val="none"/>
    </w:rPr>
  </w:style>
  <w:style w:type="paragraph" w:customStyle="1" w:styleId="59">
    <w:name w:val="默认段落字体 Para Char Char Char Char Char Char Char Char Char Char Char Char Char"/>
    <w:basedOn w:val="12"/>
    <w:qFormat/>
    <w:uiPriority w:val="0"/>
    <w:pPr>
      <w:widowControl w:val="0"/>
      <w:jc w:val="both"/>
    </w:pPr>
    <w:rPr>
      <w:rFonts w:ascii="Tahoma" w:hAnsi="Tahoma"/>
      <w:kern w:val="2"/>
      <w:sz w:val="24"/>
      <w:szCs w:val="24"/>
    </w:rPr>
  </w:style>
  <w:style w:type="paragraph" w:customStyle="1" w:styleId="60">
    <w:name w:val="样式21"/>
    <w:basedOn w:val="1"/>
    <w:qFormat/>
    <w:uiPriority w:val="0"/>
    <w:pPr>
      <w:spacing w:beforeLines="50" w:line="480" w:lineRule="exact"/>
      <w:ind w:firstLine="584" w:firstLineChars="200"/>
    </w:pPr>
    <w:rPr>
      <w:spacing w:val="6"/>
      <w:sz w:val="28"/>
      <w:szCs w:val="28"/>
    </w:rPr>
  </w:style>
  <w:style w:type="paragraph" w:customStyle="1" w:styleId="61">
    <w:name w:val="Char Char1 Char Char Char Char Char Char"/>
    <w:basedOn w:val="1"/>
    <w:qFormat/>
    <w:uiPriority w:val="0"/>
    <w:pPr>
      <w:adjustRightInd w:val="0"/>
      <w:snapToGrid w:val="0"/>
      <w:spacing w:beforeLines="25" w:afterLines="25" w:line="240" w:lineRule="exact"/>
      <w:ind w:firstLine="560" w:firstLineChars="192"/>
    </w:pPr>
    <w:rPr>
      <w:rFonts w:ascii="宋体" w:hAnsi="宋体"/>
      <w:sz w:val="28"/>
      <w:szCs w:val="28"/>
      <w:lang w:eastAsia="en-US"/>
    </w:rPr>
  </w:style>
  <w:style w:type="paragraph" w:customStyle="1" w:styleId="62">
    <w:name w:val="Char Char Char Char Char Char Char Char Char Char"/>
    <w:basedOn w:val="1"/>
    <w:qFormat/>
    <w:uiPriority w:val="0"/>
    <w:pPr>
      <w:widowControl w:val="0"/>
      <w:jc w:val="both"/>
    </w:pPr>
    <w:rPr>
      <w:kern w:val="2"/>
      <w:sz w:val="21"/>
      <w:szCs w:val="24"/>
    </w:rPr>
  </w:style>
  <w:style w:type="paragraph" w:customStyle="1" w:styleId="63">
    <w:name w:val="样式5"/>
    <w:basedOn w:val="1"/>
    <w:qFormat/>
    <w:uiPriority w:val="0"/>
    <w:pPr>
      <w:spacing w:line="480" w:lineRule="exact"/>
    </w:pPr>
    <w:rPr>
      <w:rFonts w:eastAsia="黑体"/>
      <w:spacing w:val="6"/>
      <w:sz w:val="28"/>
    </w:rPr>
  </w:style>
  <w:style w:type="paragraph" w:customStyle="1" w:styleId="64">
    <w:name w:val="样式7"/>
    <w:basedOn w:val="1"/>
    <w:qFormat/>
    <w:uiPriority w:val="0"/>
    <w:pPr>
      <w:spacing w:line="480" w:lineRule="exact"/>
      <w:jc w:val="center"/>
    </w:pPr>
    <w:rPr>
      <w:rFonts w:eastAsia="方正大标宋简体"/>
      <w:spacing w:val="6"/>
      <w:sz w:val="44"/>
    </w:rPr>
  </w:style>
  <w:style w:type="paragraph" w:customStyle="1" w:styleId="65">
    <w:name w:val="Char Char"/>
    <w:basedOn w:val="12"/>
    <w:qFormat/>
    <w:uiPriority w:val="0"/>
    <w:pPr>
      <w:widowControl w:val="0"/>
      <w:jc w:val="both"/>
    </w:pPr>
    <w:rPr>
      <w:rFonts w:ascii="Tahoma" w:hAnsi="Tahoma"/>
      <w:kern w:val="2"/>
      <w:sz w:val="24"/>
      <w:szCs w:val="24"/>
    </w:rPr>
  </w:style>
  <w:style w:type="paragraph" w:customStyle="1" w:styleId="66">
    <w:name w:val="样式19"/>
    <w:basedOn w:val="55"/>
    <w:qFormat/>
    <w:uiPriority w:val="0"/>
    <w:pPr>
      <w:spacing w:beforeLines="50" w:line="440" w:lineRule="exact"/>
      <w:ind w:firstLine="200"/>
    </w:pPr>
    <w:rPr>
      <w:rFonts w:ascii="Arial" w:hAnsi="Arial" w:eastAsia="黑体"/>
      <w:sz w:val="24"/>
    </w:rPr>
  </w:style>
  <w:style w:type="paragraph" w:customStyle="1" w:styleId="67">
    <w:name w:val="样式14"/>
    <w:basedOn w:val="1"/>
    <w:qFormat/>
    <w:uiPriority w:val="0"/>
    <w:pPr>
      <w:spacing w:line="440" w:lineRule="exact"/>
      <w:ind w:firstLine="504" w:firstLineChars="200"/>
      <w:jc w:val="right"/>
    </w:pPr>
    <w:rPr>
      <w:rFonts w:eastAsia="黑体"/>
      <w:spacing w:val="6"/>
      <w:sz w:val="24"/>
    </w:rPr>
  </w:style>
  <w:style w:type="paragraph" w:customStyle="1" w:styleId="68">
    <w:name w:val="修订1"/>
    <w:unhideWhenUsed/>
    <w:qFormat/>
    <w:uiPriority w:val="99"/>
    <w:rPr>
      <w:rFonts w:ascii="Calibri" w:hAnsi="Calibri" w:eastAsia="宋体" w:cs="Times New Roman"/>
      <w:lang w:val="en-US" w:eastAsia="zh-CN" w:bidi="ar-SA"/>
    </w:rPr>
  </w:style>
  <w:style w:type="paragraph" w:customStyle="1" w:styleId="69">
    <w:name w:val="样式17"/>
    <w:basedOn w:val="50"/>
    <w:qFormat/>
    <w:uiPriority w:val="0"/>
    <w:pPr>
      <w:ind w:firstLine="0" w:firstLineChars="0"/>
    </w:pPr>
  </w:style>
  <w:style w:type="paragraph" w:customStyle="1" w:styleId="70">
    <w:name w:val="List Paragraph1"/>
    <w:basedOn w:val="1"/>
    <w:qFormat/>
    <w:uiPriority w:val="34"/>
    <w:pPr>
      <w:ind w:firstLine="420" w:firstLineChars="200"/>
    </w:pPr>
  </w:style>
  <w:style w:type="paragraph" w:customStyle="1" w:styleId="71">
    <w:name w:val="Char1 Char Char Char"/>
    <w:basedOn w:val="1"/>
    <w:qFormat/>
    <w:uiPriority w:val="0"/>
    <w:rPr>
      <w:rFonts w:ascii="Tahoma" w:hAnsi="Tahoma"/>
      <w:sz w:val="24"/>
    </w:rPr>
  </w:style>
  <w:style w:type="paragraph" w:customStyle="1" w:styleId="72">
    <w:name w:val="正文文本缩进 31"/>
    <w:basedOn w:val="1"/>
    <w:qFormat/>
    <w:uiPriority w:val="0"/>
    <w:pPr>
      <w:widowControl w:val="0"/>
      <w:adjustRightInd w:val="0"/>
      <w:spacing w:after="120"/>
      <w:ind w:left="420"/>
      <w:jc w:val="both"/>
      <w:textAlignment w:val="baseline"/>
    </w:pPr>
    <w:rPr>
      <w:kern w:val="2"/>
      <w:sz w:val="16"/>
    </w:rPr>
  </w:style>
  <w:style w:type="paragraph" w:customStyle="1" w:styleId="73">
    <w:name w:val="样式20"/>
    <w:basedOn w:val="55"/>
    <w:qFormat/>
    <w:uiPriority w:val="0"/>
    <w:pPr>
      <w:spacing w:beforeLines="50"/>
    </w:pPr>
    <w:rPr>
      <w:szCs w:val="28"/>
    </w:rPr>
  </w:style>
  <w:style w:type="paragraph" w:customStyle="1" w:styleId="74">
    <w:name w:val="样式22"/>
    <w:basedOn w:val="1"/>
    <w:qFormat/>
    <w:uiPriority w:val="0"/>
    <w:pPr>
      <w:spacing w:beforeLines="50" w:line="440" w:lineRule="exact"/>
      <w:ind w:firstLine="504" w:firstLineChars="200"/>
    </w:pPr>
    <w:rPr>
      <w:spacing w:val="6"/>
      <w:sz w:val="24"/>
    </w:rPr>
  </w:style>
  <w:style w:type="paragraph" w:customStyle="1" w:styleId="75">
    <w:name w:val="Char"/>
    <w:basedOn w:val="1"/>
    <w:qFormat/>
    <w:uiPriority w:val="0"/>
    <w:pPr>
      <w:widowControl w:val="0"/>
      <w:jc w:val="both"/>
    </w:pPr>
    <w:rPr>
      <w:rFonts w:ascii="仿宋_GB2312" w:eastAsia="仿宋_GB2312"/>
      <w:b/>
      <w:kern w:val="2"/>
      <w:sz w:val="32"/>
      <w:szCs w:val="32"/>
    </w:rPr>
  </w:style>
  <w:style w:type="paragraph" w:customStyle="1" w:styleId="76">
    <w:name w:val="样式3"/>
    <w:basedOn w:val="1"/>
    <w:qFormat/>
    <w:uiPriority w:val="0"/>
    <w:pPr>
      <w:spacing w:line="480" w:lineRule="exact"/>
      <w:jc w:val="center"/>
    </w:pPr>
    <w:rPr>
      <w:rFonts w:ascii="Arial" w:hAnsi="Arial" w:eastAsia="黑体"/>
      <w:spacing w:val="6"/>
      <w:sz w:val="32"/>
    </w:rPr>
  </w:style>
  <w:style w:type="paragraph" w:customStyle="1" w:styleId="77">
    <w:name w:val="样式13"/>
    <w:basedOn w:val="1"/>
    <w:qFormat/>
    <w:uiPriority w:val="0"/>
    <w:pPr>
      <w:spacing w:line="440" w:lineRule="exact"/>
    </w:pPr>
    <w:rPr>
      <w:rFonts w:eastAsia="黑体"/>
      <w:spacing w:val="6"/>
      <w:sz w:val="24"/>
    </w:rPr>
  </w:style>
  <w:style w:type="paragraph" w:customStyle="1" w:styleId="78">
    <w:name w:val="样式10"/>
    <w:basedOn w:val="1"/>
    <w:qFormat/>
    <w:uiPriority w:val="0"/>
    <w:pPr>
      <w:spacing w:line="480" w:lineRule="exact"/>
      <w:jc w:val="center"/>
    </w:pPr>
    <w:rPr>
      <w:rFonts w:eastAsia="黑体"/>
      <w:spacing w:val="6"/>
      <w:sz w:val="36"/>
    </w:rPr>
  </w:style>
  <w:style w:type="paragraph" w:customStyle="1" w:styleId="79">
    <w:name w:val="样式11"/>
    <w:basedOn w:val="78"/>
    <w:qFormat/>
    <w:uiPriority w:val="0"/>
    <w:rPr>
      <w:rFonts w:eastAsia="方正大标宋简体"/>
    </w:rPr>
  </w:style>
  <w:style w:type="paragraph" w:customStyle="1" w:styleId="80">
    <w:name w:val="样式4"/>
    <w:basedOn w:val="1"/>
    <w:qFormat/>
    <w:uiPriority w:val="0"/>
    <w:pPr>
      <w:spacing w:line="480" w:lineRule="exact"/>
      <w:ind w:firstLine="584" w:firstLineChars="200"/>
    </w:pPr>
    <w:rPr>
      <w:rFonts w:eastAsia="黑体"/>
      <w:spacing w:val="6"/>
      <w:sz w:val="28"/>
    </w:rPr>
  </w:style>
  <w:style w:type="paragraph" w:customStyle="1" w:styleId="81">
    <w:name w:val="样式6"/>
    <w:basedOn w:val="1"/>
    <w:qFormat/>
    <w:uiPriority w:val="0"/>
    <w:pPr>
      <w:spacing w:line="480" w:lineRule="exact"/>
      <w:jc w:val="right"/>
    </w:pPr>
    <w:rPr>
      <w:rFonts w:eastAsia="黑体"/>
      <w:spacing w:val="6"/>
      <w:sz w:val="28"/>
    </w:rPr>
  </w:style>
  <w:style w:type="paragraph" w:customStyle="1" w:styleId="82">
    <w:name w:val="样式15"/>
    <w:basedOn w:val="1"/>
    <w:qFormat/>
    <w:uiPriority w:val="0"/>
    <w:pPr>
      <w:spacing w:line="480" w:lineRule="exact"/>
      <w:ind w:firstLine="664" w:firstLineChars="200"/>
    </w:pPr>
    <w:rPr>
      <w:rFonts w:ascii="黑体" w:eastAsia="黑体"/>
      <w:spacing w:val="6"/>
      <w:sz w:val="32"/>
    </w:rPr>
  </w:style>
  <w:style w:type="paragraph" w:customStyle="1" w:styleId="83">
    <w:name w:val="Char Char Char Char"/>
    <w:basedOn w:val="12"/>
    <w:qFormat/>
    <w:uiPriority w:val="0"/>
    <w:pPr>
      <w:widowControl w:val="0"/>
      <w:jc w:val="both"/>
    </w:pPr>
    <w:rPr>
      <w:rFonts w:ascii="Tahoma" w:hAnsi="Tahoma"/>
      <w:kern w:val="2"/>
      <w:sz w:val="24"/>
      <w:szCs w:val="24"/>
    </w:rPr>
  </w:style>
  <w:style w:type="paragraph" w:customStyle="1" w:styleId="84">
    <w:name w:val="样式16"/>
    <w:basedOn w:val="79"/>
    <w:qFormat/>
    <w:uiPriority w:val="0"/>
    <w:pPr>
      <w:spacing w:line="360" w:lineRule="exact"/>
      <w:ind w:firstLine="200" w:firstLineChars="200"/>
      <w:jc w:val="both"/>
    </w:pPr>
    <w:rPr>
      <w:rFonts w:eastAsia="宋体"/>
      <w:spacing w:val="2"/>
      <w:sz w:val="24"/>
    </w:rPr>
  </w:style>
  <w:style w:type="paragraph" w:customStyle="1" w:styleId="85">
    <w:name w:val="Char1"/>
    <w:basedOn w:val="1"/>
    <w:semiHidden/>
    <w:qFormat/>
    <w:uiPriority w:val="0"/>
    <w:pPr>
      <w:widowControl w:val="0"/>
      <w:jc w:val="both"/>
    </w:pPr>
    <w:rPr>
      <w:rFonts w:ascii="Tahoma" w:hAnsi="Tahoma" w:cs="仿宋_GB2312"/>
      <w:kern w:val="2"/>
      <w:sz w:val="24"/>
      <w:szCs w:val="28"/>
    </w:rPr>
  </w:style>
  <w:style w:type="paragraph" w:customStyle="1" w:styleId="86">
    <w:name w:val="简单回函地址"/>
    <w:basedOn w:val="1"/>
    <w:qFormat/>
    <w:uiPriority w:val="0"/>
    <w:pPr>
      <w:widowControl w:val="0"/>
      <w:jc w:val="both"/>
    </w:pPr>
    <w:rPr>
      <w:rFonts w:ascii="宋体" w:hAnsi="宋体"/>
      <w:bCs/>
      <w:color w:val="000000"/>
      <w:kern w:val="2"/>
      <w:sz w:val="24"/>
      <w:szCs w:val="21"/>
    </w:rPr>
  </w:style>
  <w:style w:type="paragraph" w:customStyle="1" w:styleId="87">
    <w:name w:val="样式8"/>
    <w:basedOn w:val="1"/>
    <w:qFormat/>
    <w:uiPriority w:val="0"/>
    <w:pPr>
      <w:spacing w:line="480" w:lineRule="exact"/>
      <w:jc w:val="center"/>
    </w:pPr>
    <w:rPr>
      <w:rFonts w:eastAsia="方正大标宋简体"/>
      <w:spacing w:val="6"/>
      <w:sz w:val="32"/>
    </w:rPr>
  </w:style>
  <w:style w:type="paragraph" w:customStyle="1" w:styleId="88">
    <w:name w:val="样式12"/>
    <w:basedOn w:val="1"/>
    <w:qFormat/>
    <w:uiPriority w:val="0"/>
    <w:pPr>
      <w:spacing w:line="440" w:lineRule="exact"/>
      <w:ind w:firstLine="504" w:firstLineChars="200"/>
    </w:pPr>
    <w:rPr>
      <w:rFonts w:ascii="Arial" w:hAnsi="Arial" w:eastAsia="黑体"/>
      <w:spacing w:val="6"/>
      <w:sz w:val="24"/>
    </w:rPr>
  </w:style>
  <w:style w:type="paragraph" w:customStyle="1" w:styleId="89">
    <w:name w:val="样式2"/>
    <w:basedOn w:val="1"/>
    <w:qFormat/>
    <w:uiPriority w:val="0"/>
    <w:pPr>
      <w:spacing w:line="480" w:lineRule="exact"/>
      <w:jc w:val="center"/>
    </w:pPr>
    <w:rPr>
      <w:rFonts w:eastAsia="黑体"/>
      <w:spacing w:val="6"/>
      <w:sz w:val="44"/>
    </w:rPr>
  </w:style>
  <w:style w:type="paragraph" w:customStyle="1" w:styleId="90">
    <w:name w:val="样式29"/>
    <w:basedOn w:val="50"/>
    <w:qFormat/>
    <w:uiPriority w:val="0"/>
    <w:rPr>
      <w:rFonts w:eastAsia="楷体_GB2312"/>
    </w:rPr>
  </w:style>
  <w:style w:type="paragraph" w:customStyle="1" w:styleId="91">
    <w:name w:val="_Style 4"/>
    <w:basedOn w:val="1"/>
    <w:next w:val="1"/>
    <w:qFormat/>
    <w:uiPriority w:val="1"/>
    <w:pPr>
      <w:spacing w:beforeLines="40" w:afterLines="30"/>
      <w:jc w:val="center"/>
    </w:pPr>
    <w:rPr>
      <w:rFonts w:eastAsia="黑体"/>
      <w:sz w:val="24"/>
      <w:szCs w:val="22"/>
    </w:rPr>
  </w:style>
  <w:style w:type="paragraph" w:customStyle="1" w:styleId="92">
    <w:name w:val="Char1 Char Char Char Char Char Char"/>
    <w:basedOn w:val="1"/>
    <w:qFormat/>
    <w:uiPriority w:val="0"/>
    <w:pPr>
      <w:widowControl w:val="0"/>
      <w:jc w:val="both"/>
    </w:pPr>
    <w:rPr>
      <w:rFonts w:ascii="Tahoma" w:hAnsi="Tahoma"/>
      <w:kern w:val="2"/>
      <w:sz w:val="24"/>
    </w:rPr>
  </w:style>
  <w:style w:type="paragraph" w:customStyle="1" w:styleId="93">
    <w:name w:val="样式18"/>
    <w:basedOn w:val="78"/>
    <w:qFormat/>
    <w:uiPriority w:val="0"/>
    <w:rPr>
      <w:sz w:val="28"/>
    </w:rPr>
  </w:style>
  <w:style w:type="paragraph" w:customStyle="1" w:styleId="94">
    <w:name w:val="Normal_0"/>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95">
    <w:name w:val="无间隔1"/>
    <w:qFormat/>
    <w:uiPriority w:val="1"/>
    <w:pPr>
      <w:widowControl w:val="0"/>
      <w:jc w:val="both"/>
    </w:pPr>
    <w:rPr>
      <w:rFonts w:ascii="Calibri" w:hAnsi="Calibri" w:eastAsia="宋体" w:cs="宋体"/>
      <w:kern w:val="2"/>
      <w:sz w:val="21"/>
      <w:szCs w:val="24"/>
      <w:lang w:val="en-US" w:eastAsia="zh-CN" w:bidi="ar-SA"/>
    </w:rPr>
  </w:style>
  <w:style w:type="paragraph" w:customStyle="1" w:styleId="96">
    <w:name w:val="Style1"/>
    <w:qFormat/>
    <w:uiPriority w:val="0"/>
    <w:pPr>
      <w:spacing w:after="120"/>
      <w:jc w:val="both"/>
    </w:pPr>
    <w:rPr>
      <w:rFonts w:ascii="Calibri" w:hAnsi="Calibri" w:eastAsia="Times New Roman" w:cs="Times New Roman"/>
      <w:color w:val="000000"/>
      <w:spacing w:val="-3"/>
      <w:sz w:val="24"/>
      <w:szCs w:val="24"/>
      <w:lang w:val="en-US" w:eastAsia="zh-CN" w:bidi="ar-SA"/>
    </w:rPr>
  </w:style>
  <w:style w:type="paragraph" w:customStyle="1" w:styleId="97">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98">
    <w:name w:val="closes"/>
    <w:basedOn w:val="39"/>
    <w:qFormat/>
    <w:uiPriority w:val="0"/>
  </w:style>
  <w:style w:type="character" w:customStyle="1" w:styleId="99">
    <w:name w:val="print"/>
    <w:basedOn w:val="39"/>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4C586EB-46BB-4B93-BD78-CAF639F627F8}">
  <ds:schemaRefs/>
</ds:datastoreItem>
</file>

<file path=docProps/app.xml><?xml version="1.0" encoding="utf-8"?>
<Properties xmlns="http://schemas.openxmlformats.org/officeDocument/2006/extended-properties" xmlns:vt="http://schemas.openxmlformats.org/officeDocument/2006/docPropsVTypes">
  <Template>Normal</Template>
  <Company>MC SYSTEM</Company>
  <Pages>59</Pages>
  <Words>19974</Words>
  <Characters>20638</Characters>
  <Lines>195</Lines>
  <Paragraphs>54</Paragraphs>
  <TotalTime>12</TotalTime>
  <ScaleCrop>false</ScaleCrop>
  <LinksUpToDate>false</LinksUpToDate>
  <CharactersWithSpaces>24539</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2018-08-24T08:01:00Z</dcterms:created>
  <dc:creator>MC SYSTEM</dc:creator>
  <dc:description>年   月   日	年   月   日	年   月   日_x000d_年    月    日_x000d_1．技术评审（40分）_x000d_年   月   日_x000d_</dc:description>
  <cp:keywords>分 年 月 日 二 </cp:keywords>
  <cp:lastModifiedBy>Administrator</cp:lastModifiedBy>
  <cp:lastPrinted>2018-05-28T10:55:00Z</cp:lastPrinted>
  <dcterms:modified xsi:type="dcterms:W3CDTF">2019-12-18T03:24:41Z</dcterms:modified>
  <dc:title>编号：JNATJZ-002</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